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620" w:right="24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20" w:right="24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001-36593</w:t>
      </w:r>
    </w:p>
    <w:p>
      <w:pPr>
        <w:spacing w:after="0" w:line="50"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SOLENO THERAPEUTICS, INC.</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(formerly known as Capnia,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153"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2060" w:type="dxa"/>
            <w:vAlign w:val="bottom"/>
          </w:tcPr>
          <w:p>
            <w:pPr>
              <w:jc w:val="center"/>
              <w:ind w:right="122"/>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center"/>
              <w:ind w:left="4039"/>
              <w:spacing w:after="0"/>
              <w:rPr>
                <w:sz w:val="20"/>
                <w:szCs w:val="20"/>
                <w:color w:val="auto"/>
              </w:rPr>
            </w:pPr>
            <w:r>
              <w:rPr>
                <w:rFonts w:ascii="Arial" w:cs="Arial" w:eastAsia="Arial" w:hAnsi="Arial"/>
                <w:sz w:val="18"/>
                <w:szCs w:val="18"/>
                <w:b w:val="1"/>
                <w:bCs w:val="1"/>
                <w:color w:val="auto"/>
                <w:w w:val="89"/>
              </w:rPr>
              <w:t>77-0523891</w:t>
            </w:r>
          </w:p>
        </w:tc>
      </w:tr>
      <w:tr>
        <w:trPr>
          <w:trHeight w:val="180"/>
        </w:trPr>
        <w:tc>
          <w:tcPr>
            <w:tcW w:w="2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5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06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39"/>
              <w:spacing w:after="0"/>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2060" w:type="dxa"/>
            <w:vAlign w:val="bottom"/>
          </w:tcPr>
          <w:p>
            <w:pPr>
              <w:spacing w:after="0"/>
              <w:rPr>
                <w:sz w:val="18"/>
                <w:szCs w:val="18"/>
                <w:color w:val="auto"/>
              </w:rPr>
            </w:pPr>
          </w:p>
        </w:tc>
        <w:tc>
          <w:tcPr>
            <w:tcW w:w="5260" w:type="dxa"/>
            <w:vAlign w:val="bottom"/>
          </w:tcPr>
          <w:p>
            <w:pPr>
              <w:jc w:val="center"/>
              <w:ind w:right="1519"/>
              <w:spacing w:after="0"/>
              <w:rPr>
                <w:sz w:val="20"/>
                <w:szCs w:val="20"/>
                <w:color w:val="auto"/>
              </w:rPr>
            </w:pPr>
            <w:r>
              <w:rPr>
                <w:rFonts w:ascii="Arial" w:cs="Arial" w:eastAsia="Arial" w:hAnsi="Arial"/>
                <w:sz w:val="18"/>
                <w:szCs w:val="18"/>
                <w:b w:val="1"/>
                <w:bCs w:val="1"/>
                <w:color w:val="auto"/>
                <w:w w:val="89"/>
              </w:rPr>
              <w:t>1235 Radio Road, Suite 110,</w:t>
            </w:r>
          </w:p>
        </w:tc>
      </w:tr>
      <w:tr>
        <w:trPr>
          <w:trHeight w:val="212"/>
        </w:trPr>
        <w:tc>
          <w:tcPr>
            <w:tcW w:w="2060" w:type="dxa"/>
            <w:vAlign w:val="bottom"/>
          </w:tcPr>
          <w:p>
            <w:pPr>
              <w:spacing w:after="0"/>
              <w:rPr>
                <w:sz w:val="18"/>
                <w:szCs w:val="18"/>
                <w:color w:val="auto"/>
              </w:rPr>
            </w:pPr>
          </w:p>
        </w:tc>
        <w:tc>
          <w:tcPr>
            <w:tcW w:w="526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Redwood City, California</w:t>
            </w:r>
          </w:p>
        </w:tc>
      </w:tr>
      <w:tr>
        <w:trPr>
          <w:trHeight w:val="186"/>
        </w:trPr>
        <w:tc>
          <w:tcPr>
            <w:tcW w:w="2060" w:type="dxa"/>
            <w:vAlign w:val="bottom"/>
          </w:tcPr>
          <w:p>
            <w:pPr>
              <w:spacing w:after="0"/>
              <w:rPr>
                <w:sz w:val="16"/>
                <w:szCs w:val="16"/>
                <w:color w:val="auto"/>
              </w:rPr>
            </w:pPr>
          </w:p>
        </w:tc>
        <w:tc>
          <w:tcPr>
            <w:tcW w:w="52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00"/>
        </w:trPr>
        <w:tc>
          <w:tcPr>
            <w:tcW w:w="2060" w:type="dxa"/>
            <w:vAlign w:val="bottom"/>
          </w:tcPr>
          <w:p>
            <w:pPr>
              <w:spacing w:after="0"/>
              <w:rPr>
                <w:sz w:val="24"/>
                <w:szCs w:val="24"/>
                <w:color w:val="auto"/>
              </w:rPr>
            </w:pPr>
          </w:p>
        </w:tc>
        <w:tc>
          <w:tcPr>
            <w:tcW w:w="5260" w:type="dxa"/>
            <w:vAlign w:val="bottom"/>
          </w:tcPr>
          <w:p>
            <w:pPr>
              <w:jc w:val="right"/>
              <w:ind w:right="3119"/>
              <w:spacing w:after="0"/>
              <w:rPr>
                <w:sz w:val="20"/>
                <w:szCs w:val="20"/>
                <w:color w:val="auto"/>
              </w:rPr>
            </w:pPr>
            <w:r>
              <w:rPr>
                <w:rFonts w:ascii="Arial" w:cs="Arial" w:eastAsia="Arial" w:hAnsi="Arial"/>
                <w:sz w:val="18"/>
                <w:szCs w:val="18"/>
                <w:b w:val="1"/>
                <w:bCs w:val="1"/>
                <w:color w:val="auto"/>
              </w:rPr>
              <w:t>94065</w:t>
            </w:r>
          </w:p>
        </w:tc>
      </w:tr>
      <w:tr>
        <w:trPr>
          <w:trHeight w:val="186"/>
        </w:trPr>
        <w:tc>
          <w:tcPr>
            <w:tcW w:w="2060" w:type="dxa"/>
            <w:vAlign w:val="bottom"/>
          </w:tcPr>
          <w:p>
            <w:pPr>
              <w:spacing w:after="0"/>
              <w:rPr>
                <w:sz w:val="16"/>
                <w:szCs w:val="16"/>
                <w:color w:val="auto"/>
              </w:rPr>
            </w:pPr>
          </w:p>
        </w:tc>
        <w:tc>
          <w:tcPr>
            <w:tcW w:w="52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060" w:type="dxa"/>
            <w:vAlign w:val="bottom"/>
          </w:tcPr>
          <w:p>
            <w:pPr>
              <w:spacing w:after="0"/>
              <w:rPr>
                <w:sz w:val="24"/>
                <w:szCs w:val="24"/>
                <w:color w:val="auto"/>
              </w:rPr>
            </w:pPr>
          </w:p>
        </w:tc>
        <w:tc>
          <w:tcPr>
            <w:tcW w:w="5260" w:type="dxa"/>
            <w:vAlign w:val="bottom"/>
          </w:tcPr>
          <w:p>
            <w:pPr>
              <w:jc w:val="right"/>
              <w:ind w:right="2779"/>
              <w:spacing w:after="0"/>
              <w:rPr>
                <w:sz w:val="20"/>
                <w:szCs w:val="20"/>
                <w:color w:val="auto"/>
              </w:rPr>
            </w:pPr>
            <w:r>
              <w:rPr>
                <w:rFonts w:ascii="Arial" w:cs="Arial" w:eastAsia="Arial" w:hAnsi="Arial"/>
                <w:sz w:val="18"/>
                <w:szCs w:val="18"/>
                <w:b w:val="1"/>
                <w:bCs w:val="1"/>
                <w:color w:val="auto"/>
              </w:rPr>
              <w:t>(650) 213-8444</w:t>
            </w:r>
          </w:p>
        </w:tc>
      </w:tr>
      <w:tr>
        <w:trPr>
          <w:trHeight w:val="186"/>
        </w:trPr>
        <w:tc>
          <w:tcPr>
            <w:tcW w:w="2060" w:type="dxa"/>
            <w:vAlign w:val="bottom"/>
          </w:tcPr>
          <w:p>
            <w:pPr>
              <w:spacing w:after="0"/>
              <w:rPr>
                <w:sz w:val="16"/>
                <w:szCs w:val="16"/>
                <w:color w:val="auto"/>
              </w:rPr>
            </w:pPr>
          </w:p>
        </w:tc>
        <w:tc>
          <w:tcPr>
            <w:tcW w:w="52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020"/>
        <w:spacing w:after="0"/>
        <w:rPr>
          <w:sz w:val="20"/>
          <w:szCs w:val="20"/>
          <w:color w:val="auto"/>
        </w:rPr>
      </w:pPr>
      <w:r>
        <w:rPr>
          <w:rFonts w:ascii="Arial" w:cs="Arial" w:eastAsia="Arial" w:hAnsi="Arial"/>
          <w:sz w:val="18"/>
          <w:szCs w:val="18"/>
          <w:b w:val="1"/>
          <w:bCs w:val="1"/>
          <w:color w:val="auto"/>
        </w:rPr>
        <w:t>____________________________________________________________</w:t>
      </w:r>
    </w:p>
    <w:p>
      <w:pPr>
        <w:spacing w:after="0" w:line="209" w:lineRule="exact"/>
        <w:rPr>
          <w:sz w:val="24"/>
          <w:szCs w:val="24"/>
          <w:color w:val="auto"/>
        </w:rPr>
      </w:pPr>
    </w:p>
    <w:p>
      <w:pPr>
        <w:jc w:val="both"/>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1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11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rPr>
                <w:sz w:val="20"/>
                <w:szCs w:val="20"/>
                <w:color w:val="auto"/>
              </w:rPr>
            </w:pPr>
            <w:r>
              <w:rPr>
                <w:rFonts w:ascii="Arial" w:cs="Arial" w:eastAsia="Arial" w:hAnsi="Arial"/>
                <w:sz w:val="18"/>
                <w:szCs w:val="18"/>
                <w:color w:val="auto"/>
              </w:rPr>
              <w:t>x</w:t>
            </w:r>
          </w:p>
        </w:tc>
      </w:tr>
      <w:tr>
        <w:trPr>
          <w:trHeight w:val="250"/>
        </w:trPr>
        <w:tc>
          <w:tcPr>
            <w:tcW w:w="19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3360" w:type="dxa"/>
            <w:vAlign w:val="bottom"/>
          </w:tcPr>
          <w:p>
            <w:pPr>
              <w:ind w:left="112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rPr>
                <w:sz w:val="20"/>
                <w:szCs w:val="20"/>
                <w:color w:val="auto"/>
              </w:rPr>
            </w:pPr>
            <w:r>
              <w:rPr>
                <w:rFonts w:ascii="Arial" w:cs="Arial" w:eastAsia="Arial" w:hAnsi="Arial"/>
                <w:sz w:val="18"/>
                <w:szCs w:val="18"/>
                <w:color w:val="auto"/>
              </w:rPr>
              <w:t>x</w:t>
            </w:r>
          </w:p>
        </w:tc>
      </w:tr>
    </w:tbl>
    <w:p>
      <w:pPr>
        <w:spacing w:after="0" w:line="161" w:lineRule="exact"/>
        <w:rPr>
          <w:sz w:val="24"/>
          <w:szCs w:val="24"/>
          <w:color w:val="auto"/>
        </w:rPr>
      </w:pPr>
    </w:p>
    <w:p>
      <w:pPr>
        <w:ind w:left="40" w:right="6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November 9, 2017, there were 10,002,256 shares of the registrant’s Common Stock, par value $0.001 per share, outstanding.</w:t>
      </w:r>
    </w:p>
    <w:p>
      <w:pPr>
        <w:sectPr>
          <w:pgSz w:w="11900" w:h="16838" w:orient="portrait"/>
          <w:cols w:equalWidth="0" w:num="1">
            <w:col w:w="11360"/>
          </w:cols>
          <w:pgMar w:left="240" w:top="679" w:right="299" w:bottom="1440" w:gutter="0" w:footer="0" w:header="0"/>
        </w:sectPr>
      </w:pPr>
    </w:p>
    <w:bookmarkStart w:id="1" w:name="page2"/>
    <w:bookmarkEnd w:id="1"/>
    <w:p>
      <w:pPr>
        <w:ind w:left="4340"/>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(formerly known as Capnia,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31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6040" w:type="dxa"/>
            <w:vAlign w:val="bottom"/>
            <w:gridSpan w:val="8"/>
          </w:tcPr>
          <w:p>
            <w:pPr>
              <w:spacing w:after="0"/>
              <w:rPr>
                <w:sz w:val="18"/>
                <w:szCs w:val="18"/>
                <w:color w:val="auto"/>
              </w:rPr>
            </w:pPr>
          </w:p>
        </w:tc>
        <w:tc>
          <w:tcPr>
            <w:tcW w:w="2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1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5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1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5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(unaudited)</w:t>
              </w:r>
            </w:hyperlink>
          </w:p>
        </w:tc>
        <w:tc>
          <w:tcPr>
            <w:tcW w:w="3940" w:type="dxa"/>
            <w:vAlign w:val="bottom"/>
            <w:gridSpan w:val="3"/>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660" w:type="dxa"/>
            <w:vAlign w:val="bottom"/>
            <w:gridSpan w:val="2"/>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216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50"/>
        </w:trPr>
        <w:tc>
          <w:tcPr>
            <w:tcW w:w="340" w:type="dxa"/>
            <w:vAlign w:val="bottom"/>
          </w:tcPr>
          <w:p>
            <w:pPr>
              <w:spacing w:after="0"/>
              <w:rPr>
                <w:sz w:val="21"/>
                <w:szCs w:val="21"/>
                <w:color w:val="auto"/>
              </w:rPr>
            </w:pPr>
          </w:p>
        </w:tc>
        <w:tc>
          <w:tcPr>
            <w:tcW w:w="7020" w:type="dxa"/>
            <w:vAlign w:val="bottom"/>
            <w:tcBorders>
              <w:top w:val="single" w:sz="8" w:color="0000EE"/>
            </w:tcBorders>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Disclosures About Market Risk</w:t>
              </w:r>
            </w:hyperlink>
          </w:p>
        </w:tc>
        <w:tc>
          <w:tcPr>
            <w:tcW w:w="1840" w:type="dxa"/>
            <w:vAlign w:val="bottom"/>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50"/>
        </w:trPr>
        <w:tc>
          <w:tcPr>
            <w:tcW w:w="340" w:type="dxa"/>
            <w:vAlign w:val="bottom"/>
          </w:tcPr>
          <w:p>
            <w:pPr>
              <w:spacing w:after="0"/>
              <w:rPr>
                <w:sz w:val="21"/>
                <w:szCs w:val="21"/>
                <w:color w:val="auto"/>
              </w:rPr>
            </w:pPr>
          </w:p>
        </w:tc>
        <w:tc>
          <w:tcPr>
            <w:tcW w:w="2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 Controls and Procedures</w:t>
              </w:r>
            </w:hyperlink>
          </w:p>
        </w:tc>
        <w:tc>
          <w:tcPr>
            <w:tcW w:w="2560" w:type="dxa"/>
            <w:vAlign w:val="bottom"/>
            <w:tcBorders>
              <w:top w:val="single" w:sz="8" w:color="0000EE"/>
            </w:tcBorders>
            <w:gridSpan w:val="7"/>
          </w:tcPr>
          <w:p>
            <w:pPr>
              <w:spacing w:after="0"/>
              <w:rPr>
                <w:sz w:val="21"/>
                <w:szCs w:val="21"/>
                <w:color w:val="auto"/>
              </w:rPr>
            </w:pPr>
          </w:p>
        </w:tc>
        <w:tc>
          <w:tcPr>
            <w:tcW w:w="3940" w:type="dxa"/>
            <w:vAlign w:val="bottom"/>
            <w:gridSpan w:val="3"/>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250"/>
        </w:trPr>
        <w:tc>
          <w:tcPr>
            <w:tcW w:w="28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II—OTHER INFORMATION</w:t>
              </w:r>
            </w:hyperlink>
          </w:p>
        </w:tc>
        <w:tc>
          <w:tcPr>
            <w:tcW w:w="6340" w:type="dxa"/>
            <w:vAlign w:val="bottom"/>
            <w:gridSpan w:val="9"/>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50"/>
        </w:trPr>
        <w:tc>
          <w:tcPr>
            <w:tcW w:w="340" w:type="dxa"/>
            <w:vAlign w:val="bottom"/>
          </w:tcPr>
          <w:p>
            <w:pPr>
              <w:spacing w:after="0"/>
              <w:rPr>
                <w:sz w:val="21"/>
                <w:szCs w:val="21"/>
                <w:color w:val="auto"/>
              </w:rPr>
            </w:pPr>
          </w:p>
        </w:tc>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960" w:type="dxa"/>
            <w:vAlign w:val="bottom"/>
            <w:gridSpan w:val="13"/>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50"/>
        </w:trPr>
        <w:tc>
          <w:tcPr>
            <w:tcW w:w="340" w:type="dxa"/>
            <w:vAlign w:val="bottom"/>
          </w:tcPr>
          <w:p>
            <w:pPr>
              <w:spacing w:after="0"/>
              <w:rPr>
                <w:sz w:val="21"/>
                <w:szCs w:val="21"/>
                <w:color w:val="auto"/>
              </w:rPr>
            </w:pPr>
          </w:p>
        </w:tc>
        <w:tc>
          <w:tcPr>
            <w:tcW w:w="1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Item 1A. Risk Factors</w:t>
            </w:r>
          </w:p>
        </w:tc>
        <w:tc>
          <w:tcPr>
            <w:tcW w:w="7260" w:type="dxa"/>
            <w:vAlign w:val="bottom"/>
            <w:gridSpan w:val="15"/>
          </w:tcPr>
          <w:p>
            <w:pPr>
              <w:spacing w:after="0"/>
              <w:rPr>
                <w:sz w:val="21"/>
                <w:szCs w:val="21"/>
                <w:color w:val="auto"/>
              </w:rPr>
            </w:pPr>
          </w:p>
        </w:tc>
        <w:tc>
          <w:tcPr>
            <w:tcW w:w="216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2. Unregistered Sales of Equity Securities and Use of Proceeds</w:t>
              </w:r>
            </w:hyperlink>
          </w:p>
        </w:tc>
        <w:tc>
          <w:tcPr>
            <w:tcW w:w="21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50"/>
        </w:trPr>
        <w:tc>
          <w:tcPr>
            <w:tcW w:w="340" w:type="dxa"/>
            <w:vAlign w:val="bottom"/>
          </w:tcPr>
          <w:p>
            <w:pPr>
              <w:spacing w:after="0"/>
              <w:rPr>
                <w:sz w:val="21"/>
                <w:szCs w:val="21"/>
                <w:color w:val="auto"/>
              </w:rPr>
            </w:pPr>
          </w:p>
        </w:tc>
        <w:tc>
          <w:tcPr>
            <w:tcW w:w="4900" w:type="dxa"/>
            <w:vAlign w:val="bottom"/>
            <w:tcBorders>
              <w:top w:val="single" w:sz="8" w:color="0000EE"/>
            </w:tcBorders>
            <w:gridSpan w:val="1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 Defaults Upon Senior Securities</w:t>
              </w:r>
            </w:hyperlink>
          </w:p>
        </w:tc>
        <w:tc>
          <w:tcPr>
            <w:tcW w:w="3960" w:type="dxa"/>
            <w:vAlign w:val="bottom"/>
            <w:gridSpan w:val="4"/>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50"/>
        </w:trPr>
        <w:tc>
          <w:tcPr>
            <w:tcW w:w="34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4"/>
          </w:tcPr>
          <w:p>
            <w:pPr>
              <w:spacing w:after="0"/>
              <w:rPr>
                <w:sz w:val="21"/>
                <w:szCs w:val="21"/>
                <w:color w:val="auto"/>
              </w:rPr>
            </w:pPr>
          </w:p>
        </w:tc>
        <w:tc>
          <w:tcPr>
            <w:tcW w:w="5980" w:type="dxa"/>
            <w:vAlign w:val="bottom"/>
            <w:gridSpan w:val="7"/>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50"/>
        </w:trPr>
        <w:tc>
          <w:tcPr>
            <w:tcW w:w="340" w:type="dxa"/>
            <w:vAlign w:val="bottom"/>
          </w:tcPr>
          <w:p>
            <w:pPr>
              <w:spacing w:after="0"/>
              <w:rPr>
                <w:sz w:val="21"/>
                <w:szCs w:val="21"/>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5. Other Information</w:t>
              </w:r>
            </w:hyperlink>
          </w:p>
        </w:tc>
        <w:tc>
          <w:tcPr>
            <w:tcW w:w="6980" w:type="dxa"/>
            <w:vAlign w:val="bottom"/>
            <w:gridSpan w:val="14"/>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50"/>
        </w:trPr>
        <w:tc>
          <w:tcPr>
            <w:tcW w:w="34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6. Exhibits</w:t>
              </w:r>
            </w:hyperlink>
          </w:p>
        </w:tc>
        <w:tc>
          <w:tcPr>
            <w:tcW w:w="21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67</w:t>
              </w:r>
            </w:hyperlink>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700" w:type="dxa"/>
            <w:vAlign w:val="bottom"/>
            <w:gridSpan w:val="16"/>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gridSpan w:val="3"/>
          </w:tcPr>
          <w:p>
            <w:pPr>
              <w:spacing w:after="0"/>
              <w:rPr>
                <w:rFonts w:ascii="Arial" w:cs="Arial" w:eastAsia="Arial" w:hAnsi="Arial"/>
                <w:sz w:val="18"/>
                <w:szCs w:val="18"/>
                <w:b w:val="1"/>
                <w:bCs w:val="1"/>
                <w:color w:val="0000EE"/>
                <w:w w:val="96"/>
              </w:rPr>
            </w:pPr>
            <w:hyperlink w:anchor="page73">
              <w:r>
                <w:rPr>
                  <w:rFonts w:ascii="Arial" w:cs="Arial" w:eastAsia="Arial" w:hAnsi="Arial"/>
                  <w:sz w:val="18"/>
                  <w:szCs w:val="18"/>
                  <w:b w:val="1"/>
                  <w:bCs w:val="1"/>
                  <w:color w:val="0000EE"/>
                  <w:w w:val="96"/>
                </w:rPr>
                <w:t>SIGNATURES</w:t>
              </w:r>
            </w:hyperlink>
          </w:p>
        </w:tc>
        <w:tc>
          <w:tcPr>
            <w:tcW w:w="8040" w:type="dxa"/>
            <w:vAlign w:val="bottom"/>
            <w:gridSpan w:val="18"/>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72</w:t>
              </w:r>
            </w:hyperlink>
          </w:p>
        </w:tc>
      </w:tr>
      <w:tr>
        <w:trPr>
          <w:trHeight w:val="250"/>
        </w:trPr>
        <w:tc>
          <w:tcPr>
            <w:tcW w:w="14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EXHIBIT INDEX</w:t>
              </w:r>
            </w:hyperlink>
          </w:p>
        </w:tc>
        <w:tc>
          <w:tcPr>
            <w:tcW w:w="7800" w:type="dxa"/>
            <w:vAlign w:val="bottom"/>
            <w:gridSpan w:val="17"/>
          </w:tcPr>
          <w:p>
            <w:pPr>
              <w:spacing w:after="0"/>
              <w:rPr>
                <w:sz w:val="21"/>
                <w:szCs w:val="21"/>
                <w:color w:val="auto"/>
              </w:rPr>
            </w:pPr>
          </w:p>
        </w:tc>
        <w:tc>
          <w:tcPr>
            <w:tcW w:w="216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68</w:t>
              </w:r>
            </w:hyperlink>
          </w:p>
        </w:tc>
      </w:tr>
    </w:tbl>
    <w:p>
      <w:pPr>
        <w:sectPr>
          <w:pgSz w:w="11900" w:h="16838" w:orient="portrait"/>
          <w:cols w:equalWidth="0" w:num="1">
            <w:col w:w="11360"/>
          </w:cols>
          <w:pgMar w:left="280" w:top="580"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840" w:type="dxa"/>
            <w:vAlign w:val="bottom"/>
          </w:tcPr>
          <w:p>
            <w:pPr>
              <w:jc w:val="center"/>
              <w:ind w:left="227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19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20" w:type="dxa"/>
            <w:vAlign w:val="bottom"/>
          </w:tcPr>
          <w:p>
            <w:pPr>
              <w:spacing w:after="0"/>
              <w:rPr>
                <w:sz w:val="24"/>
                <w:szCs w:val="24"/>
                <w:color w:val="auto"/>
              </w:rPr>
            </w:pPr>
          </w:p>
        </w:tc>
        <w:tc>
          <w:tcPr>
            <w:tcW w:w="784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Soleno Therapeutics, Inc.</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840" w:type="dxa"/>
            <w:vAlign w:val="bottom"/>
          </w:tcPr>
          <w:p>
            <w:pPr>
              <w:jc w:val="center"/>
              <w:ind w:left="2270"/>
              <w:spacing w:after="0"/>
              <w:rPr>
                <w:sz w:val="20"/>
                <w:szCs w:val="20"/>
                <w:color w:val="auto"/>
              </w:rPr>
            </w:pPr>
            <w:r>
              <w:rPr>
                <w:rFonts w:ascii="Arial" w:cs="Arial" w:eastAsia="Arial" w:hAnsi="Arial"/>
                <w:sz w:val="18"/>
                <w:szCs w:val="18"/>
                <w:b w:val="1"/>
                <w:bCs w:val="1"/>
                <w:color w:val="auto"/>
                <w:w w:val="92"/>
              </w:rPr>
              <w:t>(formerly known as Capnia, Inc.)</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784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840" w:type="dxa"/>
            <w:vAlign w:val="bottom"/>
          </w:tcPr>
          <w:p>
            <w:pPr>
              <w:jc w:val="center"/>
              <w:ind w:left="225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5"/>
        </w:trPr>
        <w:tc>
          <w:tcPr>
            <w:tcW w:w="6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0" w:type="dxa"/>
            <w:vAlign w:val="bottom"/>
          </w:tcPr>
          <w:p>
            <w:pPr>
              <w:ind w:left="40"/>
              <w:spacing w:after="0"/>
              <w:rPr>
                <w:sz w:val="20"/>
                <w:szCs w:val="20"/>
                <w:color w:val="auto"/>
              </w:rPr>
            </w:pPr>
            <w:r>
              <w:rPr>
                <w:rFonts w:ascii="Arial" w:cs="Arial" w:eastAsia="Arial" w:hAnsi="Arial"/>
                <w:sz w:val="18"/>
                <w:szCs w:val="18"/>
                <w:b w:val="1"/>
                <w:bCs w:val="1"/>
                <w:color w:val="auto"/>
                <w:w w:val="94"/>
              </w:rPr>
              <w:t>Assets</w:t>
            </w:r>
          </w:p>
        </w:tc>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Current assets held for sale</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62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Long-term assets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Long-term assets held for sale</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62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4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compensation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62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Series A warrant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Series C warrant liability</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7840" w:type="dxa"/>
            <w:vAlign w:val="bottom"/>
          </w:tcPr>
          <w:p>
            <w:pPr>
              <w:ind w:left="100"/>
              <w:spacing w:after="0"/>
              <w:rPr>
                <w:sz w:val="20"/>
                <w:szCs w:val="20"/>
                <w:color w:val="auto"/>
              </w:rPr>
            </w:pPr>
            <w:r>
              <w:rPr>
                <w:rFonts w:ascii="Arial" w:cs="Arial" w:eastAsia="Arial" w:hAnsi="Arial"/>
                <w:sz w:val="18"/>
                <w:szCs w:val="18"/>
                <w:color w:val="auto"/>
              </w:rPr>
              <w:t>Long-term liabilities held for sale</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62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2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Preferred Stock, $.001 par value, 10,000,000 shares authorized:</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 w:type="dxa"/>
            <w:vAlign w:val="bottom"/>
            <w:shd w:val="clear" w:color="auto" w:fill="CCEEFF"/>
          </w:tcPr>
          <w:p>
            <w:pPr>
              <w:spacing w:after="0"/>
              <w:rPr>
                <w:sz w:val="19"/>
                <w:szCs w:val="19"/>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Series B convertible preferred stock, 13,780 are designated at September 30, 2017 and December 31,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2016; 10,049 and 12,780 shares issued and outstanding at September 30, 2017 and at December 31, 2016,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respectively. Liquidation value of zero.</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gridSpan w:val="2"/>
          </w:tcPr>
          <w:p>
            <w:pPr>
              <w:ind w:left="40"/>
              <w:spacing w:after="0"/>
              <w:rPr>
                <w:sz w:val="20"/>
                <w:szCs w:val="20"/>
                <w:color w:val="auto"/>
              </w:rPr>
            </w:pPr>
            <w:r>
              <w:rPr>
                <w:rFonts w:ascii="Arial" w:cs="Arial" w:eastAsia="Arial" w:hAnsi="Arial"/>
                <w:sz w:val="18"/>
                <w:szCs w:val="18"/>
                <w:color w:val="auto"/>
                <w:w w:val="95"/>
              </w:rPr>
              <w:t>Common stock, $0.001 par value, 100,000,000 shares authorized, 9,970,538 and 3,357,390 shares issued and</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outstanding at September 30, 2017 and December 31, 2016, respectively. (Note 14)</w:t>
            </w:r>
          </w:p>
        </w:tc>
        <w:tc>
          <w:tcPr>
            <w:tcW w:w="1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101,743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(98,312)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7"/>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Therapuetics,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warrants liabilities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Cease-use expense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960" w:type="dxa"/>
            <w:vAlign w:val="bottom"/>
          </w:tcPr>
          <w:p>
            <w:pPr>
              <w:ind w:left="50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43"/>
        </w:trPr>
        <w:tc>
          <w:tcPr>
            <w:tcW w:w="5960" w:type="dxa"/>
            <w:vAlign w:val="bottom"/>
          </w:tcPr>
          <w:p>
            <w:pPr>
              <w:ind w:left="480"/>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2"/>
              </w:rPr>
              <w:t>Loss per common share from continuing operations, basic and diluted (Note 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5960" w:type="dxa"/>
            <w:vAlign w:val="bottom"/>
          </w:tcPr>
          <w:p>
            <w:pPr>
              <w:ind w:left="40"/>
              <w:spacing w:after="0"/>
              <w:rPr>
                <w:sz w:val="20"/>
                <w:szCs w:val="20"/>
                <w:color w:val="auto"/>
              </w:rPr>
            </w:pPr>
            <w:r>
              <w:rPr>
                <w:rFonts w:ascii="Arial" w:cs="Arial" w:eastAsia="Arial" w:hAnsi="Arial"/>
                <w:sz w:val="18"/>
                <w:szCs w:val="18"/>
                <w:color w:val="auto"/>
                <w:w w:val="94"/>
              </w:rPr>
              <w:t>Loss per common share from discontinued operations, basic and diluted (Note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5960" w:type="dxa"/>
            <w:vAlign w:val="bottom"/>
          </w:tcPr>
          <w:p>
            <w:pPr>
              <w:ind w:left="480"/>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common share, basic and diluted (Note 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67"/>
        </w:trPr>
        <w:tc>
          <w:tcPr>
            <w:tcW w:w="59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9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89"/>
              </w:rPr>
              <w:t>Weighted-average common shares outstanding used to calculate basic and diluted</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10,766,608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3,152,306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8,936,255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3,072,729</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(Note 14)</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loss from continuing operations to net cash used in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disposition of property &amp;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Board fees paid with common stock</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common stock warrants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Non-cash expense of issuing shares to Aspire Capital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Accrued compensation and other current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Essentialis acquisition paid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continuing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b w:val="1"/>
                <w:bCs w:val="1"/>
                <w:color w:val="auto"/>
              </w:rPr>
              <w:t>Net cash provided by (used for) discontinued investing activities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Series A preferred convertible stock</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convertible stock transaction costs paid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Series B preferred stock</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of Series A preferred stock in conjunction with issuance of Series B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continuing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Conversion of Series A preferred to common stock</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Issuance of common stock in Essentialis acquisition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Contingent consideration of Essentialis acquisition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De-recognition of Series B warrant liability (cashless exercise)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Series B preferred transactions costs in 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ectPr>
          <w:pgSz w:w="11900" w:h="16897" w:orient="portrait"/>
          <w:cols w:equalWidth="0" w:num="1">
            <w:col w:w="11420"/>
          </w:cols>
          <w:pgMar w:left="240" w:top="580" w:right="239" w:bottom="0" w:gutter="0" w:footer="0" w:header="0"/>
        </w:sectPr>
      </w:pPr>
    </w:p>
    <w:bookmarkStart w:id="5" w:name="page6"/>
    <w:bookmarkEnd w:id="5"/>
    <w:p>
      <w:pPr>
        <w:spacing w:after="0"/>
        <w:tabs>
          <w:tab w:leader="none" w:pos="8540" w:val="left"/>
          <w:tab w:leader="none" w:pos="9600" w:val="left"/>
          <w:tab w:leader="none" w:pos="10020" w:val="left"/>
          <w:tab w:leader="none" w:pos="1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Fixed asset purchases in accounts payable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11</w:t>
      </w:r>
    </w:p>
    <w:p>
      <w:pPr>
        <w:sectPr>
          <w:pgSz w:w="11900" w:h="16838" w:orient="portrait"/>
          <w:cols w:equalWidth="0" w:num="1">
            <w:col w:w="11280"/>
          </w:cols>
          <w:pgMar w:left="280" w:top="166" w:right="33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80" w:top="166"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Soleno Therapeutics, Inc. (formerly known as Capnia, Inc.) (the “Company”) was incorporated in the State of Delaware on August 25, 1999, and is located in Redwood City, California. On May 8, 2017, the Company received stockholder approval to amend the Amended and Restate Certificate of Incorporation of the Company, to change the name of the Company to Soleno Therapeutics, Inc.</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 (see Note 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27, 2015, the Company established Capnia UK Limited, a wholly owned foreign subsidiary in the United Kingdom.</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 March 7, 2017, the Company completed the merger with Essentialis, Inc., a Delaware corporation, or Essentialis. After the merger, the Company's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has tested Diazoxide Choline Controlled Release, or DCCR, tablets as a treatment for Prader-Willi syndrome, or PWS, a complex metabolic/neurobehavioral disorder.</w:t>
      </w:r>
    </w:p>
    <w:p>
      <w:pPr>
        <w:spacing w:after="0" w:line="27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May of 2017 the Company had a scientific advice meeting with the U. S. Food and Drug Administration, or FDA . The FDA supported change in hyperphagia score (without a change in weight) compared to placebo as the primary endpoint for the planned Phase III study. The dosing paradigm proposed for the Phase III study was acceptable. The FDA proposed and the Company agreed that the duration of the randomized double-blind placebo controlled study should be shorter (3-4 months). Safety information about DCCR could be obtained in a long-term, safety extension study. There was agreement on several other aspects of the study and the overall development program, and additional regulatory input is being sought on others.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 2017, the Company established Capnia, Inc. ("Capnia"), a wholly owned subsidiary of the Company.</w:t>
      </w:r>
    </w:p>
    <w:p>
      <w:pPr>
        <w:spacing w:after="0" w:line="11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 through its wholly owned subsidiary Capnia, continues to sell the CoSense</w:t>
      </w:r>
      <w:r>
        <w:rPr>
          <w:rFonts w:ascii="Arial" w:cs="Arial" w:eastAsia="Arial" w:hAnsi="Arial"/>
          <w:sz w:val="16"/>
          <w:szCs w:val="16"/>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87"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Following the merger with Essentialis, the Company initiated a comprehensive review of strategic alternatives for the legacy products and product candidates, CoSense® ETCO Monitor, and its portfolio of innovative pulmonary resuscitation solutions for the neonatal market. The Company may also license elements of its Sensalyze Technology Platform to other companies that have complementary development or commercial capabilities (see Note 5).</w:t>
      </w:r>
    </w:p>
    <w:p>
      <w:pPr>
        <w:spacing w:after="0" w:line="14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On October 6, 2017, the Company effected a one-for-five (1:5) reverse stock split of its then outstanding Common Stock and, accordingly, all common share and per share data are retrospectively restated to give effect of the split for all periods presented herein (see Note 14).</w:t>
      </w:r>
    </w:p>
    <w:p>
      <w:pPr>
        <w:spacing w:after="0" w:line="30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into late-stage clinical development.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Liquidity, Going Concern and Management’s Plans</w:t>
      </w:r>
    </w:p>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had a net loss of approximately $10.6 million for the nine months ended September 30, 2017, and has an accumulated deficit of approximately $109.0 at September 30, 2017, from having incurred losses since its inception. The Company has approximately $4.7 million of working capital at September 30, 2017, and used approximately $7.2 million of cash in its operating activities during the nine months ended September 30, 2017. The Company has financed its operations principally through issuances of debt and equity securities.</w:t>
      </w:r>
    </w:p>
    <w:p>
      <w:pPr>
        <w:spacing w:after="0" w:line="7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141,666 shares of Common Stock as commitment shares under the 2017 Aspire Purchase Agreement.</w:t>
      </w:r>
    </w:p>
    <w:p>
      <w:pPr>
        <w:spacing w:after="0" w:line="46"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1,666,666 shares of common stock for an investment of $8 million from the completion of the concurrent financing and issued 416,666 shares of common stock for an investment of $2 million from Aspire Capital.</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18, 2017, the Company sold NFI, its wholly owned subsidiary, for $977,000 (see Note 5).</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Company expects to continue incurring losses for the foreseeable future and may be required to raise additional capital to pursue its therapeutic product development initiatives. These conditions raise substantial doubt about the Company's ability to continue as a going concern for a period of twelve months from the date of this report.</w:t>
      </w:r>
    </w:p>
    <w:p>
      <w:pPr>
        <w:spacing w:after="0" w:line="73"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Company has been successful over the last 12 months in raising additional capital including the completed closings pursuant to the 2016 Sabby Purchase Agreement, the 2017 Aspire Purchase Agreement and the concurrent financing associated with the merger of Essentialis. Management believes that the Company will continue to have access to capital resources through possible public or private equity offerings, debt financings, corporate collaborations or other means; however, other than the 2017 Aspire Purchase Agreement, the Company has not secured any commitment for future financing at this time, nor can it provide any assurance that new financing will be available on commercially acceptable terms, if at all. If the Company is unable to secure additional capital, it may be required to curtail its development of its therapeutic product development initiative and take additional measures to reduce costs in order to conserve its cash in amounts sufficient to sustain operations and meet its obligations. These measures could cause significant delays in the Company's efforts complete its therapeutic development program, which is critical to the realization of its business plan and the future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nine months ended September 30, 2017, as compared to the significant accounting policies described in Note 3 of the “Notes to Consolidated Financial Statements” in the Company’s Annual Report on Form 10-K for the year ended December 31, 2016. Below are those policies with current period updates: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Accordingly, they do not include all of the information and notes required by accounting principles generally accepted in the United States, or GAAP, for complete financial statements. The condensed consolidated balance sheet at December 31, 2016, has been derived from the audited consolidated financial statements at that date, but does not include all disclosures, including notes, required by GAAP for complete financial statements.</w:t>
      </w:r>
    </w:p>
    <w:p>
      <w:pPr>
        <w:spacing w:after="0" w:line="5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September 30, 2017, and results of its operations for the three and nine months ended September 30, 2017, and 2016, and cash flows for the nine months ended September 30, 2017, and 2016. The interim results are not necessarily indicative of the results for any future interim period or for the entire year. Certain prior period amounts have been reclassified to conform to current period presentation. These classifications have no effect on the previously reported net loss of loss per share.</w:t>
      </w:r>
    </w:p>
    <w:p>
      <w:pPr>
        <w:spacing w:after="0" w:line="8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2016, included in the Company's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ind w:right="2300" w:firstLine="486"/>
        <w:spacing w:after="0" w:line="28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estimates. Key estimates included in the financial statements include the valuation of: deferred income tax assets, liability and equity instruments, stock-based compensation, acquired intangibles, contingent earn-out consideration, and allowances for accounts receivable and inventory.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2017, and December 31, 2016, the Company had no inventory in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This standard requires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87" w:lineRule="exact"/>
        <w:rPr>
          <w:sz w:val="20"/>
          <w:szCs w:val="20"/>
          <w:color w:val="auto"/>
        </w:rPr>
      </w:pPr>
    </w:p>
    <w:p>
      <w:pPr>
        <w:ind w:right="280" w:firstLine="405"/>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adjustment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consist of Series A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 accordingly, they are recorded as liabilities on the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July 2017, FASB issued ASU No. 2017-11, Earnings per Share (Topic 260), Distinguishing Liabilities from Equity (Topic 480), Derivatives and Hedging (Topic 815). ASU 2017-11 consists of two parts. The amendments in Part I of this Update change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87" w:lineRule="auto"/>
        <w:rPr>
          <w:sz w:val="20"/>
          <w:szCs w:val="20"/>
          <w:color w:val="auto"/>
        </w:rPr>
      </w:pPr>
      <w:r>
        <w:rPr>
          <w:rFonts w:ascii="Arial" w:cs="Arial" w:eastAsia="Arial" w:hAnsi="Arial"/>
          <w:sz w:val="16"/>
          <w:szCs w:val="16"/>
          <w:color w:val="auto"/>
        </w:rPr>
        <w:t>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(in Subtopic 470-20, Debt-Debt with Conversion and Other Options), including related EPS guidance (in Topic 260).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If an entity early adopts the amendments in an interim period, any adjustments should be reflected as of the beginning of the fiscal year that includes that interim period. The amendments in Part II of this Update do not require any transition guidance because those amendments do not have an accounting effect. The Company is in the process of evaluating this ASU and adoption of this ASU is not expected to have a material impact on the Company’s condensed consolidated financial position and results of operations.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which clarifies which changes to the terms or conditions of a share-based payment award require an entity to apply modification accounting. The standard is effective beginning after December 15, 2017; early adoption is permitted. The Company is currently evaluating the effect that ASU 2017-09 will have on the Company’s condensed consolidated financial position and results of operations.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removes Step 2 from the goodwill impairment test. It is effective for annual and interim periods beginning after December 15, 2019. Early adoption is permitted for interim or annual goodwill impairment test performed with a measurement date after January 1, 2017. The Company is currently evaluating the effect that ASU 2017-04 will have on the Company’s condensed consolidated financial position and results of operations.</w:t>
      </w:r>
    </w:p>
    <w:p>
      <w:pPr>
        <w:spacing w:after="0" w:line="154"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Early application of the amendments in ASU 2017-01 are allowed for transactions for which the acquisition date is before the effective date of the amendments, but only when the transactions have not been reported in the financial statements that have been issued. The Company early adopted ASU 2017-01 for the acquisition of Essentialis, Inc. (see Note 11).</w:t>
      </w:r>
    </w:p>
    <w:p>
      <w:pPr>
        <w:spacing w:after="0" w:line="113"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Besides the accounting pronouncement above, there have been no other new accounting pronouncements or changes to accounting pronouncements during the nine months ended Septmber 30, 2017, as compared to the recent accounting pronouncements described in the Company’s Annual Report on Form 10-K for the year ended December 31, 2016, that are of significance or potential significance to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62"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374" w:lineRule="exact"/>
        <w:rPr>
          <w:sz w:val="20"/>
          <w:szCs w:val="20"/>
          <w:color w:val="auto"/>
        </w:rPr>
      </w:pPr>
    </w:p>
    <w:p>
      <w:pPr>
        <w:ind w:left="720" w:hanging="30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238" w:lineRule="exact"/>
        <w:rPr>
          <w:rFonts w:ascii="Arial" w:cs="Arial" w:eastAsia="Arial" w:hAnsi="Arial"/>
          <w:sz w:val="18"/>
          <w:szCs w:val="18"/>
          <w:color w:val="auto"/>
        </w:rPr>
      </w:pPr>
    </w:p>
    <w:p>
      <w:pPr>
        <w:ind w:left="660" w:right="120" w:hanging="247"/>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720" w:hanging="307"/>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200" w:lineRule="exact"/>
        <w:rPr>
          <w:sz w:val="20"/>
          <w:szCs w:val="20"/>
          <w:color w:val="auto"/>
        </w:rPr>
      </w:pPr>
    </w:p>
    <w:p>
      <w:pPr>
        <w:spacing w:after="0" w:line="25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recurring basis by level within the fair value hierarchy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0" w:type="dxa"/>
            <w:vAlign w:val="bottom"/>
            <w:gridSpan w:val="9"/>
          </w:tcPr>
          <w:p>
            <w:pPr>
              <w:jc w:val="right"/>
              <w:spacing w:after="0"/>
              <w:rPr>
                <w:sz w:val="20"/>
                <w:szCs w:val="20"/>
                <w:color w:val="auto"/>
              </w:rPr>
            </w:pPr>
            <w:r>
              <w:rPr>
                <w:rFonts w:ascii="Arial" w:cs="Arial" w:eastAsia="Arial" w:hAnsi="Arial"/>
                <w:sz w:val="18"/>
                <w:szCs w:val="18"/>
                <w:color w:val="auto"/>
                <w:w w:val="90"/>
              </w:rPr>
              <w:t>Fair Value Measurements at September 30, 2017</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Level 3</w:t>
            </w: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Series A warrant liability</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289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C warrant liability</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20</w:t>
            </w:r>
          </w:p>
        </w:tc>
      </w:tr>
      <w:tr>
        <w:trPr>
          <w:trHeight w:val="297"/>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309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20</w:t>
            </w:r>
          </w:p>
        </w:tc>
      </w:tr>
      <w:tr>
        <w:trPr>
          <w:trHeight w:val="311"/>
        </w:trPr>
        <w:tc>
          <w:tcPr>
            <w:tcW w:w="606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37"/>
        </w:trPr>
        <w:tc>
          <w:tcPr>
            <w:tcW w:w="6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0" w:type="dxa"/>
            <w:vAlign w:val="bottom"/>
            <w:gridSpan w:val="9"/>
          </w:tcPr>
          <w:p>
            <w:pPr>
              <w:jc w:val="right"/>
              <w:spacing w:after="0"/>
              <w:rPr>
                <w:sz w:val="20"/>
                <w:szCs w:val="20"/>
                <w:color w:val="auto"/>
              </w:rPr>
            </w:pPr>
            <w:r>
              <w:rPr>
                <w:rFonts w:ascii="Arial" w:cs="Arial" w:eastAsia="Arial" w:hAnsi="Arial"/>
                <w:sz w:val="18"/>
                <w:szCs w:val="18"/>
                <w:color w:val="auto"/>
                <w:w w:val="90"/>
              </w:rPr>
              <w:t>Fair Value Measurements at December 31, 2016</w:t>
            </w:r>
          </w:p>
        </w:tc>
        <w:tc>
          <w:tcPr>
            <w:tcW w:w="900" w:type="dxa"/>
            <w:vAlign w:val="bottom"/>
          </w:tcPr>
          <w:p>
            <w:pPr>
              <w:spacing w:after="0"/>
              <w:rPr>
                <w:sz w:val="20"/>
                <w:szCs w:val="20"/>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warrant liability</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Series C warrant liability</w:t>
            </w:r>
          </w:p>
        </w:tc>
        <w:tc>
          <w:tcPr>
            <w:tcW w:w="8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86</w:t>
            </w:r>
          </w:p>
        </w:tc>
      </w:tr>
      <w:tr>
        <w:trPr>
          <w:trHeight w:val="27"/>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common stock warrant liability</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280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86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C Warrants are based on significant inputs that are unobservable and thus represent Level 3 measurements. The Company’s estimated fair value of the Series C Warrant liability is calculated using the Black-Scholes valuation model. Key assumptions include the volatility of the Company’s stock, the expected warrant term, expected dividend yield and risk-free interest rates (see Note 6). The Level 3 estimates are based, in part, on subjective assumptions.</w:t>
      </w:r>
    </w:p>
    <w:p>
      <w:pPr>
        <w:spacing w:after="0" w:line="193"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agreement to pay the annual royalty in the NeoForce acquisition (Note 8) resulted in the recognition of a contingent consideration, which was recognized on the acquisition date. Subsequent changes to estimates of the amount of contingent consideration to be paid were recognized as charges or credits in the statement of operations. The fair value of the contingent consideration was based on preliminary cash flow projections, growth in expected product sales and other assumptions. Based on the assumptions, the fair value of the royalty obligation was determined to be $153,000 at September 30,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 The Neo Force royalty obligation was assumed by Flexicare Medical Limited to whom the company sold NFI on July 18, 2017 (see Note 5).</w:t>
      </w:r>
    </w:p>
    <w:p>
      <w:pPr>
        <w:spacing w:after="0" w:line="17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agreement to pay the commercial milestones in the Essentials acquisition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FDA approval process and then reaching the cumulative revenue milestones. Based on the assumptions, the fair value of the milestone obligation was determined to be $1.1 million at March 7, 2017. There was no change to the fair value of the contingent consideration as of September 30, 2017. The fair value of the contingent consideration was determined by applying a 15.3% probability of achieving each milestone. Additionally, the Company made an assessment that the commercial milestones of $100 million and $200 million in applicable revenue could be reached in 2023 and 2025, respectively. These inputs are considered Level 3 inputs under the fair value measurements and disclosure guidance.</w:t>
      </w:r>
    </w:p>
    <w:p>
      <w:pPr>
        <w:spacing w:after="0" w:line="19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On January 13, 2016, the Company entered into an agreement to sublease its excess space located in Redwood City. By the end of February 2016 the Company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 of capital of 20%. These inputs are considered Level 3 inputs under the fair value measurements and disclosure guidance.</w:t>
      </w:r>
    </w:p>
    <w:p>
      <w:pPr>
        <w:sectPr>
          <w:pgSz w:w="11900" w:h="16838" w:orient="portrait"/>
          <w:cols w:equalWidth="0" w:num="1">
            <w:col w:w="11420"/>
          </w:cols>
          <w:pgMar w:left="240" w:top="827"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27" w:right="239" w:bottom="1440" w:gutter="0" w:footer="0" w:header="0"/>
          <w:type w:val="continuous"/>
        </w:sectPr>
      </w:pPr>
    </w:p>
    <w:bookmarkStart w:id="11" w:name="page12"/>
    <w:bookmarkEnd w:id="11"/>
    <w:p>
      <w:pPr>
        <w:ind w:firstLine="405"/>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2017, and December 31, 2016, the Company had $5.3 million and $2.6 million in money market funds, respectively.</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as follows (dollars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780" w:type="dxa"/>
            <w:vAlign w:val="bottom"/>
            <w:gridSpan w:val="5"/>
          </w:tcPr>
          <w:p>
            <w:pPr>
              <w:ind w:left="740"/>
              <w:spacing w:after="0"/>
              <w:rPr>
                <w:sz w:val="20"/>
                <w:szCs w:val="20"/>
                <w:color w:val="auto"/>
              </w:rPr>
            </w:pPr>
            <w:r>
              <w:rPr>
                <w:rFonts w:ascii="Arial" w:cs="Arial" w:eastAsia="Arial" w:hAnsi="Arial"/>
                <w:sz w:val="18"/>
                <w:szCs w:val="18"/>
                <w:color w:val="auto"/>
              </w:rPr>
              <w:t>Series A Warrant</w:t>
            </w: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88"/>
              </w:rPr>
              <w:t>Series C Warrant</w:t>
            </w:r>
          </w:p>
        </w:tc>
      </w:tr>
      <w:tr>
        <w:trPr>
          <w:trHeight w:val="27"/>
        </w:trPr>
        <w:tc>
          <w:tcPr>
            <w:tcW w:w="58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582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Warrants</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Liability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Liability</w:t>
            </w:r>
          </w:p>
        </w:tc>
      </w:tr>
      <w:tr>
        <w:trPr>
          <w:trHeight w:val="27"/>
        </w:trPr>
        <w:tc>
          <w:tcPr>
            <w:tcW w:w="58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Change in value of Series A Warrants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value of Series C Warrants</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485,121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118,083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Discontinued Operations, Assets Held for Sale and Asset Sale Transaction</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Subsequent to the merger with Essentialis (see Note 11), the Company explored opportunities divest, sell or dispose of the CoSense, Neo Force, Inc. and Serenz businesses.</w:t>
      </w:r>
    </w:p>
    <w:p>
      <w:pPr>
        <w:spacing w:after="0" w:line="170" w:lineRule="exact"/>
        <w:rPr>
          <w:sz w:val="20"/>
          <w:szCs w:val="20"/>
          <w:color w:val="auto"/>
        </w:rPr>
      </w:pPr>
    </w:p>
    <w:p>
      <w:pPr>
        <w:jc w:val="both"/>
        <w:ind w:right="220" w:firstLine="405"/>
        <w:spacing w:after="0" w:line="302" w:lineRule="auto"/>
        <w:rPr>
          <w:sz w:val="20"/>
          <w:szCs w:val="20"/>
          <w:color w:val="auto"/>
        </w:rPr>
      </w:pPr>
      <w:r>
        <w:rPr>
          <w:rFonts w:ascii="Arial" w:cs="Arial" w:eastAsia="Arial" w:hAnsi="Arial"/>
          <w:sz w:val="16"/>
          <w:szCs w:val="16"/>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components of the balance sheet accounts presented as assets and liabilities held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660" w:type="dxa"/>
            <w:vAlign w:val="bottom"/>
          </w:tcPr>
          <w:p>
            <w:pPr>
              <w:jc w:val="right"/>
              <w:ind w:right="145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1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color w:val="auto"/>
              </w:rPr>
              <w:t>Current assets held for sale</w:t>
            </w:r>
          </w:p>
        </w:tc>
        <w:tc>
          <w:tcPr>
            <w:tcW w:w="1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563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Long-term assets</w:t>
            </w: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73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&amp; equipment, net</w:t>
            </w:r>
          </w:p>
        </w:tc>
        <w:tc>
          <w:tcPr>
            <w:tcW w:w="1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6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intangible assets</w:t>
            </w:r>
          </w:p>
        </w:tc>
        <w:tc>
          <w:tcPr>
            <w:tcW w:w="1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color w:val="auto"/>
              </w:rPr>
              <w:t>Long-term assets held for sale</w:t>
            </w:r>
          </w:p>
        </w:tc>
        <w:tc>
          <w:tcPr>
            <w:tcW w:w="1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other current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64"/>
        </w:trPr>
        <w:tc>
          <w:tcPr>
            <w:tcW w:w="73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 for sale</w:t>
            </w:r>
          </w:p>
        </w:tc>
        <w:tc>
          <w:tcPr>
            <w:tcW w:w="166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1660" w:type="dxa"/>
            <w:vAlign w:val="bottom"/>
          </w:tcPr>
          <w:p>
            <w:pPr>
              <w:jc w:val="right"/>
              <w:ind w:right="145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liabilities held for sale</w:t>
            </w:r>
          </w:p>
        </w:tc>
        <w:tc>
          <w:tcPr>
            <w:tcW w:w="1660" w:type="dxa"/>
            <w:vAlign w:val="bottom"/>
            <w:tcBorders>
              <w:bottom w:val="single" w:sz="8" w:color="CCEEFF"/>
            </w:tcBorders>
            <w:shd w:val="clear" w:color="auto" w:fill="CCEEFF"/>
          </w:tcPr>
          <w:p>
            <w:pPr>
              <w:jc w:val="right"/>
              <w:ind w:right="14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The components of the income statement accounts presented as Discontinued Operations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1,288</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Gross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w:t>
            </w: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1,454</w:t>
            </w: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r>
      <w:tr>
        <w:trPr>
          <w:trHeight w:val="237"/>
        </w:trPr>
        <w:tc>
          <w:tcPr>
            <w:tcW w:w="4580" w:type="dxa"/>
            <w:vAlign w:val="bottom"/>
          </w:tcPr>
          <w:p>
            <w:pPr>
              <w:ind w:left="680"/>
              <w:spacing w:after="0"/>
              <w:rPr>
                <w:sz w:val="20"/>
                <w:szCs w:val="20"/>
                <w:color w:val="auto"/>
              </w:rPr>
            </w:pPr>
            <w:r>
              <w:rPr>
                <w:rFonts w:ascii="Arial" w:cs="Arial" w:eastAsia="Arial" w:hAnsi="Arial"/>
                <w:sz w:val="18"/>
                <w:szCs w:val="18"/>
                <w:color w:val="auto"/>
              </w:rPr>
              <w:t>Total expenses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4,041</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Operating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(1,027)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Loss on sale of assets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(1,235)</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ind w:firstLine="405"/>
        <w:spacing w:after="0" w:line="286" w:lineRule="auto"/>
        <w:rPr>
          <w:sz w:val="20"/>
          <w:szCs w:val="20"/>
          <w:color w:val="auto"/>
        </w:rPr>
      </w:pPr>
      <w:r>
        <w:rPr>
          <w:rFonts w:ascii="Arial" w:cs="Arial" w:eastAsia="Arial" w:hAnsi="Arial"/>
          <w:sz w:val="16"/>
          <w:szCs w:val="16"/>
          <w:color w:val="auto"/>
        </w:rPr>
        <w:t>On July 18, 2017, the Company completed the sale of stock of its wholly-owned subsidiary, NFI, which operations related primarily to the Company's portfolio of neonatology resuscitation business pursuant to a Stock Purchase Agreement (the "Purchase Agreement") with NeoForce Holdings, Inc. ("Holdings"), a wholly-owned subsidiary of Flexicare Medical Limited, a privately held United Kingdom company, for $720,000 and adjustments for inventory and the current cash balances held at NFI. The Company will also receive payment for the total outstanding accounts receivable and inventory balances held by NFI at the time of the closing of the sale transaction as the receivable balances are collected and the inventory is sold. The Purchase Agreement includes customary terms and conditions, including an adjustment to the purchase price based on inventory and accounts receivable, and provisions that require the Company to indemnify Holdings for certain losses that Holdings might incur resulting from a breach by the Company of its representations and warranties stated in the Purchase Agreement and other matters. Total sales proceeds recorded by the Company were $977,000 consisting of $720,000 received in cash upon completing the sales transaction and a receivable recorded by the Company in the total amount of $257,000 as the fair value of accounts receivable and inventory collections expected to be realized. Upon completing the sale transaction, the Company recorded a loss on the sale in the amount of $208,000 as the net book value of assets sold in the amount of $1.185 million exceeded the total proceeds of $977,000. The Company collected $142,000 of the receivable for inventory and accounts receivable by September 30, 2017, and the remaining balance of $115,000 for the receivable for inventory and accounts receivable is recorded in Current Assets Held for Sale in the Condensed Consolidated Balance Sheet as of September 30, 2017.</w:t>
      </w:r>
    </w:p>
    <w:p>
      <w:pPr>
        <w:spacing w:after="0" w:line="9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NFI sale transaction is a continuation of the process previously disclosed by the Company of evaluating strategic alternatives and focusing on the Company's rare disease therapeutic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issued and outstanding Series A Warrants and Series C Warrants (the “Warrants”).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Company’s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Company's cash or cash equivalents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classified the Warrants as liabilities at their fair value and will re-measure the warrants at each balance sheet date until they are exercised or expire. Any change in the fair value is recognized as other income (expense) in the Company’s statement of operations.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jc w:val="both"/>
        <w:ind w:right="660" w:firstLine="432"/>
        <w:spacing w:after="0" w:line="286" w:lineRule="auto"/>
        <w:rPr>
          <w:sz w:val="20"/>
          <w:szCs w:val="20"/>
          <w:color w:val="auto"/>
        </w:rPr>
      </w:pPr>
      <w:r>
        <w:rPr>
          <w:rFonts w:ascii="Arial" w:cs="Arial" w:eastAsia="Arial" w:hAnsi="Arial"/>
          <w:sz w:val="17"/>
          <w:szCs w:val="17"/>
          <w:color w:val="auto"/>
        </w:rPr>
        <w:t>Upon the completion of the IPO, the Series A Warrants started trading on the NASDAQ under the symbol CAPNW, and now under the symbol SLNOW as the result of the The Company name change to Soleno Therapeutics, Inc. in May 2017. As the Series A Warrants are publicly traded, the Company uses the closing price on the measurement date to determine the fair value of these the Series A Warrants.</w:t>
      </w:r>
    </w:p>
    <w:p>
      <w:pPr>
        <w:spacing w:after="0" w:line="16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Since their issuance, a total of 4,800 Series A Warrants have been exercised. As of September 30, 2017, the fair value of the 485,121 outstanding Series A Warrants was approximately $289,000, and the decrease of $126,000 and the increase of $95,000, respectively, in fair value during the three and nine months ended September 30, 2017, was recorded as other income and other expense, respectively, in the statement of operations. As of September 30, 2016, the fair value of the outstanding Series A warrants was approximately $509,000, and the decrease of $121,000 and $703,000 in fair value during the three and nine months ended September 30, 2016, was recorded as other income in the statement of operations.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22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issued 489,921 Series B Warrants to purchase shares of its Common Stock at an exercise price of $32.50 per share in connection with the IPO. Certain Series B Warrant holders elected to exercise Series B Warrants for an aggregate of 117,902 shares of Common Stock and a new Series C Warrant for each share of Common Stock for which the Series B Warrants were exercised. Between January 1, 2016, and the expiration of the Series B Warrants on February 12, 2016, certain holders of the Series B Warrants exercised in cashless transactions a total of 20,460 Series B Warrants resulting in the issuance of 97,100 shares of Common Stock. The remaining Series B Warrants expired on February 12, 2016 and no Series B Warrants remain outstanding thereafter.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9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905 Series C Warrants and proceeds to the Company of $5,882.</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Series C Warrants are exercisable into 118,083 shares of the Company’s Common Stock. As of September 30, 2017, the fair value of the Series C Warrants was determined to be $20,000. The decline in the fair value of the Series C Warrants of $4,000 during the three months ended September 30, 2017 and $66,000 in the nine months ended September 30, 2017, was recorded as other income in the consolidated statement of operations. As of September 30, 2016, the fair value of the Series C Warrants was determined to be $115,000. The decline in the fair value of the warrants of $79,000 during the three months ended September 30, 2016, and $348,000 in the nine months ended September 30, 2016 was recorded as other income in the consolidated statement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ind w:right="100" w:firstLine="432"/>
        <w:spacing w:after="0" w:line="340"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requires the input of highly subjective assumptions including the expected stock price volatility. The Company used the following inputs: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2017</w:t>
            </w: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3.17</w:t>
            </w:r>
          </w:p>
        </w:tc>
      </w:tr>
      <w:tr>
        <w:trPr>
          <w:trHeight w:val="27"/>
        </w:trPr>
        <w:tc>
          <w:tcPr>
            <w:tcW w:w="8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 Purchase Agreement</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the Company's Common Stock over the 30-month term of the 2017 Aspire Purchase Agreement. The Company issued Aspire Capital 141,666 shares of Common Stock as commitment shares under the 2017 Aspire Purchase Agreement and the resulting expense for issuing these commitment shares, in the amount of $602 thousand, is recorded as Other Expense in the Statement of Operations. Further, on March 7, 2017, the closing of the financing, as described in the Agreement and Plan of Merger dated December 22, 2016 (the "Merger Agreement"), the Company sold to Aspire Capital, 416,666 of the Company's common stock at $4.80 per share for an aggregate of $2.0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signed an amendment to its lease agreement, extending the lease through June 2018. The amendment provides for monthly lease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$22,000 beginning in June 2015, with increases in the following two years. The Company subleased this facility in January 2016 and ceased use of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March 2016 (See Note 4).</w:t>
      </w:r>
    </w:p>
    <w:p>
      <w:pPr>
        <w:spacing w:after="0" w:line="21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also leased approximately 2,100 square feet of office space for its operations in Ivyland, Pennsylvania under a month-to-month lease, which lease was assumed by Holdings pursuant to the Purchase completed on July 18, 2017 (see Note 5).</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was $405,000 and $462,000 during the nine months ended September 30,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was recognized at the closing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$153,000 at June 30,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27"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inputs under the fair value measurements and disclosure guidance. The contingent consideration was classified as liabilities held for sale as of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Neo Force royalty obligation was assumed by Flexicare Medical Limited to whom the company sold NFI on July 18, 2017 (see Note 5).</w:t>
      </w:r>
    </w:p>
    <w:p>
      <w:pPr>
        <w:spacing w:after="0" w:line="21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connection with the merger with Essentialis, the Company agreed to pay Essentialis stockholders earnout payments up to a maximum of $30 million upon the achievement of certain commercial milestones associated with the sale of Essentialis’ product. The agreement to pay the commercial milestones resulted in the recognition of a contingent consideration, which was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There was no change to the fair value of the contingent consideration as of September 30, 2017. The entire $1.1 million was classified as a long-term liability.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7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The Series B Convertible Preferred Stock is convertible to Common Stock of the Company at the rate of 200 shares of Common Stock for each converted share of Series B Convertible Preferred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$12.30 to $8.75 per share on the effective date of the 2016 Sabby Purchase Agreement. Sabby converted 1,000 shares of Series B Convertible Preferred Stock into 200,000 shares of Common Stock during 2016.</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nine months ended September 30, 2017, Sabby converted 2,731 Series B Convertible Preferred stock into 546,200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there were 10,049 Series B Convertible Preferred Stock outstanding.</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Company issued 3,783,388 shares of common stock to stockholders of Essentialis. The Company held back 182,675 shares of common stock as partial recourse to satisfy indemnification claims, and such shares will be issued to Essentialis stockholders on the 1 year anniversary of the closing of the merger. The Company is also obligated to issue an additional 913,389 shares of common stock to Essentialis stockholders upon the achievement of a development milestone.</w:t>
      </w:r>
    </w:p>
    <w:p>
      <w:pPr>
        <w:spacing w:after="0" w:line="7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also issued 1,666,666 shares of common stock at $4.80 per share for an investment of $8 million from the completion of the concurrent financing and issued 416,666 shares of common stock at $4.80 per share for an investment of $2 million from Aspire Capital.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17" w:name="page18"/>
    <w:bookmarkEnd w:id="17"/>
    <w:p>
      <w:pPr>
        <w:ind w:right="340" w:firstLine="432"/>
        <w:spacing w:after="0" w:line="279" w:lineRule="auto"/>
        <w:rPr>
          <w:sz w:val="20"/>
          <w:szCs w:val="20"/>
          <w:color w:val="auto"/>
        </w:rPr>
      </w:pPr>
      <w:r>
        <w:rPr>
          <w:rFonts w:ascii="Arial" w:cs="Arial" w:eastAsia="Arial" w:hAnsi="Arial"/>
          <w:sz w:val="17"/>
          <w:szCs w:val="17"/>
          <w:color w:val="auto"/>
        </w:rPr>
        <w:t>Options are to be granted at an exercise price not less than fair value for an ISO or 85% of fair value for an NSO. For individuals holding more than 10% of the voting rights of all classes of stock, the exercise price of an option will not be for less than 110% of fair value. The vesting period is normally monthly over a period of 4 years from the vesting date. The contractual term of an option is no longer than 5 years for ISOs for which the grantee owns greater than 10% of the voting power of all classes of stock and no longer than ten years for all other options.</w:t>
      </w:r>
    </w:p>
    <w:p>
      <w:pPr>
        <w:spacing w:after="0" w:line="171" w:lineRule="exact"/>
        <w:rPr>
          <w:sz w:val="20"/>
          <w:szCs w:val="20"/>
          <w:color w:val="auto"/>
        </w:rPr>
      </w:pPr>
    </w:p>
    <w:p>
      <w:pPr>
        <w:ind w:right="740" w:firstLine="432"/>
        <w:spacing w:after="0" w:line="342" w:lineRule="auto"/>
        <w:rPr>
          <w:sz w:val="20"/>
          <w:szCs w:val="20"/>
          <w:color w:val="auto"/>
        </w:rPr>
      </w:pPr>
      <w:r>
        <w:rPr>
          <w:rFonts w:ascii="Arial" w:cs="Arial" w:eastAsia="Arial" w:hAnsi="Arial"/>
          <w:sz w:val="16"/>
          <w:szCs w:val="16"/>
          <w:color w:val="auto"/>
        </w:rPr>
        <w:t>Compensation expense is allocated on a departmental basis, based on the classification of the option holder. No income tax benefits have been recognized in the statements of operations for stock-based compensation arrangements as of September 30, 2017, and September 30, 2016.</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compensation expense (in thousands) was allocated between departments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4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&amp; Development</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Sales &amp; Marketing</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&amp; Administrative</w:t>
            </w:r>
          </w:p>
        </w:tc>
        <w:tc>
          <w:tcPr>
            <w:tcW w:w="1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r>
      <w:tr>
        <w:trPr>
          <w:trHeight w:val="237"/>
        </w:trPr>
        <w:tc>
          <w:tcPr>
            <w:tcW w:w="3440" w:type="dxa"/>
            <w:vAlign w:val="bottom"/>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ind w:right="115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560</w:t>
            </w: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No options were granted during the three months ended September 30, 2017 and 2016, and the fair value of each award granted for the nine months ended September 30, 2017 and 2016, was estimated on the date of grant using the Black-Scholes option pricing model with the following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700" w:type="dxa"/>
            <w:vAlign w:val="bottom"/>
            <w:gridSpan w:val="2"/>
          </w:tcPr>
          <w:p>
            <w:pPr>
              <w:jc w:val="right"/>
              <w:ind w:right="614"/>
              <w:spacing w:after="0"/>
              <w:rPr>
                <w:sz w:val="20"/>
                <w:szCs w:val="20"/>
                <w:color w:val="auto"/>
              </w:rPr>
            </w:pPr>
            <w:r>
              <w:rPr>
                <w:rFonts w:ascii="Arial" w:cs="Arial" w:eastAsia="Arial" w:hAnsi="Arial"/>
                <w:sz w:val="14"/>
                <w:szCs w:val="14"/>
                <w:b w:val="1"/>
                <w:bCs w:val="1"/>
                <w:color w:val="auto"/>
              </w:rPr>
              <w:t>Three Months Ended September 30,</w:t>
            </w:r>
          </w:p>
        </w:tc>
        <w:tc>
          <w:tcPr>
            <w:tcW w:w="3940" w:type="dxa"/>
            <w:vAlign w:val="bottom"/>
            <w:gridSpan w:val="2"/>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76"/>
        </w:trPr>
        <w:tc>
          <w:tcPr>
            <w:tcW w:w="378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9"/>
              </w:rPr>
              <w:t>2016</w:t>
            </w:r>
          </w:p>
        </w:tc>
        <w:tc>
          <w:tcPr>
            <w:tcW w:w="206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89"/>
              </w:rPr>
              <w:t>2017</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rPr>
              <w:t>5.5-6.08</w:t>
            </w:r>
          </w:p>
        </w:tc>
        <w:tc>
          <w:tcPr>
            <w:tcW w:w="188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rPr>
              <w:t>5.5-6.08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54"/>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56"/>
              <w:spacing w:after="0"/>
              <w:rPr>
                <w:sz w:val="20"/>
                <w:szCs w:val="20"/>
                <w:color w:val="auto"/>
              </w:rPr>
            </w:pPr>
            <w:r>
              <w:rPr>
                <w:rFonts w:ascii="Arial" w:cs="Arial" w:eastAsia="Arial" w:hAnsi="Arial"/>
                <w:sz w:val="18"/>
                <w:szCs w:val="18"/>
                <w:color w:val="auto"/>
                <w:w w:val="90"/>
              </w:rPr>
              <w:t>1.9%-2.2%</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1.3%-1.7%</w:t>
            </w:r>
          </w:p>
        </w:tc>
      </w:tr>
      <w:tr>
        <w:trPr>
          <w:trHeight w:val="27"/>
        </w:trPr>
        <w:tc>
          <w:tcPr>
            <w:tcW w:w="3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center"/>
              <w:ind w:left="56"/>
              <w:spacing w:after="0"/>
              <w:rPr>
                <w:sz w:val="20"/>
                <w:szCs w:val="20"/>
                <w:color w:val="auto"/>
              </w:rPr>
            </w:pPr>
            <w:r>
              <w:rPr>
                <w:rFonts w:ascii="Arial" w:cs="Arial" w:eastAsia="Arial" w:hAnsi="Arial"/>
                <w:sz w:val="18"/>
                <w:szCs w:val="18"/>
                <w:color w:val="auto"/>
                <w:w w:val="92"/>
              </w:rPr>
              <w:t>61%-69%</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65% - 73%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54"/>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56"/>
              <w:spacing w:after="0"/>
              <w:rPr>
                <w:sz w:val="20"/>
                <w:szCs w:val="20"/>
                <w:color w:val="auto"/>
              </w:rPr>
            </w:pPr>
            <w:r>
              <w:rPr>
                <w:rFonts w:ascii="Arial" w:cs="Arial" w:eastAsia="Arial" w:hAnsi="Arial"/>
                <w:sz w:val="18"/>
                <w:szCs w:val="18"/>
                <w:color w:val="auto"/>
                <w:w w:val="93"/>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11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estimated volatility rate based on a peer index of common stock of comparable companies in the Company's industry.</w:t>
      </w:r>
    </w:p>
    <w:p>
      <w:pPr>
        <w:spacing w:after="0" w:line="194" w:lineRule="exact"/>
        <w:rPr>
          <w:rFonts w:ascii="Arial" w:cs="Arial" w:eastAsia="Arial" w:hAnsi="Arial"/>
          <w:sz w:val="16"/>
          <w:szCs w:val="16"/>
          <w:color w:val="auto"/>
        </w:rPr>
      </w:pPr>
    </w:p>
    <w:p>
      <w:pPr>
        <w:jc w:val="both"/>
        <w:ind w:left="980" w:right="2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116"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 summarizes stock option transactions for the nine months ended September 30, 2017 as issued under the Plans: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492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Weighted-Average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52"/>
        </w:trPr>
        <w:tc>
          <w:tcPr>
            <w:tcW w:w="4920" w:type="dxa"/>
            <w:vAlign w:val="bottom"/>
          </w:tcPr>
          <w:p>
            <w:pPr>
              <w:spacing w:after="0"/>
              <w:rPr>
                <w:sz w:val="21"/>
                <w:szCs w:val="21"/>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Available for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21"/>
                <w:szCs w:val="21"/>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 Price per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34"/>
        </w:trPr>
        <w:tc>
          <w:tcPr>
            <w:tcW w:w="49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Grant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r>
      <w:tr>
        <w:trPr>
          <w:trHeight w:val="351"/>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191,771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581,686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color w:val="auto"/>
              </w:rPr>
              <w:t>Additional shares authorized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134,295</w:t>
            </w:r>
          </w:p>
        </w:tc>
        <w:tc>
          <w:tcPr>
            <w:tcW w:w="12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Amendment to plan to authorize additional shares</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1,785,837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(622,755)</w:t>
            </w:r>
          </w:p>
        </w:tc>
        <w:tc>
          <w:tcPr>
            <w:tcW w:w="12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622,755</w:t>
            </w:r>
          </w:p>
        </w:tc>
        <w:tc>
          <w:tcPr>
            <w:tcW w:w="200" w:type="dxa"/>
            <w:vAlign w:val="bottom"/>
          </w:tcPr>
          <w:p>
            <w:pPr>
              <w:spacing w:after="0"/>
              <w:rPr>
                <w:sz w:val="21"/>
                <w:szCs w:val="21"/>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3.05</w:t>
            </w:r>
          </w:p>
        </w:tc>
        <w:tc>
          <w:tcPr>
            <w:tcW w:w="17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Options canceled/forfeited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132,437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(132,437)</w:t>
            </w:r>
          </w:p>
        </w:tc>
        <w:tc>
          <w:tcPr>
            <w:tcW w:w="200" w:type="dxa"/>
            <w:vAlign w:val="bottom"/>
          </w:tcPr>
          <w:p>
            <w:pPr>
              <w:spacing w:after="0"/>
              <w:rPr>
                <w:sz w:val="21"/>
                <w:szCs w:val="21"/>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9.30</w:t>
            </w:r>
          </w:p>
        </w:tc>
        <w:tc>
          <w:tcPr>
            <w:tcW w:w="174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1,621,585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1,072,004</w:t>
            </w: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4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at September 30, 2017</w:t>
            </w: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533,202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14.05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Options vested and expected to vest at September 30, 2017</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1,072,004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$3.05 and $4.05 per share for the nine months ended September 30, 2017 and year ended December 31, 2016, respectively. At September 30, 2017, total unrecognized employee stock-based compensation was $1.4 million, which is expected to be recognized over the weighted-average remaining vesting period of 2.7 years. As of September 30, 2017, the outstanding stock options had an intrinsic value of zero.</w:t>
      </w:r>
    </w:p>
    <w:p>
      <w:pPr>
        <w:spacing w:after="0" w:line="18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27,967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276"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55,936 shares; or</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there were no purchases by employees under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As part of the 2015 Sabby Purchase Agreement, the Company previously issued 562,162 Series D Warrants, with an exercise price of $12.30. The exercise price of 540,540 Series D Warrants issued to Sabby were subsequently amended to $8.75 per share and a term of five years expiring on October 15, 2020 pursuant to the 2016 Sabby Purchase Agreement. The exercise price of the remaining 21,621 Series D Warrants issued to Maxim LLC, as placement agent, was $12.30, and are exercisable beginning on April 15, 2016, and through and including October 15, 2020. The Company’s Series D Warrants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9" w:name="page20"/>
    <w:bookmarkEnd w:id="19"/>
    <w:p>
      <w:pPr>
        <w:ind w:right="40"/>
        <w:spacing w:after="0" w:line="270" w:lineRule="auto"/>
        <w:rPr>
          <w:sz w:val="20"/>
          <w:szCs w:val="20"/>
          <w:color w:val="auto"/>
        </w:rPr>
      </w:pPr>
      <w:r>
        <w:rPr>
          <w:rFonts w:ascii="Arial" w:cs="Arial" w:eastAsia="Arial" w:hAnsi="Arial"/>
          <w:sz w:val="17"/>
          <w:szCs w:val="17"/>
          <w:color w:val="auto"/>
        </w:rPr>
        <w:t>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therein. The Company evaluated the registration payment arrangement stipulated in the terms of the 2015 Sabby Purchase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part of the 2016 Sabby Purchase Agreement, the Company issued to Maxim LLC, as its placement agent, 24,000 Series D Warrants, with an exercise price of $8.75 and a term of five years expiring in July and September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of September 30, 2017, the Company had 102,070 Common Stock warrants outstanding originally issued in conjunction with the 2010/2012 convertible notes, with an exercise price of $24.35 and a term of 10 years expiring in November 2024. The Company also has outstanding 1,851 Common Stock warrants issued in 2009, with an exercise price of $108.00 and a term of 10 years, expiring in January 2019 and 16,500 Common Stock warrants issued to the underwriter in our IPO, with an exercise price of 35.70 and a term of 10 years, expiring in November 2024.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including contingent shares to be issued to Essentialis stockholders of 182,675 shares of common stock to be issued on the 1 year anniversary of the closing of the merger and 913,389 shares of common stock to be issued upon the achievement of a development milestone. Diluted net loss per share is computed by dividing net loss by the weighted-average number of Common Stock outstanding and dilutive potential Common Stock that would be issued upon the exercise of Common Stock warrants and options. For the three and nine months ended September 30, 2017 and 2016 the effect of issuing the potential Common Stock is anti-dilutive due to the net losses in those periods and the number of shares used to compute basic and diluted earnings per share are the same in each of those periods.</w:t>
      </w:r>
    </w:p>
    <w:p>
      <w:pPr>
        <w:spacing w:after="0" w:line="18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1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As of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Convertible preferred stock</w:t>
            </w:r>
          </w:p>
        </w:tc>
        <w:tc>
          <w:tcPr>
            <w:tcW w:w="218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B Convertible preferred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2,009,800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2,756,000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102,070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1,072,004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587,630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issued in 2009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Warrants issued to underwriter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485,121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485,121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C Warrants to purchase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118,083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118,083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Warrants to purchase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586,162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586,162</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4,391,591</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4,653,417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19</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Essentialis, Inc. Acquisition</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Essentialis,with Essentialis surviving the merger as a wholly owned subsidiary of the Company.</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consideration, the Company issued 3,783,388 shares of common stock to stockholders of Essentialis. The Company held back 182,675 shares of common stock as partial recourse to satisfy indemnification claims, and such shares will be issued to Essentialis stockholders on the 1 year anniversary of the closing of the merger. The Company is also obligated to issue an additional 913,389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93"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Since the acquisition was determined to be an asset acquisition, the total value of the purchase consideration will be allocated to the asset acquired. The value of the shares issued on the completion of the merger and the shares to be issued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Capnia’s shares are actively traded and provide a reliable indication of value. On March 7, 2017, the date of the transaction close, the Company's stock was trading at $3.85 per common share. Additionally, the average closing price of the stock in the 30 calendar days leading up to the close was also approximately $3.85. Accordingly, the identifiable intangible assets acquired are recorded at fair value based on this stock price.</w:t>
      </w:r>
    </w:p>
    <w:p>
      <w:pPr>
        <w:spacing w:after="0" w:line="16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agreement to pay the commercial milestones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15.3% probability of achieving each milestone was determined to be reasonable. Additionally, the Company anticipates that it could reach the commercial milestones of $100 million and $200 million in applicable revenue in 2023 and 2025, respectively.</w:t>
      </w:r>
    </w:p>
    <w:p>
      <w:pPr>
        <w:spacing w:after="0" w:line="167"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probability weighted milestone payments were discounted to determine the present value of future payments. The analysis utilized the weighted average cost of capital (WACC) discount rate. The WACC used for the first and second milestones were 30% and 21%,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aggregate purchase price consideration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stock consideration</w:t>
            </w:r>
          </w:p>
        </w:tc>
        <w:tc>
          <w:tcPr>
            <w:tcW w:w="50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18,785,926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Fair value of contingent consideration</w:t>
            </w: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purchase price consideration</w:t>
            </w:r>
          </w:p>
        </w:tc>
        <w:tc>
          <w:tcPr>
            <w:tcW w:w="5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fair value of the asset acquired is as follows:</w:t>
            </w:r>
          </w:p>
        </w:tc>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vMerge w:val="continue"/>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4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19,876,051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40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19,876,051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0" w:type="dxa"/>
            <w:vAlign w:val="bottom"/>
            <w:vMerge w:val="restart"/>
          </w:tcPr>
          <w:p>
            <w:pPr>
              <w:jc w:val="right"/>
              <w:ind w:right="26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1" w:name="page22"/>
    <w:bookmarkEnd w:id="21"/>
    <w:p>
      <w:pPr>
        <w:ind w:right="80" w:firstLine="648"/>
        <w:spacing w:after="0" w:line="264" w:lineRule="auto"/>
        <w:rPr>
          <w:sz w:val="20"/>
          <w:szCs w:val="20"/>
          <w:color w:val="auto"/>
        </w:rPr>
      </w:pPr>
      <w:r>
        <w:rPr>
          <w:rFonts w:ascii="Arial" w:cs="Arial" w:eastAsia="Arial" w:hAnsi="Arial"/>
          <w:sz w:val="18"/>
          <w:szCs w:val="18"/>
          <w:color w:val="auto"/>
        </w:rPr>
        <w:t>As an asset acquisition, the Company also capitalized $573,000 of total costs of acquiring the assets. These included legal fees of $469,000, printing fees of $75,000 and accounting and other fees of $29,000. The total intangible asset of $20.4 million was recorded on the balance sheet and amortized over the life of the patents through June 30, 2028.</w:t>
      </w:r>
    </w:p>
    <w:p>
      <w:pPr>
        <w:spacing w:after="0" w:line="18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following table presents the unaudited pro forma results of Soleno Therapeutics, Inc. (including the operations of Essentialis) for the three and nine months ended September 30, 2017, and 2016 (in thousands, except per share amounts). The unaudited pro forma financial information combines the results of operations of Soleno and Essentialis as though the companies had been combined as of the beginning of each of the fiscal periods presented. The unaudited pro forma financial information is presented for informational purposes only and is not indicative of the results of operations that would have been achieved if the acquisition had taken place at the beginning of fiscal 2016 or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7"/>
                <w:szCs w:val="17"/>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(3,786)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(7,075)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(11,988)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(15,039)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 basic and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Proforma weighted-average shares - basic and diluted</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6,797,067</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5,906,396</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14,802,976</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8,939,450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Compensation Plan for Board Members</w:t>
      </w:r>
    </w:p>
    <w:p>
      <w:pPr>
        <w:spacing w:after="0" w:line="121" w:lineRule="exact"/>
        <w:rPr>
          <w:sz w:val="20"/>
          <w:szCs w:val="20"/>
          <w:color w:val="auto"/>
        </w:rPr>
      </w:pPr>
    </w:p>
    <w:p>
      <w:pPr>
        <w:ind w:right="100" w:firstLine="567"/>
        <w:spacing w:after="0" w:line="279" w:lineRule="auto"/>
        <w:rPr>
          <w:sz w:val="20"/>
          <w:szCs w:val="20"/>
          <w:color w:val="auto"/>
        </w:rPr>
      </w:pPr>
      <w:r>
        <w:rPr>
          <w:rFonts w:ascii="Arial" w:cs="Arial" w:eastAsia="Arial" w:hAnsi="Arial"/>
          <w:sz w:val="17"/>
          <w:szCs w:val="17"/>
          <w:color w:val="auto"/>
        </w:rPr>
        <w:t>The Compensation Committee of the Board of Directors of the Company recommended and the Board approved a new compensation plan for the payment of quarterly Board fees. Starting in the first quarter of 2017, all board fees have been paid in Common Stock of the Company. Payment to the Board of Directors in shares of the Company's Common Stock is made after the close of the quarter in which the compensation is earned. During the nine months ended September 30, 2017, the Company issued 58,589 shares of Common Stock to its Board members (see Note 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 Lawsuit</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the plaintiff’s agreement to voluntarily dismiss plaintiff's claims in the Lawsuit. The Company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On October 2, 2017, the Company issued 31,718 shares of Common Stock to members of its Board of Directors as compensation for Board of Directors fees earned during the quarter ended September 30, 2017 (see Note 12).</w:t>
      </w:r>
    </w:p>
    <w:p>
      <w:pPr>
        <w:spacing w:after="0" w:line="6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On October 6, 2017, the Company effected a one-for-five reverse stock split of its then outstanding Common Stock. Consequently, all earnings per share and other per share amounts and disclosures have been retroactively adjusted for all periods presented herein.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the Company’s Form 10-K for the year ended December 31, 2016.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After the Merger with Essentialis, our primary focus is on the development and commercialization of novel therapeutics for the treatment of rare diseases. Essentialis was a privately-held, clinical stage biotechnology company focused on the development of breakthrough medicines for the treatment of rare metabolic diseases where there is increased mortality and risk of cardiovascular and endocrine complications. Essentialis has been developing Diazoxide Choline Controlled Release, or DCCR, tablets as a treatment for Prader-Willi syndrome, or PWS, a complex neurobehavioral/metabolic disorder.</w:t>
      </w:r>
    </w:p>
    <w:p>
      <w:pPr>
        <w:spacing w:after="0" w:line="1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sell CoSense, which measures end-tidal carbon monoxide, or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(see Note 5).</w:t>
      </w:r>
    </w:p>
    <w:p>
      <w:pPr>
        <w:spacing w:after="0" w:line="16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actively pursuing monetization opportunities for CoSense. Our current research and development efforts are primarily focused on advancing our lead candidate, DCCR tablets for the treatment of PWS, into late-stage clinical development.</w:t>
      </w:r>
    </w:p>
    <w:p>
      <w:pPr>
        <w:spacing w:after="0" w:line="170" w:lineRule="exact"/>
        <w:rPr>
          <w:sz w:val="20"/>
          <w:szCs w:val="20"/>
          <w:color w:val="auto"/>
        </w:rPr>
      </w:pPr>
    </w:p>
    <w:p>
      <w:pPr>
        <w:ind w:right="20" w:firstLine="324"/>
        <w:spacing w:after="0" w:line="219" w:lineRule="exact"/>
        <w:rPr>
          <w:sz w:val="20"/>
          <w:szCs w:val="20"/>
          <w:color w:val="auto"/>
        </w:rPr>
      </w:pPr>
      <w:r>
        <w:rPr>
          <w:rFonts w:ascii="Arial" w:cs="Arial" w:eastAsia="Arial" w:hAnsi="Arial"/>
          <w:sz w:val="17"/>
          <w:szCs w:val="17"/>
          <w:color w:val="auto"/>
        </w:rPr>
        <w:t>DCCR tablets consist of the active ingredient diazoxide choline, a choline salt of diazoxide, which is a benzothiadiazine. Once solubilized from the formulation, diazoxide choline is rapidly hydrolyzed to diazoxide prior to absorption. Diazoxide acts by stimulating ion flux through ATP</w:t>
      </w:r>
      <w:r>
        <w:rPr>
          <w:rFonts w:ascii="MS PGothic" w:cs="MS PGothic" w:eastAsia="MS PGothic" w:hAnsi="MS PGothic"/>
          <w:sz w:val="17"/>
          <w:szCs w:val="17"/>
          <w:color w:val="auto"/>
        </w:rPr>
        <w:t>‑</w:t>
      </w:r>
      <w:r>
        <w:rPr>
          <w:rFonts w:ascii="Arial" w:cs="Arial" w:eastAsia="Arial" w:hAnsi="Arial"/>
          <w:sz w:val="17"/>
          <w:szCs w:val="17"/>
          <w:color w:val="auto"/>
        </w:rPr>
        <w:t>sensitive K</w:t>
      </w:r>
      <w:r>
        <w:rPr>
          <w:rFonts w:ascii="Arial" w:cs="Arial" w:eastAsia="Arial" w:hAnsi="Arial"/>
          <w:sz w:val="24"/>
          <w:szCs w:val="24"/>
          <w:color w:val="auto"/>
          <w:vertAlign w:val="superscript"/>
        </w:rPr>
        <w:t>+</w:t>
      </w:r>
      <w:r>
        <w:rPr>
          <w:rFonts w:ascii="Arial" w:cs="Arial" w:eastAsia="Arial" w:hAnsi="Arial"/>
          <w:sz w:val="17"/>
          <w:szCs w:val="17"/>
          <w:color w:val="auto"/>
        </w:rPr>
        <w:t xml:space="preserve"> (K</w:t>
      </w:r>
      <w:r>
        <w:rPr>
          <w:rFonts w:ascii="Arial" w:cs="Arial" w:eastAsia="Arial" w:hAnsi="Arial"/>
          <w:sz w:val="12"/>
          <w:szCs w:val="12"/>
          <w:color w:val="auto"/>
        </w:rPr>
        <w:t>ATP</w:t>
      </w:r>
      <w:r>
        <w:rPr>
          <w:rFonts w:ascii="Arial" w:cs="Arial" w:eastAsia="Arial" w:hAnsi="Arial"/>
          <w:sz w:val="17"/>
          <w:szCs w:val="17"/>
          <w:color w:val="auto"/>
        </w:rPr>
        <w:t>) channels. The K</w:t>
      </w:r>
      <w:r>
        <w:rPr>
          <w:rFonts w:ascii="Arial" w:cs="Arial" w:eastAsia="Arial" w:hAnsi="Arial"/>
          <w:sz w:val="12"/>
          <w:szCs w:val="12"/>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2"/>
          <w:szCs w:val="12"/>
          <w:color w:val="auto"/>
        </w:rPr>
        <w:t>ATP</w:t>
      </w:r>
      <w:r>
        <w:rPr>
          <w:rFonts w:ascii="Arial" w:cs="Arial" w:eastAsia="Arial" w:hAnsi="Arial"/>
          <w:sz w:val="17"/>
          <w:szCs w:val="17"/>
          <w:color w:val="auto"/>
        </w:rPr>
        <w:t xml:space="preserve"> channels in the hypothalamus has the potential to address hyperphagia, which is an abnormally increased appetite for food. Agonizing the channel in GABAergic neurons improves GABA signaling and may reduce aggressive behaviors.</w:t>
      </w:r>
    </w:p>
    <w:p>
      <w:pPr>
        <w:spacing w:after="0" w:line="20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in the approved indications. In addition to the approved indications for Proglycem, there is also a long history of its chronic use in neonates, infants and children with congenital hyperinsulinism, or CHI, persistent hyperinsulinemic hypoglycemia of infancy, and in adults with insulinoma, which is a tumor of the pancreas that produces excessive amounts of insulin. Insulinoma patients tend to be older, with 50% of them over 70 years old. The average duration of use of Proglycem in CHI and insulinoma patients is 5 years and 7 years, respectively.</w:t>
      </w:r>
    </w:p>
    <w:p>
      <w:pPr>
        <w:spacing w:after="0" w:line="16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w:t>
      </w:r>
    </w:p>
    <w:p>
      <w:pPr>
        <w:spacing w:after="0" w:line="166" w:lineRule="exact"/>
        <w:rPr>
          <w:sz w:val="20"/>
          <w:szCs w:val="20"/>
          <w:color w:val="auto"/>
        </w:rPr>
      </w:pPr>
    </w:p>
    <w:p>
      <w:pPr>
        <w:ind w:right="20" w:firstLine="324"/>
        <w:spacing w:after="0" w:line="219" w:lineRule="exact"/>
        <w:rPr>
          <w:sz w:val="20"/>
          <w:szCs w:val="20"/>
          <w:color w:val="auto"/>
        </w:rPr>
      </w:pPr>
      <w:r>
        <w:rPr>
          <w:rFonts w:ascii="Arial" w:cs="Arial" w:eastAsia="Arial" w:hAnsi="Arial"/>
          <w:sz w:val="17"/>
          <w:szCs w:val="17"/>
          <w:color w:val="auto"/>
        </w:rPr>
        <w:t>PWS is a rare, complex neurobehavioral/metabolic disorder which is due to the absence of normally active paternally expressed genes from the chromosome 15q11-q13 region. PWS is an imprinted condition with 70</w:t>
      </w:r>
      <w:r>
        <w:rPr>
          <w:rFonts w:ascii="MS PGothic" w:cs="MS PGothic" w:eastAsia="MS PGothic" w:hAnsi="MS PGothic"/>
          <w:sz w:val="17"/>
          <w:szCs w:val="17"/>
          <w:color w:val="auto"/>
        </w:rPr>
        <w:t>‑</w:t>
      </w:r>
      <w:r>
        <w:rPr>
          <w:rFonts w:ascii="Arial" w:cs="Arial" w:eastAsia="Arial" w:hAnsi="Arial"/>
          <w:sz w:val="17"/>
          <w:szCs w:val="17"/>
          <w:color w:val="auto"/>
        </w:rPr>
        <w:t xml:space="preserve">75% of the cases due to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04" w:right="259" w:bottom="1440" w:gutter="0" w:footer="0" w:header="0"/>
        </w:sectPr>
      </w:pPr>
    </w:p>
    <w:bookmarkStart w:id="23" w:name="page24"/>
    <w:bookmarkEnd w:id="23"/>
    <w:p>
      <w:pPr>
        <w:ind w:right="100"/>
        <w:spacing w:after="0" w:line="277" w:lineRule="auto"/>
        <w:rPr>
          <w:sz w:val="20"/>
          <w:szCs w:val="20"/>
          <w:color w:val="auto"/>
        </w:rPr>
      </w:pPr>
      <w:r>
        <w:rPr>
          <w:rFonts w:ascii="Arial" w:cs="Arial" w:eastAsia="Arial" w:hAnsi="Arial"/>
          <w:sz w:val="18"/>
          <w:szCs w:val="18"/>
          <w:color w:val="auto"/>
        </w:rPr>
        <w:t>mortality rate among PWS patients is 3% a year across all ages 3 years and older and 7% in those over 30 years of age. The mean age of death reported from a 40-year mortality study in the U.S. was 29.5 ± 15 years (range: 2 months - 67 years).</w:t>
      </w:r>
    </w:p>
    <w:p>
      <w:pPr>
        <w:spacing w:after="0" w:line="170" w:lineRule="exact"/>
        <w:rPr>
          <w:sz w:val="20"/>
          <w:szCs w:val="20"/>
          <w:color w:val="auto"/>
        </w:rPr>
      </w:pPr>
    </w:p>
    <w:p>
      <w:pPr>
        <w:jc w:val="both"/>
        <w:ind w:right="520" w:firstLine="324"/>
        <w:spacing w:after="0" w:line="302" w:lineRule="auto"/>
        <w:rPr>
          <w:sz w:val="20"/>
          <w:szCs w:val="20"/>
          <w:color w:val="auto"/>
        </w:rPr>
      </w:pPr>
      <w:r>
        <w:rPr>
          <w:rFonts w:ascii="Arial" w:cs="Arial" w:eastAsia="Arial" w:hAnsi="Arial"/>
          <w:sz w:val="16"/>
          <w:szCs w:val="16"/>
          <w:color w:val="auto"/>
        </w:rPr>
        <w:t>In addition to hyperphagia, which is an abnormally increased appetite for food,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5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Other complications in PWS patients include greater risk for autistic symptomatology, psychosis, sleep disorders, distress, mood lability, food stealing, withdrawal, sulking, nail-biting, hoarding and overeating, and more pronounced attention-deficit hyperactivity disorder symptoms,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1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May of 2017 we had a scientific advice meeting with the FDA . The FDA supported change in hyperphagia score (without a change in weight) compared to placebo as the primary endpoint for the planned Phase III study. The dosing paradigm proposed for the Phase III study was acceptable. The FDA proposed and we agreed that the duration of the randomized double-blind placebo controlled study should be shorter (3-4 months). Safety information about DCCR could be obtained in a long-term, safety extension study. There was agreement on several other aspects of the study and the overall development program, and additional regulatory input is being sought on others.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Phase III Proposed Study Design consists of:</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C601: Multi-center, randomized, double-blind, placebo-controlled, parallel arm study in patients with PWS (Phase III).</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study will consist of approximately 100 patients at 10-12 sites in the US, with a duration of 3-4 months.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Patients will be randomized in a 2:1 ratio to DCCR or placebo.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Study start expected in the first quarter of 2018.</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Primary endpoint is expected to be change in hyperphagia compared to placebo.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C602: Open label safety extension study. All patients completing C601 are eligible to enroll in C602.</w:t>
      </w:r>
    </w:p>
    <w:p>
      <w:pPr>
        <w:spacing w:after="0" w:line="21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September 2017, we received scientific advice from the European Medicines Agency (EMA). The EMA, like the FDA, supported the use of change in hyperphagia compared to placebo as the primary endpoint for the study as well as the proposed dosing paradigm. In addition, the EMA noted that children with hyperphagia could be treated in the pivotal trial without further toxicology studies.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22, 2016, we entered into an Agreement and Plan of Merger, or the Merger Agreement, with Essentialis.</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March 7, 2017, we completed the Merger with Essentialis and issued 3,783,388 shares of Common Stock to stockholders of Essentialis. We held back 182,675 shares of Common Stock as partial recourse to satisfy indemnification claims, and such shares will be issued to Essentialis stockholders on the 1 year anniversary of the closing of the Merger. We are also obligated to issue an additional 913,389 shares of common stock to Essentialis stockholders upon the achievement of a development milestone. Assuming that we issue all of the shares of our Common Stock held back and the development milestone is achieved, we would issue a total of 4,879,453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38" w:right="25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such shares of Common Stock issuable, or cash earnout payments payable, to Essentialis’ management carve-out plan participants and other service providers of Essentialis, in each case, in accordance with the terms of the Merger Agreement.</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addition, we issued 1,666,666 shares of CommonStock for an investment of $8 million from the completion of the concurrent financing and issued 416,666 shares of Common Stock for an investment of $2 million from Aspire Capital.</w:t>
      </w:r>
    </w:p>
    <w:p>
      <w:pPr>
        <w:spacing w:after="0" w:line="6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year ended December 31, 2016 and the nine months ended September 30, 2017, we received $0.1 million and zero, respectively, from the exercise of stock options.</w:t>
      </w:r>
    </w:p>
    <w:p>
      <w:pPr>
        <w:spacing w:after="0" w:line="62"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As of September 30, 2017, we had an accumulated deficit of $109.0 million, primarily as a result of research and development and general and administrative expenses. While we may in the future generate revenue from a variety of sources, potentially including sales of our therapeutic products, license fees, milestone payments, and research and development payments in connection with potential future strategic partnerships, we have, to date, generated revenue only from the 2013 license agreement pertaining to Serenz, $2.2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18, 2017, the Company sold NFI, its wholly owned subsidiary, for $977,000 (see Note 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that we have sufficient capital resources to sustain operations through at least the next twelve months.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the accompanying unaudited consolidated condensed financial statements.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nine months ended September 30, 2017, and 2016, from continuing operations</w:t>
      </w:r>
    </w:p>
    <w:p>
      <w:pPr>
        <w:sectPr>
          <w:pgSz w:w="11900" w:h="16838" w:orient="portrait"/>
          <w:cols w:equalWidth="0" w:num="1">
            <w:col w:w="11420"/>
          </w:cols>
          <w:pgMar w:left="240" w:top="904" w:right="239" w:bottom="1440" w:gutter="0" w:footer="0" w:header="0"/>
        </w:sect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1938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5660"/>
        <w:spacing w:after="0"/>
        <w:tabs>
          <w:tab w:leader="none" w:pos="7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23495</wp:posOffset>
            </wp:positionV>
            <wp:extent cx="2023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150" w:lineRule="exact"/>
        <w:rPr>
          <w:sz w:val="20"/>
          <w:szCs w:val="20"/>
          <w:color w:val="auto"/>
        </w:rPr>
      </w:pPr>
    </w:p>
    <w:p>
      <w:pPr>
        <w:sectPr>
          <w:pgSz w:w="11900" w:h="16838" w:orient="portrait"/>
          <w:cols w:equalWidth="0" w:num="2">
            <w:col w:w="8000" w:space="720"/>
            <w:col w:w="2700"/>
          </w:cols>
          <w:pgMar w:left="240" w:top="904" w:right="239" w:bottom="1440" w:gutter="0" w:footer="0" w:header="0"/>
          <w:type w:val="continuous"/>
        </w:sectPr>
      </w:pPr>
    </w:p>
    <w:p>
      <w:pPr>
        <w:ind w:left="620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20955</wp:posOffset>
            </wp:positionV>
            <wp:extent cx="1938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5080" w:type="dxa"/>
            <w:vAlign w:val="bottom"/>
          </w:tcPr>
          <w:p>
            <w:pPr>
              <w:ind w:left="11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6,491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5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Cease-use expense</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5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508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41"/>
        </w:trPr>
        <w:tc>
          <w:tcPr>
            <w:tcW w:w="5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Non-operating</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nine months ended September 30,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nine months ended September 30,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Research and development expense in the nine months ended September 30, 2017, increased $87,000 as compared to the nine months ended September 30, 2016. The decrease was primarily due to reduction in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Sales and marketing expense, which consisted primarily of costs incurred in the United Kingdom, in the nine months ended September 30, 2017, increased $26,000 over the nine months ended September 30, 2016, primarily due to the cessation of sales of Serenz in the United Kingdom.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General and administrative expense in the nine months ended September 30, 2017, increased $368,000 compared to the nine months ended September 30, 2016, due primarily to expense for amortizing intangible assets acquired in the Essentialis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4"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Interest and other income/(expense) in the nine months ended September 30, 2017, decreased $1.8 million to net interest and other expense of $602,000 in the nine months ended September 30, 2017, compared to net interest and other income of approximately $1.2 million in the nine months ended September 30, 2016, due primarily to the $1.324 million decline in the fair value of warrants between the two comparative periods and from the expense of $600 resulting from the value assigned to the commitment shares issued to Aspire Capital in January 2017 (see Note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 from continuing operations</w:t>
      </w:r>
    </w:p>
    <w:p>
      <w:pPr>
        <w:sectPr>
          <w:pgSz w:w="11900" w:h="16838" w:orient="portrait"/>
          <w:cols w:equalWidth="0" w:num="1">
            <w:col w:w="11420"/>
          </w:cols>
          <w:pgMar w:left="240" w:top="584" w:right="239" w:bottom="1440" w:gutter="0" w:footer="0" w:header="0"/>
        </w:sect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31115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5660"/>
        <w:spacing w:after="0"/>
        <w:tabs>
          <w:tab w:leader="none" w:pos="7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23495</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150" w:lineRule="exact"/>
        <w:rPr>
          <w:sz w:val="20"/>
          <w:szCs w:val="20"/>
          <w:color w:val="auto"/>
        </w:rPr>
      </w:pPr>
    </w:p>
    <w:p>
      <w:pPr>
        <w:sectPr>
          <w:pgSz w:w="11900" w:h="16838" w:orient="portrait"/>
          <w:cols w:equalWidth="0" w:num="2">
            <w:col w:w="8000" w:space="720"/>
            <w:col w:w="2700"/>
          </w:cols>
          <w:pgMar w:left="240" w:top="584" w:right="239" w:bottom="1440" w:gutter="0" w:footer="0" w:header="0"/>
          <w:type w:val="continuous"/>
        </w:sectPr>
      </w:pPr>
    </w:p>
    <w:p>
      <w:pPr>
        <w:ind w:left="620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20955</wp:posOffset>
            </wp:positionV>
            <wp:extent cx="2941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5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5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Change in fair value of warrants</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Non-operating</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three months ended September 30,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three months ended September 30,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Research and development expense in the three months ended September 30, 2017 increased $274,000 compared to the three months ended September 30, 2016. The increase was due primarily to expenditures for clinical services to advance DCCR development and legal fees associated with intellectual property related to DCCR.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820" w:firstLine="432"/>
        <w:spacing w:after="0" w:line="308" w:lineRule="auto"/>
        <w:rPr>
          <w:sz w:val="20"/>
          <w:szCs w:val="20"/>
          <w:color w:val="auto"/>
        </w:rPr>
      </w:pPr>
      <w:r>
        <w:rPr>
          <w:rFonts w:ascii="Arial" w:cs="Arial" w:eastAsia="Arial" w:hAnsi="Arial"/>
          <w:sz w:val="17"/>
          <w:szCs w:val="17"/>
          <w:color w:val="auto"/>
        </w:rPr>
        <w:t>No sales and marketing expenses were reported in continuing operations during the three months ended September 30, 2017, and 2016 as the Company's remaining sales operations are related to the Serenz product, which is included in discontinued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General and administrative expense in the three months ended September 30, 2017 increased $447,000 compared to the three months ended September 30, 2016, due primarily to the expense of amortizing intangible assets acquired in the Essentialis merger completed in March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Interest and other expense, net in the three months ended September 30, 2017 decreased $53,000 compared to the three months ended September 30, 2016, due primarily to the change in the fair value of the Series A warrants.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2017, and 2016, from discontinued operations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During the nine months ended September 30, 2017, and 2016, the Company’s revenues were generated by product sales for the CoSense, Precision Sampling Sets, Serenz, and NFI, whose product portfolio consists of neonatology resuscitation devices. These medical device products are associated with operations discontinued by the Company and sales have declined as the Company has focused its efforts sell or otherwise monetize these operations. Sales by the Company of the NFI products ceased in July 2017 when the Company sold NFI to Holdings (see Note 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Cost of product revenue has declined in relation to the decrease in sales activity, and resulting decrease in revenue, for the CoSense, Precision Sampling Sets, Serenz, and NFI products for which sales have declined as the Company has focused effort sell or otherwise monetize these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Research and development expense related to the CoSense, Precision Sampling Sets and NFI products, whose products are has declined as development efforts have been redirected by the Company to its therapeutic product, DCCR, into late-stage clinical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Sales and marketing expense, which consisted primarily of expenses incurred in the United Kingdom with efforts associated with the Company’s sales effort for its discontinued Serenz products rimarily due to the cessation of sales of Serenz in the United Kingdom and the reduction of sales of all medical device products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General and administrative expense associated with discontinued development and sale of medical device products reflects additional legal and professional expenses associated with efforts to reduce operations of medical device products and actively focus on efforts to sell or otherwise monetize thse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and expense associated with discontinued operations has been nominal in the periods reported.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assets</w:t>
      </w:r>
    </w:p>
    <w:p>
      <w:pPr>
        <w:spacing w:after="0" w:line="22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In July 2017 the Company completed the sale of stock of its wholly-owned subsidiary, NFI. The Company recorded a loss on the sale in the amount of $208,000 as the net book value of assets sold in the amount of $1.185 million exceeded the total proceeds of $977,000 (see Note 5).</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auto"/>
            </w:tcBorders>
            <w:gridSpan w:val="5"/>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(in thousands)</w:t>
            </w: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continuing operating activities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(4,641)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discontinued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(2,577)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(7,218)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r>
      <w:tr>
        <w:trPr>
          <w:trHeight w:val="318"/>
        </w:trPr>
        <w:tc>
          <w:tcPr>
            <w:tcW w:w="8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continuing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discontinued investing activities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8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continuing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discontinued financing activities</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10,768</w:t>
            </w:r>
          </w:p>
        </w:tc>
      </w:tr>
      <w:tr>
        <w:trPr>
          <w:trHeight w:val="318"/>
        </w:trPr>
        <w:tc>
          <w:tcPr>
            <w:tcW w:w="83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Continuing operations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4,790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Discontinued operations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nine months ended September 30, 2017, operating activities used net cash of approximately $4.6 million, which was primarily due to the use of funds resulting in the operating loss of $7.6 million, partially offset by non-cash expenses which were primarily $1.0 million of non-cash amortization and depreciation, approximately $855,000 of non-cash stock compensation expense, approximately $600,000 of non-cash expense for issuing shares to Aspire Capital, and approximately $200 thousand non-cash expense for board member fees paid with shares of the Company's stock.</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 months ended September 30, 2016, net cash used in operating activities was $6.0 million, which was due primarily to the use of funds resulting in the operating loss of approximately $5.3 million, including costs incurred to launch Serenz in the E.U. and excluding the non-cash income of $1.3 million from change in fair value of warrants, all of which were partially offset by approximately $560,000 of non-cash expense for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nine months ended September 30, 2017, we used $577,000 for investing activities resulting from $573,000 expenses incurred resulting from our merger with Essentialis and for the purchase of property and equipment in the amount of $4,000.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During the Nine months ended September 30, 2017, cash provided by financing activities was $10 million resulting from the completion of the concurrent financing associated with the Essentialis merger.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nine months ended September 30, 2016, cash provided by financing activities was $10.8 million resulting from the second close under the 2015 Sabby Purchase Agreement and from the first and second close under the 2016 Sabby Purchase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9" w:name="page30"/>
    <w:bookmarkEnd w:id="29"/>
    <w:p>
      <w:pPr>
        <w:ind w:firstLine="648"/>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1,666,666 shares of common stock for an investment of $8 million from the completion of the concurrent financing and issued 416,666 shares of common stock for an investment of $2 million from Aspire Capital.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2017, The Company had cash and cash equivalents of approximately $5.6 million.</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do not believe that we have sufficient capital resources to sustain operations through at least the next twelve months from the date of this filing.The Company expects to continue incurring losses for the foreseeable future and may be required to raise additional capital to pursue its therapeutic product development initiatives. These conditions raise substantial doubt about the Company's ability to continue as a going concern for a period of twelve months from the date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cash used in operating activities for the nine months ended September 30, 2017 totaled $2.6 million compared to $4.9 million for the nine months ended September 30, 2016 representing a decrease of $2.3 million. The decrease was primarily due to the lower comparative level of operating activities for the discontinued operations which resulted in lower cash requirements during the first half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cash provided by investing activities for the nine months ended September 30, 2017 totaled $716,000 compared to net cash used of $17,000 for investing activities in the nine months ended September 30, 2016, resulting primarily from the sale of the NFI operations in July 2017 which eliminated operating expenditures from that activity and for cash proceeds of $862,000 from the sale collected prior to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related to discontinued operations during either period.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nine month period ended September 30, 2017.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25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62"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0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management, under the supervision and with the participation of our Chief Executive Officer, who also currently serves as our principal financial and accounting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has concluded that, as of the end of the period covered by this Quarterly Report on Form 10-Q, our disclosure controls and procedures were effective.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third fiscal quarter ended September 30, 2017, that have materially affected, or are reasonably likely to materially affect, our internal control over financial reporting.</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945" w:right="2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340" w:firstLine="405"/>
        <w:spacing w:after="0" w:line="302" w:lineRule="auto"/>
        <w:rPr>
          <w:sz w:val="20"/>
          <w:szCs w:val="20"/>
          <w:color w:val="auto"/>
        </w:rPr>
      </w:pPr>
      <w:r>
        <w:rPr>
          <w:rFonts w:ascii="Arial" w:cs="Arial" w:eastAsia="Arial" w:hAnsi="Arial"/>
          <w:sz w:val="16"/>
          <w:szCs w:val="16"/>
          <w:color w:val="auto"/>
        </w:rPr>
        <w:t>On February 28, 2017, we settled the Lawsuit by making certain supplemental disclosures in a Current Report on Form 8-K filed with the SEC on February 28, 2017 in connection with the plaintiff’s agreement to voluntarily dismiss plaintiff's claims in the Lawsuit. We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1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together with all the of the other information in this Annual Report on Form 10-K, including our consolidated financial statements and related notes. If any of the following risks actually occur, our business, operating results and financial condition could be harmed and the value of our stock could go down. This means you could lose all or a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have a limited commercialization history and have incurred significant losses since our inception, and we anticipate that we will continue to incur substantial losses for the foreseeable future. We have generated limited commercial sales to date, which, together with our limited operating history, makes it difficult to evaluate our business and assess our future viability.</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medical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September 30, 2017, we had an accumulated deficit of $108.9 million.</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launching, selling and supporting our therapeutic products. This will require us to be successful in a range of activities, including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1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79" w:lineRule="exact"/>
        <w:rPr>
          <w:sz w:val="20"/>
          <w:szCs w:val="20"/>
          <w:color w:val="auto"/>
        </w:rPr>
      </w:pPr>
    </w:p>
    <w:p>
      <w:pPr>
        <w:ind w:left="1300" w:right="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17"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find suitable global and U.S. distribution partners to help us market, sell and distribute our commercial products in other markets;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 avoid third-party patent interference or patent infringement claims; and</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33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54"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17"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800" w:right="299" w:bottom="1440" w:gutter="0" w:footer="0" w:header="0"/>
        </w:sectPr>
      </w:pPr>
    </w:p>
    <w:bookmarkStart w:id="33" w:name="page34"/>
    <w:bookmarkEnd w:id="33"/>
    <w:p>
      <w:pPr>
        <w:ind w:left="1300" w:right="1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if applicable, globally, of any of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17"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33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As of September 30, 2017, we have incurred significant operating losses since inception and continue to generate losses from operations and has an accumulated deficit of $108.9 million. These matters raise substantial doubt about our ability to continue as a going concern. The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Commercial results have been limited and we have not generated significant revenues. We cannot assure our stockholders that our revenues will be sufficient to fund its operations. If adequate funds are not available, we may be required to curtail our operations significantly or to obtain funds through entering into arrangements with collaborative partners or others that may require us to relinquish rights to certain of our technologies or products that we would not otherwise relinquish.</w:t>
      </w:r>
    </w:p>
    <w:p>
      <w:pPr>
        <w:spacing w:after="0" w:line="1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At September 30, 2017, our cash balance was $5.6 million. We intend to raise additional capital, either through debt or equity financings to achieve its business plan objectives.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ind w:right="40" w:firstLine="324"/>
        <w:spacing w:after="0" w:line="287" w:lineRule="auto"/>
        <w:rPr>
          <w:sz w:val="20"/>
          <w:szCs w:val="20"/>
          <w:color w:val="auto"/>
        </w:rPr>
      </w:pPr>
      <w:r>
        <w:rPr>
          <w:rFonts w:ascii="Arial" w:cs="Arial" w:eastAsia="Arial" w:hAnsi="Arial"/>
          <w:sz w:val="16"/>
          <w:szCs w:val="16"/>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extent to which we utilize the 2017 Aspire Purchase Agreement with Aspire Capital as a source of funding will depend on a number of factors, including the prevailing market price of our common stock, the volume of trading in our common stock and the extent to which we are able to secure funds from other sources. The number of shares that we may sell to Aspire Capital under the 2017 Aspire Purchase Agreement on any given day and during the term of the agreement is limited. Additionally, we and Aspire Capital may not effect any sales of shares of our common stock under the 2017 Aspire Purchase Agreement during the continuance of an event of default or on any trading day that the closing sale price of our common stock is less than $1.25 per share. Even if we are able to access the full $17.0 million under the 2017 Aspire Purchase Agreement, we will still need additional capital to fully implement our business, operating and development plans.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5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17"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difficulty and cost in combining the operations and personnel of any acquired businesses with our operations and personnel; and</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356"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0" w:right="259" w:bottom="1440" w:gutter="0" w:footer="0" w:header="0"/>
        </w:sectPr>
      </w:pPr>
    </w:p>
    <w:bookmarkStart w:id="35" w:name="page36"/>
    <w:bookmarkEnd w:id="35"/>
    <w:p>
      <w:pPr>
        <w:ind w:right="134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after the Merger with Essentialis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Completion of the Merger and concurrent financing transactions, which happened on March 7, 2017, resulted in the issuance of a significant amount of additional common stock, which could depress the trading price of our common stock.</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Merger and concurrent financing resulted in the issuance of a significant amount of our common stock. The common stock issued in the Merger and concurrent financing represents an increase in the outstanding our common stock as of the date of the completion of the Merger of up to approximately 172% of the common stock currently outstanding. The issuance of such a significant amount of our common stock could depress the trading price of our common stock and you may lose all or a part of your investment.</w:t>
      </w:r>
    </w:p>
    <w:p>
      <w:pPr>
        <w:spacing w:after="0" w:line="18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will maintain the ability to control or significantly influence all matters submitted to stockholders for approval and under certain circumstances may have control over key decision making.</w:t>
      </w:r>
    </w:p>
    <w:p>
      <w:pPr>
        <w:spacing w:after="0" w:line="147" w:lineRule="exact"/>
        <w:rPr>
          <w:sz w:val="20"/>
          <w:szCs w:val="20"/>
          <w:color w:val="auto"/>
        </w:rPr>
      </w:pPr>
    </w:p>
    <w:p>
      <w:pPr>
        <w:jc w:val="both"/>
        <w:ind w:right="240" w:firstLine="324"/>
        <w:spacing w:after="0" w:line="297" w:lineRule="auto"/>
        <w:rPr>
          <w:sz w:val="20"/>
          <w:szCs w:val="20"/>
          <w:color w:val="auto"/>
        </w:rPr>
      </w:pPr>
      <w:r>
        <w:rPr>
          <w:rFonts w:ascii="Arial" w:cs="Arial" w:eastAsia="Arial" w:hAnsi="Arial"/>
          <w:sz w:val="16"/>
          <w:szCs w:val="16"/>
          <w:color w:val="auto"/>
        </w:rPr>
        <w:t>Our executive officers, directors and principal stockholders own a majority of our outstanding common stock. Entities associated with Vivo Ventures, Forward Ventures, Technology Partners and our Chairman, Ernest Mario, as of September 30, 2017, own approximately 61.7%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key employees could diminish the benefits of the Merger and concurrent financing transactions.</w:t>
      </w:r>
    </w:p>
    <w:p>
      <w:pPr>
        <w:spacing w:after="0" w:line="22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Continued success will depend in part on the retention of key personnel at Essentialis, including senior management. There can be no assurances that we will be able to retain Essentialis’s key personnel. In addition, no assurance can be given that after the transactions, that we will be able to attract or retain key management personnel and other key employees to the same extent that we or Essentialis had been previously able to attract or retain their own employees.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now primarily a clinical-stage company with no approved products, which makes assessment of our future viability difficult.</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now primarily a clinical-stage company, with a relatively limited operating history upon and with no approved therapeutic products or revenues from the sale of therapeutic products. Essentialis’s operations prior to the Merger had been limited to organizing, staffing and financing, applying for patent rights, undertaking clinical trials of its primary product candidate, DCCR, and engaging in research and development. Prior to the Merger, Essentialis had not yet demonstrated an ability to obtain regulatory approval, manufacture commercial-scale products, or conduct the sales and marketing activities necessary for successful product commercialization. As a result, there is limited information about Essentialis for investors to use when assessing our future viability as a combined company and our potential to successfully develop product candidates, conduct clinical trials, manufacture our products on a commercial scale, obtain regulatory approval and profitably commercialize any approved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will now be significantly dependent upon the success of DCCR, our sole therapeutic product candidate.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Prior to the Merger, Essentialis had invested, and following the Merger, we expect to continue to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for DCCR in the U. S. and E. U.;</w:t>
      </w:r>
    </w:p>
    <w:p>
      <w:pPr>
        <w:spacing w:after="0" w:line="117"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 party payors;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33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79"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0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800" w:right="299" w:bottom="1440" w:gutter="0" w:footer="0" w:header="0"/>
        </w:sectPr>
      </w:pPr>
    </w:p>
    <w:bookmarkStart w:id="37" w:name="page38"/>
    <w:bookmarkEnd w:id="37"/>
    <w:p>
      <w:pPr>
        <w:ind w:right="40" w:firstLine="324"/>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1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DCCR or any future products;</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efforts by our competitors to commercialize products at or about the time when our product candidates would be coming to market.</w:t>
      </w:r>
    </w:p>
    <w:p>
      <w:pPr>
        <w:spacing w:after="0" w:line="34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24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78"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0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jc w:val="both"/>
        <w:ind w:right="80" w:firstLine="324"/>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73" w:lineRule="exact"/>
        <w:rPr>
          <w:sz w:val="20"/>
          <w:szCs w:val="20"/>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33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DCCR or other potential product candidates following the merger. The denial or delay of any such approval would delay commercialization and have a material adverse effect on our potential to generate revenue, our business and our results of operations.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9" w:name="page40"/>
    <w:bookmarkEnd w:id="39"/>
    <w:p>
      <w:pPr>
        <w:jc w:val="both"/>
        <w:ind w:right="100"/>
        <w:spacing w:after="0" w:line="264" w:lineRule="auto"/>
        <w:rPr>
          <w:sz w:val="20"/>
          <w:szCs w:val="20"/>
          <w:color w:val="auto"/>
        </w:rPr>
      </w:pPr>
      <w:r>
        <w:rPr>
          <w:rFonts w:ascii="Arial" w:cs="Arial" w:eastAsia="Arial" w:hAnsi="Arial"/>
          <w:sz w:val="18"/>
          <w:szCs w:val="18"/>
          <w:color w:val="auto"/>
        </w:rPr>
        <w:t>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7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71"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2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DCCR receives marketing approval, it may fail to achieve the degree of market acceptance by physicians, patients, third party payors and others in the medical community necessary for commercial success.</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If DCCR receives marketing approval, it may nonetheless fail to gain sufficient market acceptance by physicians, patients, third party payors and others in the medical community. If DCCR does not achieve an adequate level of acceptance, we may not generate significant product revenues or any profits from operations. The degree of market acceptance of our product candidates, if approved for commercial sale, will depend on a number of factors, including:</w:t>
      </w:r>
    </w:p>
    <w:p>
      <w:pPr>
        <w:spacing w:after="0" w:line="3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offer our product candidates for sale at competitive prices;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sufficient third party coverage or reimbursement.</w:t>
      </w:r>
    </w:p>
    <w:p>
      <w:pPr>
        <w:spacing w:after="0" w:line="33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ability to negotiate, secure and maintain third party coverage and reimbursement may be affected by political, economic and regulatory developments in the U.S., E.U., and other jurisdictions. Governments continue to impose cost containment measures, and third party payors are increasingly challenging prices charged for medicines and examining their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4" w:right="27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color w:val="auto"/>
        </w:rPr>
        <w:t>cost effectiveness, in addition to their safety and efficacy. These and other similar developments could significantly limit the degree of market acceptance of DCCR or any of our other potential product candidates that receive marketing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 following the completion of the Merger.</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70" w:lineRule="exact"/>
        <w:rPr>
          <w:sz w:val="20"/>
          <w:szCs w:val="20"/>
          <w:color w:val="auto"/>
        </w:rPr>
      </w:pPr>
    </w:p>
    <w:p>
      <w:pPr>
        <w:ind w:left="1300" w:right="3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17"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 patient care and treatment decisions; and</w:t>
      </w:r>
    </w:p>
    <w:p>
      <w:pPr>
        <w:spacing w:after="0" w:line="6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payors will cover and pay for such tests and, if so, whether they will adequately reimburse us.</w:t>
      </w:r>
    </w:p>
    <w:p>
      <w:pPr>
        <w:spacing w:after="0" w:line="279"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00" w:right="259" w:bottom="1440" w:gutter="0" w:footer="0" w:header="0"/>
        </w:sectPr>
      </w:pPr>
    </w:p>
    <w:bookmarkStart w:id="41" w:name="page42"/>
    <w:bookmarkEnd w:id="41"/>
    <w:p>
      <w:pPr>
        <w:ind w:right="80" w:firstLine="324"/>
        <w:spacing w:after="0" w:line="257" w:lineRule="auto"/>
        <w:rPr>
          <w:sz w:val="20"/>
          <w:szCs w:val="20"/>
          <w:color w:val="auto"/>
        </w:rPr>
      </w:pPr>
      <w:r>
        <w:rPr>
          <w:rFonts w:ascii="Arial" w:cs="Arial" w:eastAsia="Arial" w:hAnsi="Arial"/>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2" w:lineRule="exact"/>
        <w:rPr>
          <w:sz w:val="20"/>
          <w:szCs w:val="20"/>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62"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1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62"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62"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2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73"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800" w:right="319" w:bottom="1440" w:gutter="0" w:footer="0" w:header="0"/>
        </w:sectPr>
      </w:pPr>
    </w:p>
    <w:bookmarkStart w:id="42" w:name="page43"/>
    <w:bookmarkEnd w:id="42"/>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3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7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example, a number of companies offer therapies for treatment of AR patients based on a daily regimen, and physicians, patients or their families may not be willing to change their current treatment practices in favor of Serenz even if it is able to offer additional efficacy or more attractive product attributes. If our products do not achieve an adequate level of acceptance, we may not generate significant product revenue and we may not become profitable on a sustained basis or at all.</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currently have limited sales and distribution personnel, and limited marketing capabilities. If we are unable to develop a sales and marketing and distribution capability on our own or through collaborations or other marketing partners, we will not be successful in commercializing our products, or other planned products.</w:t>
      </w:r>
    </w:p>
    <w:p>
      <w:pPr>
        <w:spacing w:after="0" w:line="181"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84" w:right="279" w:bottom="1440" w:gutter="0" w:footer="0" w:header="0"/>
        </w:sectPr>
      </w:pPr>
    </w:p>
    <w:bookmarkStart w:id="43" w:name="page44"/>
    <w:bookmarkEnd w:id="43"/>
    <w:p>
      <w:pPr>
        <w:ind w:right="240" w:firstLine="324"/>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In addition, the termination of our license agreement for Serenz with our former partner, may negatively impact the perception of Serenz held by other potential partners for the program. We may not be successful in our efforts to establish such a strategic partnership for any future products and programs on terms that are acceptable to us, or at all.</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4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8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6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26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There are several large pharmaceutical and biotechnology companies that currently market and sell AR therapies to our target patient group. These companies may reduce prices for their competing drugs in an effort to gain or retain market share, and undermine the value our products might otherwise be able to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801" w:right="279" w:bottom="1440" w:gutter="0" w:footer="0" w:header="0"/>
        </w:sectPr>
      </w:pPr>
    </w:p>
    <w:bookmarkStart w:id="44" w:name="page45"/>
    <w:bookmarkEnd w:id="44"/>
    <w:p>
      <w:pPr>
        <w:ind w:right="80"/>
        <w:spacing w:after="0" w:line="264" w:lineRule="auto"/>
        <w:rPr>
          <w:sz w:val="20"/>
          <w:szCs w:val="20"/>
          <w:color w:val="auto"/>
        </w:rPr>
      </w:pPr>
      <w:r>
        <w:rPr>
          <w:rFonts w:ascii="Arial" w:cs="Arial" w:eastAsia="Arial" w:hAnsi="Arial"/>
          <w:sz w:val="18"/>
          <w:szCs w:val="18"/>
          <w:color w:val="auto"/>
        </w:rPr>
        <w:t>offer to payors.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U.S. Third-party payors often rely upon Medicare coverage policy and payment limitations in setting their own reimbursement policies.</w:t>
      </w:r>
    </w:p>
    <w:p>
      <w:pPr>
        <w:spacing w:after="0" w:line="17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payors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24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face an inherent risk of product liability exposure related to the sale of our products. The marketing, sale and use of our products could lead to the filing of product liability claims against us if someone alleges that our tests failed to perform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00" w:right="259" w:bottom="1440" w:gutter="0" w:footer="0" w:header="0"/>
        </w:sectPr>
      </w:pPr>
    </w:p>
    <w:bookmarkStart w:id="45" w:name="page46"/>
    <w:bookmarkEnd w:id="45"/>
    <w:p>
      <w:pPr>
        <w:ind w:right="20"/>
        <w:spacing w:after="0" w:line="264" w:lineRule="auto"/>
        <w:rPr>
          <w:sz w:val="20"/>
          <w:szCs w:val="20"/>
          <w:color w:val="auto"/>
        </w:rPr>
      </w:pPr>
      <w:r>
        <w:rPr>
          <w:rFonts w:ascii="Arial" w:cs="Arial" w:eastAsia="Arial" w:hAnsi="Arial"/>
          <w:sz w:val="18"/>
          <w:szCs w:val="18"/>
          <w:color w:val="auto"/>
        </w:rPr>
        <w:t>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73"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33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Chief Financial Officer, Neil M. Cowen, our Senior Vice President of Drug Development, and Kristen Yen, our Vice President of Clinical Operations.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$1,000,000 “key person” life insurance policy on our Chief Executive Officer, Dr. Anish Bhatnagar, but do not otherwise maintain “key person” life insurance on any of our employees.</w:t>
      </w:r>
    </w:p>
    <w:p>
      <w:pPr>
        <w:spacing w:after="0" w:line="16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turnover creates uncertainties and could harm our business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have recently experienced changes in our executive leadership. Specifically, on August 29, 2017, David O'Toole, Senior Vice President and Chief Financial Officer, notified us of his decision to resign form employment effective September 11, 2017. Mr. Jonathan Wolter, a partner at FLG Partners, LLC, was retained as our interim Chief Financial Officer; however, no permanent replacement has been appointed. We also expect that we may have other officers leave as we rationalize our legacy business and focus on our DCCR development program. 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16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800" w:right="279" w:bottom="1440" w:gutter="0" w:footer="0" w:header="0"/>
        </w:sectPr>
      </w:pPr>
    </w:p>
    <w:bookmarkStart w:id="46" w:name="page47"/>
    <w:bookmarkEnd w:id="46"/>
    <w:p>
      <w:pPr>
        <w:ind w:right="24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part of our business strategy, we may pursue acquisitions or licenses of assets or acquisitions of businesses, including the Merger with Essentialis pursuant to the Merger Agreement. We completed the Merger with Essentialis on March 7, 2017, and concurrently with the closing of the Merger, completed financing transaction with total aggregate proceeds of approximately $10 million from current stockholders and new investors.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7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62" w:lineRule="exact"/>
        <w:rPr>
          <w:sz w:val="20"/>
          <w:szCs w:val="20"/>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self-pay systems;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or lack of them in certain jurisdictions, forcing more reliance on our trade secrets, if available;</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800" w:right="279" w:bottom="1440" w:gutter="0" w:footer="0" w:header="0"/>
        </w:sectPr>
      </w:pPr>
    </w:p>
    <w:bookmarkStart w:id="47" w:name="page48"/>
    <w:bookmarkEnd w:id="47"/>
    <w:p>
      <w:pPr>
        <w:ind w:left="1300" w:right="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2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accuracy of CoSense depends, in part, on the function of software run by the microprocessors embedded in the device. This software is proprietary to us. While we have made efforts to test the software extensively, it is potentially subject to malfunction. It may be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7"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CoSense monitor also stores test results, a feature which assists medical professionals in interfacing the device with electronic medical records systems. There are a number of state, federal and international laws protecting the privacy and security of health information and personal data.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17"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or may elect not to continue or renew efforts based on clinical study results, changes in their strategic focus for a variety of</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ind w:left="1300" w:right="480"/>
        <w:spacing w:after="0" w:line="324" w:lineRule="auto"/>
        <w:rPr>
          <w:sz w:val="20"/>
          <w:szCs w:val="20"/>
          <w:color w:val="auto"/>
        </w:rPr>
      </w:pPr>
      <w:r>
        <w:rPr>
          <w:rFonts w:ascii="Arial" w:cs="Arial" w:eastAsia="Arial" w:hAnsi="Arial"/>
          <w:sz w:val="18"/>
          <w:szCs w:val="18"/>
          <w:color w:val="auto"/>
        </w:rPr>
        <w:t>reasons, potentially including the acquisition of competitive products, availability of funding, and mergers or acquisitions that divert resources or create competing priorities;</w:t>
      </w:r>
    </w:p>
    <w:p>
      <w:pPr>
        <w:spacing w:after="0" w:line="35" w:lineRule="exact"/>
        <w:rPr>
          <w:sz w:val="20"/>
          <w:szCs w:val="20"/>
          <w:color w:val="auto"/>
        </w:rPr>
      </w:pPr>
    </w:p>
    <w:p>
      <w:pPr>
        <w:ind w:left="1300" w:right="4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delay clinical studies, provide insufficient funding for a clinical study program, stop a clinical study, abandon a product, repeat or conduct new clinical studies or require a new engineering iterations of a product for clinical testing;</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28"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ind w:left="1300" w:right="48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38" w:lineRule="exact"/>
        <w:rPr>
          <w:rFonts w:ascii="Arial" w:cs="Arial" w:eastAsia="Arial" w:hAnsi="Arial"/>
          <w:sz w:val="17"/>
          <w:szCs w:val="17"/>
          <w:color w:val="auto"/>
        </w:rPr>
      </w:pPr>
    </w:p>
    <w:p>
      <w:pPr>
        <w:ind w:left="1300" w:right="8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62"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7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September 30, 2017, we had 14 employees and 16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84"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28"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33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5620" w:right="4760" w:hanging="4964"/>
        <w:spacing w:after="0" w:line="800" w:lineRule="auto"/>
        <w:tabs>
          <w:tab w:leader="none" w:pos="13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different regulatory requirements for drug approvals in foreign countries; 48</w:t>
      </w:r>
    </w:p>
    <w:p>
      <w:pPr>
        <w:sectPr>
          <w:pgSz w:w="11900" w:h="16838" w:orient="portrait"/>
          <w:cols w:equalWidth="0" w:num="1">
            <w:col w:w="11320"/>
          </w:cols>
          <w:pgMar w:left="240" w:top="611" w:right="339" w:bottom="1440" w:gutter="0" w:footer="0" w:header="0"/>
        </w:sectPr>
      </w:pPr>
    </w:p>
    <w:bookmarkStart w:id="49" w:name="page50"/>
    <w:bookmarkEnd w:id="49"/>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where our Cosense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Patent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jc w:val="both"/>
        <w:ind w:right="200"/>
        <w:spacing w:after="0" w:line="264" w:lineRule="auto"/>
        <w:rPr>
          <w:sz w:val="20"/>
          <w:szCs w:val="20"/>
          <w:color w:val="auto"/>
        </w:rPr>
      </w:pPr>
      <w:r>
        <w:rPr>
          <w:rFonts w:ascii="Arial" w:cs="Arial" w:eastAsia="Arial" w:hAnsi="Arial"/>
          <w:sz w:val="18"/>
          <w:szCs w:val="18"/>
          <w:color w:val="auto"/>
        </w:rPr>
        <w:t>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170"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66"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12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Even if the patent applications we rely on issue as patents, they may not issue in a form that will provide us with any meaningful protection, prevent competitors from competing with us or otherwise provide us with any competitive advantage.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1" w:name="page52"/>
    <w:bookmarkEnd w:id="51"/>
    <w:p>
      <w:pPr>
        <w:spacing w:after="0" w:line="291" w:lineRule="auto"/>
        <w:rPr>
          <w:sz w:val="20"/>
          <w:szCs w:val="20"/>
          <w:color w:val="auto"/>
        </w:rPr>
      </w:pPr>
      <w:r>
        <w:rPr>
          <w:rFonts w:ascii="Arial" w:cs="Arial" w:eastAsia="Arial" w:hAnsi="Arial"/>
          <w:sz w:val="16"/>
          <w:szCs w:val="16"/>
          <w:color w:val="auto"/>
        </w:rPr>
        <w:t>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 partes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800" w:right="259" w:bottom="1440" w:gutter="0" w:footer="0" w:header="0"/>
        </w:sectPr>
      </w:pPr>
    </w:p>
    <w:bookmarkStart w:id="52" w:name="page53"/>
    <w:bookmarkEnd w:id="52"/>
    <w:p>
      <w:pPr>
        <w:ind w:right="100"/>
        <w:spacing w:after="0" w:line="257" w:lineRule="auto"/>
        <w:rPr>
          <w:sz w:val="20"/>
          <w:szCs w:val="20"/>
          <w:color w:val="auto"/>
        </w:rPr>
      </w:pPr>
      <w:r>
        <w:rPr>
          <w:rFonts w:ascii="Arial" w:cs="Arial" w:eastAsia="Arial" w:hAnsi="Arial"/>
          <w:sz w:val="18"/>
          <w:szCs w:val="18"/>
          <w:color w:val="auto"/>
        </w:rPr>
        <w:t>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current and planned products, but that are not covered by claims in our patents;</w:t>
      </w:r>
    </w:p>
    <w:p>
      <w:pPr>
        <w:spacing w:after="0" w:line="140"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17" w:lineRule="exact"/>
        <w:rPr>
          <w:rFonts w:ascii="Arial" w:cs="Arial" w:eastAsia="Arial" w:hAnsi="Arial"/>
          <w:sz w:val="18"/>
          <w:szCs w:val="18"/>
          <w:color w:val="auto"/>
        </w:rPr>
      </w:pPr>
    </w:p>
    <w:p>
      <w:pPr>
        <w:ind w:left="1300" w:right="82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17"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300" w:right="580" w:hanging="644"/>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3" w:name="page54"/>
    <w:bookmarkEnd w:id="53"/>
    <w:p>
      <w:pPr>
        <w:ind w:right="220"/>
        <w:spacing w:after="0" w:line="277" w:lineRule="auto"/>
        <w:rPr>
          <w:sz w:val="20"/>
          <w:szCs w:val="20"/>
          <w:color w:val="auto"/>
        </w:rPr>
      </w:pPr>
      <w:r>
        <w:rPr>
          <w:rFonts w:ascii="Arial" w:cs="Arial" w:eastAsia="Arial" w:hAnsi="Arial"/>
          <w:sz w:val="18"/>
          <w:szCs w:val="18"/>
          <w:color w:val="auto"/>
        </w:rPr>
        <w:t>resulting in partial or complete loss of patent rights in the relevant jurisdiction. In such an event, our competitors might be able to use our technologies and this circumstance would have a material adverse effect on our business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193"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26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8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 or biologics or supplements to approved applications filed by us;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800" w:right="279" w:bottom="1440" w:gutter="0" w:footer="0" w:header="0"/>
        </w:sectPr>
      </w:pPr>
    </w:p>
    <w:bookmarkStart w:id="54" w:name="page55"/>
    <w:bookmarkEnd w:id="54"/>
    <w:p>
      <w:pPr>
        <w:ind w:right="100" w:firstLine="324"/>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8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3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70" w:lineRule="exact"/>
        <w:rPr>
          <w:sz w:val="20"/>
          <w:szCs w:val="20"/>
          <w:color w:val="auto"/>
        </w:rPr>
      </w:pPr>
    </w:p>
    <w:p>
      <w:pPr>
        <w:ind w:left="660" w:right="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Phase 2. The drug candidate is given to a limited patient population to determine the effect of the drug candidate in treating the disease, the best dose of the drug candidate, and the possible side effects and safety risks of the drug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800" w:right="259" w:bottom="1440" w:gutter="0" w:footer="0" w:header="0"/>
        </w:sectPr>
      </w:pPr>
    </w:p>
    <w:bookmarkStart w:id="55" w:name="page56"/>
    <w:bookmarkEnd w:id="55"/>
    <w:p>
      <w:pPr>
        <w:ind w:left="660"/>
        <w:spacing w:after="0"/>
        <w:rPr>
          <w:sz w:val="20"/>
          <w:szCs w:val="20"/>
          <w:color w:val="auto"/>
        </w:rPr>
      </w:pPr>
      <w:r>
        <w:rPr>
          <w:rFonts w:ascii="Arial" w:cs="Arial" w:eastAsia="Arial" w:hAnsi="Arial"/>
          <w:sz w:val="16"/>
          <w:szCs w:val="16"/>
          <w:color w:val="auto"/>
        </w:rPr>
        <w:t>candidate. It is not uncommon for a drug candidate that appears promising in Phase 1 clinical trials to fail in the more rigorous Phase 2 clinical trials.</w:t>
      </w:r>
    </w:p>
    <w:p>
      <w:pPr>
        <w:spacing w:after="0" w:line="262" w:lineRule="exact"/>
        <w:rPr>
          <w:sz w:val="20"/>
          <w:szCs w:val="20"/>
          <w:color w:val="auto"/>
        </w:rPr>
      </w:pPr>
    </w:p>
    <w:p>
      <w:pPr>
        <w:ind w:left="660" w:right="100" w:hanging="328"/>
        <w:spacing w:after="0" w:line="30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154"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Once issued, the FDA may withdraw product approval if ongoing regulatory requirements are not met or if safety problems are identified after the product reaches the market. In addition, the FDA may require post-approval testing,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27" w:right="239" w:bottom="1440" w:gutter="0" w:footer="0" w:header="0"/>
        </w:sectPr>
      </w:pPr>
    </w:p>
    <w:bookmarkStart w:id="56" w:name="page57"/>
    <w:bookmarkEnd w:id="56"/>
    <w:p>
      <w:pPr>
        <w:ind w:right="100"/>
        <w:spacing w:after="0" w:line="255" w:lineRule="auto"/>
        <w:rPr>
          <w:sz w:val="20"/>
          <w:szCs w:val="20"/>
          <w:color w:val="auto"/>
        </w:rPr>
      </w:pPr>
      <w:r>
        <w:rPr>
          <w:rFonts w:ascii="Arial" w:cs="Arial" w:eastAsia="Arial" w:hAnsi="Arial"/>
          <w:sz w:val="18"/>
          <w:szCs w:val="18"/>
          <w:color w:val="auto"/>
        </w:rPr>
        <w:t>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Once marketing approval has been obtained, the approved product and its manufacturer are subject to continual review by the FDA or non-U.S. regulatory authorities. The current clearance for CoSense, as well as any additional regulatory approval that we receive for any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6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Once an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Accordingly, manufacturers must continue to expend time, money, and effort in the area of production and quality control to maintain cGMP or QSR compliance.</w:t>
      </w:r>
    </w:p>
    <w:p>
      <w:pPr>
        <w:spacing w:after="0" w:line="184" w:lineRule="exact"/>
        <w:rPr>
          <w:sz w:val="20"/>
          <w:szCs w:val="20"/>
          <w:color w:val="auto"/>
        </w:rPr>
      </w:pPr>
    </w:p>
    <w:p>
      <w:pPr>
        <w:ind w:firstLine="648"/>
        <w:spacing w:after="0" w:line="299"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1300" w:right="580" w:hanging="644"/>
        <w:spacing w:after="0" w:line="36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800" w:right="259" w:bottom="1440" w:gutter="0" w:footer="0" w:header="0"/>
        </w:sectPr>
      </w:pPr>
    </w:p>
    <w:bookmarkStart w:id="57" w:name="page58"/>
    <w:bookmarkEnd w:id="57"/>
    <w:p>
      <w:pPr>
        <w:ind w:right="340" w:firstLine="648"/>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Drugs that treat serious or life 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incidence of &lt;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Drugs are also subject to extensive regulation outside of the United States. In the European Union, there is a centralized approval procedure that authorizes marketing of a product in all countries of the European Union (which includes most major countries in Europe).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intend to seek distribution and marketing partners for our current products outside the U.S. and may market planned products in international markets. We have obtained a CE Mark certification for CoSense and Serenz and they are therefore authorized for sale in the E.U.; however, in order to market these products in Asia, Latin America and other foreign jurisdictions, we must obtain separate regulatory approvals.</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 in federal healthcare programs, reimbursement changes and fraud and abuse measures, all of which will impact existing government healthcare programs and will result in the development of new programs. The PPACA, among other things:</w:t>
      </w:r>
    </w:p>
    <w:p>
      <w:pPr>
        <w:spacing w:after="0" w:line="7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801" w:right="259" w:bottom="1440" w:gutter="0" w:footer="0" w:header="0"/>
        </w:sectPr>
      </w:pPr>
    </w:p>
    <w:bookmarkStart w:id="58" w:name="page59"/>
    <w:bookmarkEnd w:id="58"/>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2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In December of 2015, Congress passed a two-year suspension of the 2.3% medical device tax. If after two years, the suspension is not extended, at this time we believe the 2.3% tax on sales of medical devices will be applicable to sales of CoSense devices and may be applicable to CoSense consumables and Serenz devices. We cannot assure you that after the two-year suspension, the reinstatement of the 2.3% medical device tax would not adversely affect our business and financial results and we cannot predict how future federal or state legislative or administrative changes relating to healthcare reform will affect our business.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spacing w:after="0" w:line="3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33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84" w:right="279" w:bottom="1440" w:gutter="0" w:footer="0" w:header="0"/>
        </w:sectPr>
      </w:pPr>
    </w:p>
    <w:bookmarkStart w:id="59" w:name="page60"/>
    <w:bookmarkEnd w:id="59"/>
    <w:p>
      <w:pPr>
        <w:jc w:val="both"/>
        <w:ind w:right="300" w:firstLine="324"/>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63" w:lineRule="exact"/>
        <w:rPr>
          <w:sz w:val="20"/>
          <w:szCs w:val="20"/>
          <w:color w:val="auto"/>
        </w:rPr>
      </w:pPr>
    </w:p>
    <w:p>
      <w:pPr>
        <w:ind w:left="1300" w:right="80" w:hanging="644"/>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8"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2" w:lineRule="exact"/>
        <w:rPr>
          <w:rFonts w:ascii="Arial" w:cs="Arial" w:eastAsia="Arial" w:hAnsi="Arial"/>
          <w:sz w:val="18"/>
          <w:szCs w:val="18"/>
          <w:color w:val="auto"/>
        </w:rPr>
      </w:pPr>
    </w:p>
    <w:p>
      <w:pPr>
        <w:jc w:val="both"/>
        <w:ind w:left="1300" w:right="42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73"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300" w:right="240" w:hanging="644"/>
        <w:spacing w:after="0" w:line="308"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38" w:lineRule="exact"/>
        <w:rPr>
          <w:rFonts w:ascii="Arial" w:cs="Arial" w:eastAsia="Arial" w:hAnsi="Arial"/>
          <w:sz w:val="17"/>
          <w:szCs w:val="17"/>
          <w:color w:val="auto"/>
        </w:rPr>
      </w:pPr>
    </w:p>
    <w:p>
      <w:pPr>
        <w:ind w:left="1300" w:right="18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September 30, 2016, through September 30, 2017, the reported high and low prices of our common stock ranged from $6.60 to $1.50. As a result of this volatility, investors may not be able to sell their common stock at or above the purchase price. The market price for our common stock may be influenced by many factors, including the following:</w:t>
      </w:r>
    </w:p>
    <w:p>
      <w:pPr>
        <w:spacing w:after="0" w:line="8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results of clinical studies of our products or those of our competitors;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800" w:right="299" w:bottom="1440" w:gutter="0" w:footer="0" w:header="0"/>
        </w:sectPr>
      </w:pPr>
    </w:p>
    <w:bookmarkStart w:id="60" w:name="page61"/>
    <w:bookmarkEnd w:id="60"/>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studies, manufacturing process or sales and marketing terms;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17"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28"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3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issued 13,780 shares of Series B Convertible Preferred Stock, of which 1,000 shares were converted into 200 shares of the Company's Common Stock in 2016 and 2,731 shares were converted into 546,200 shares of Common Stock during the nine months ended September 30, 2017. As of September 30, 2017, there are 10,049 shares of Series B Convertible Preferred Stock outstanding which are convertible into 2,009,800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5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connection with the sale and issuance of Series B Convertible Preferred Stock to Sabby pursuant to the 2016 Sabby Purchase Agreement, we also amended the Series D Common Stock Purchase Warrants that were issued to Sabby under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1" w:name="page62"/>
    <w:bookmarkEnd w:id="61"/>
    <w:p>
      <w:pPr>
        <w:ind w:right="20"/>
        <w:spacing w:after="0" w:line="259" w:lineRule="auto"/>
        <w:rPr>
          <w:sz w:val="20"/>
          <w:szCs w:val="20"/>
          <w:color w:val="auto"/>
        </w:rPr>
      </w:pPr>
      <w:r>
        <w:rPr>
          <w:rFonts w:ascii="Arial" w:cs="Arial" w:eastAsia="Arial" w:hAnsi="Arial"/>
          <w:sz w:val="18"/>
          <w:szCs w:val="18"/>
          <w:color w:val="auto"/>
        </w:rPr>
        <w:t>2015 Sabby Purchase Agreement. The per share exercise price of the common stock underlying the Series D Common Stock Purchase Warrants was reduced from $12.30 per share to $8.75 per share, which, if exercised, may result in sales of substantial amounts of the underlying common stock in the public market, or the perception that these sales may occur, and which could materially and adversely affect the price of our common stock and could impair our ability to raise capital through the sale of additional equity securities.</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on March 7, 2017, we issued 1,666,666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416,666 shares of common stock for an investment of $2 million from Aspire Capital pursuant to the 2017 Aspire Purchase Agreement. Aspire Capital may ultimately purchase all, some or none of the $17.0 million worth of common stock, of which $2 million was sold on March 7, 2017, issuable under the 2017 Aspire Purchase Agreement, including the 141,666 commitment shares. All the shares issued under the 2017 Aspire Purchase Agreement are eligible for future resale under a registration statement on Form S-1 on February 1, 2017 that was declared effective by the SEC on February 15, 2017.</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“emerging growth company,” as defined in the Jumpstart Our Business Startups Act, or the JOBS Act, which was enacted in April 2012. For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long as we continue to be an emerging growth company, we may take advantage of exemptions from various reporting requirements that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public companies that are not emerging growth companies, including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of 2002, or the Sarbanes-Oxley Act, reduced disclosure obligations regarding executive compensation in our periodic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and proxy statements and exemptions from the requirements of holding a nonbinding advisory vote on executive compensation and stockholder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any golden parachute payments not previously approved. We could be an emerging growth company for up to five years, although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cause us to lose that status earlier. We will remain an emerging growth company until the earlier of (1) the last day of the fiscal year following the fifth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completion of our initial public offering, or IPO, (2) the last day of the fiscal year in which we have total annual gross revenue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(3) the date on which we are deemed to be a large accelerated filer, which means the market value of our common stock that is held by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exceeds $700.0 million as of the prior June 30th, and (4) the date on which we have issued more than $1.0 billion in non-convertible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prior three-year period. We cannot predict if investors will find our common stock less attractive because we may rely on these exemptions.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some investors find our common stock less attractive as a result, there may be a less active trading market for our common stock and our stock price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suffer or be more volatile.</w:t>
      </w:r>
    </w:p>
    <w:p>
      <w:pPr>
        <w:spacing w:after="0" w:line="21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Vivo Ventures, Technology Partners, Forward Ventures and its affiliates may have control over key decision making.</w:t>
      </w:r>
    </w:p>
    <w:p>
      <w:pPr>
        <w:spacing w:after="0" w:line="1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Our executive officers, directors and stockholders own a majority of our outstanding common stock. Entities associated with Vivo Ventures, Forward Ventures, Technology Partners and our Chairman, Ernest Mario, as of September 30, 2017, own approximately 61.7% of our common stock. As a result, the forgoing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1" w:right="239" w:bottom="1440" w:gutter="0" w:footer="0" w:header="0"/>
        </w:sectPr>
      </w:pPr>
    </w:p>
    <w:bookmarkStart w:id="62" w:name="page63"/>
    <w:bookmarkEnd w:id="62"/>
    <w:p>
      <w:pPr>
        <w:ind w:right="80"/>
        <w:spacing w:after="0" w:line="271" w:lineRule="auto"/>
        <w:rPr>
          <w:sz w:val="20"/>
          <w:szCs w:val="20"/>
          <w:color w:val="auto"/>
        </w:rPr>
      </w:pPr>
      <w:r>
        <w:rPr>
          <w:rFonts w:ascii="Arial" w:cs="Arial" w:eastAsia="Arial" w:hAnsi="Arial"/>
          <w:sz w:val="17"/>
          <w:szCs w:val="17"/>
          <w:color w:val="auto"/>
        </w:rPr>
        <w:t>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7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beginning with our Annual Report on Form 10-K for the fiscal year ended December 31, 2014, which was filed March 13, 2015.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which will limit our ability to utilize our existing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eligible for sale and as a result, any such sales could depress the market price of our common stock.</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of September 30, 2017, we had Series A Warrants outstanding exercisable for an aggregate of 485,121 shares of common stock, Series C Warrants outstanding exercisable for an aggregate of 118,083 shares of common stock, Series D Warrants outstanding exercisable for an aggregate of 586,162 shares of common stock and other warrants exercisable for an aggregate of 120,421 shares of common stock. As of September 30, 2017, we had 10,049 shares of Series B Convertible Preferred Stock outstanding exercisable for an aggregate of 2,009,800 shares of common stock. As of September 30, 2017, options to purchase 1,072,004 shares of our common stock were issued and outstanding with a weighted average exercise price of $9.90 per share. The sale or even the possibility of sale of the shares of common stock, or the exercise of options or warrants to purchase shares of our common stock and subsequent sale thereof could substantially reduce the market price for our common stock or our ability to obtain future financing.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00" w:right="239" w:bottom="1440" w:gutter="0" w:footer="0" w:header="0"/>
        </w:sectPr>
      </w:pPr>
    </w:p>
    <w:bookmarkStart w:id="63" w:name="page64"/>
    <w:bookmarkEnd w:id="63"/>
    <w:p>
      <w:pPr>
        <w:ind w:right="20" w:firstLine="324"/>
        <w:spacing w:after="0" w:line="273" w:lineRule="auto"/>
        <w:rPr>
          <w:sz w:val="20"/>
          <w:szCs w:val="20"/>
          <w:color w:val="auto"/>
        </w:rPr>
      </w:pPr>
      <w:r>
        <w:rPr>
          <w:rFonts w:ascii="Arial" w:cs="Arial" w:eastAsia="Arial" w:hAnsi="Arial"/>
          <w:sz w:val="17"/>
          <w:szCs w:val="17"/>
          <w:color w:val="auto"/>
        </w:rPr>
        <w:t>In connection with the sale and issuance of Series B Convertible Preferred Stock to Sabby pursuant to the 2016 Sabby Purchase Agreement, we also amended the 540,540 Series D Common Stock Purchase Warrants issued to Sabby under the 2015 Sabby Purchase Agreement. The per share exercise price of the common stock underlying the Series D common stock Warrants was reduced from $12.30 per share to $8.75 per share. The sale or even the possibility of sale of the common stock or the underlying shares of common stock issuable upon the conversion of the Series A Convertible Preferred Stock or the Series B Convertible Preferred Stock, or upon exercise of the amended Series D Common Stock Purchase Warrants could substantially reduce the market price for our common stock or our ability to obtain future financing.</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on March 7, 2017, we issued 1,666,666 shares of common stock for an investment of $8 million from the completion of the concurrent financing, which shares may, in the future, be available for resale upon the filing of a registration statement that covers such shares and which has been declared effective by the SEC, and issued 416,666 shares of common stock for an investment of $2 million from Aspire Capital pursuant to the 2017 Aspire Purchase Agreement. Aspire Capital may ultimately purchase all, some or none of the $17.0 million worth of common stock, of which $2 million was sold on March 7, 2017, issuable under the 2017 Aspire Purchase Agreement, including the 141,666 commitment shares. All the shares issued under the 2017 Aspire Purchase Agreement are eligible for future resale under a registration statement on Form S-1 on February 1, 2017 that was declared effective by the SEC on February 15,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we may be required to settle the value of the Series A Warrants and Series C Warrants in cash.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at any time while the Series A Warrants and Series C Warrants are outstanding, we enter into a “Fundamental Transaction” (as defined in the Series A Warrant and Series C Warrant Agreements),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Series A Warrants and Series C Warrants as at any time prior to the consummation of the Fundamental Transaction, may elect and require us to purchase the Series A and Series C Warrants held by such person immediately prior to the consummation of such Fundamental Transaction by making a cash payment in an amount equal to the Black Scholes Value of the remaining unexercised portion of such registered holder’s Series A Warrants and Series C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On October 24, 2016, we received a letter from the Listing Qualifications Department of NASDAQ indicating that, based upon the closing bid price of our common stock for the last 30 consecutive business days, we did not meet the minimum bid price of $1.00 per share required for continued listing on NASDAQ pursuant to Nasdaq Listing Rule 5550(a)(2). We were not in compliance with this minimum bid price requirement until we implemented a reverse stock split on October 6, 2017 at which time we effected a one-for-five reverse stock split of our outstanding common stock. In addition, we do not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64" w:name="page65"/>
    <w:bookmarkEnd w:id="64"/>
    <w:p>
      <w:pPr>
        <w:spacing w:after="0" w:line="297" w:lineRule="auto"/>
        <w:rPr>
          <w:sz w:val="20"/>
          <w:szCs w:val="20"/>
          <w:color w:val="auto"/>
        </w:rPr>
      </w:pPr>
      <w:r>
        <w:rPr>
          <w:rFonts w:ascii="Arial" w:cs="Arial" w:eastAsia="Arial" w:hAnsi="Arial"/>
          <w:sz w:val="16"/>
          <w:szCs w:val="16"/>
          <w:color w:val="auto"/>
        </w:rPr>
        <w:t>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24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$32.50 per share prior to the expiration of the five-year term on November 12, 2019, after which date any unexercised Series A Warrants will expire and have no further value. Holders of Series C Warrants may exercise their right to acquire common stock and pay an exercise price of $31.25 per share prior to the expiration of the five-year term on March 4, 2020. Following amendment of the Series D Common Stock Purchase Warrants, the holders may exercise their right to acquire common stock and pay an amended exercise price of $8.75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70" w:lineRule="exact"/>
        <w:rPr>
          <w:sz w:val="20"/>
          <w:szCs w:val="20"/>
          <w:color w:val="auto"/>
        </w:rPr>
      </w:pPr>
    </w:p>
    <w:p>
      <w:pPr>
        <w:ind w:right="420" w:firstLine="324"/>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70" w:lineRule="exact"/>
        <w:rPr>
          <w:sz w:val="20"/>
          <w:szCs w:val="20"/>
          <w:color w:val="auto"/>
        </w:rPr>
      </w:pPr>
    </w:p>
    <w:p>
      <w:pPr>
        <w:ind w:left="1300" w:right="92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62" w:lineRule="exact"/>
        <w:rPr>
          <w:rFonts w:ascii="Arial" w:cs="Arial" w:eastAsia="Arial" w:hAnsi="Arial"/>
          <w:sz w:val="18"/>
          <w:szCs w:val="18"/>
          <w:color w:val="auto"/>
        </w:rPr>
      </w:pPr>
    </w:p>
    <w:p>
      <w:pPr>
        <w:ind w:left="1300" w:right="40" w:hanging="644"/>
        <w:spacing w:after="0" w:line="308"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38"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73"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5" w:name="page66"/>
    <w:bookmarkEnd w:id="65"/>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117"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7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2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Certain of our executive officers are parties to employment agreements that contain change in control and severance provisions providing for aggregate cash payments of up to approximately $1.4 million for severance and other benefits and acceleration of vesting of stock options with a value of approximately $1.1 million,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5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Aspire Capital and Sabby may cause substantial dilution to our existing stockholders and the sale of common stock by Aspire Capital and Sabby could cause the price of our common stock to decline.</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registered for sale 1,858,333 shares of common stock that we may sell to Aspire Capital under the 2017 Aspire Purchase Agreement plus 141,666 shares of common stock that were commitment shares that we issued to Aspire Capital. Depending upon market liquidity at the time, sales of shares of our common stock under the 2017 Aspire Purchase Agreement, which we have previously registered for resale, may cause the trading price of our common stock to decline. Aspire Capital may sell all, some or none of our shares that it holds or comes to hold under the 2017 Aspire Purchase Agreement, including the 141,666 commitment shares issued to it under the 2017 Aspire Purchase Agreement. Sales by Aspire Capital or any of the purchasers of our common stock in the concurrent financing may result in dilution to the interests of other holders of our common stock. The sale of a substantial number of shares of our common stock by Aspire Capital, or anticipation of such sales, could make it more difficult for us to sell equity or equity-related securities in the future at a time and at a price that we might otherwise wish to effect sales. However, we have the right to control the timing and amount of sales of our shares to Aspire Capital, and the 2017 Aspire Purchase Agreement may be terminated by us at any time at our discretion without any penalty or cost to us.</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also registered for sale the shares of common stock underlying the Series B Convertible Preferred Stock sold and issued, or available for sale and issuance, to Sabby pursuant to the 2016 Sabby Purchase Agreement. Sabby may sell all, some or none of our shares that it holds under the 2016 Sabby Purchase Agreement. The issuance of of the shares of common stock underlying the Series B Convertible Preferred Stock and the amended Series D Common Stock Purchase Warrants to Sabby may cause substantial dilution to our existing stockholders, and the sale of the underlying shares of common stock by Sabby could cause the price of our common stock to decline. The sale of a substantial number of shares of our common stock by Sabby, or anticipation of such sales, could make it more difficult for us to sell equity or equity-related securities in the future at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6" w:name="page67"/>
    <w:bookmarkEnd w:id="66"/>
    <w:p>
      <w:pPr>
        <w:ind w:right="460"/>
        <w:spacing w:after="0" w:line="277" w:lineRule="auto"/>
        <w:rPr>
          <w:sz w:val="20"/>
          <w:szCs w:val="20"/>
          <w:color w:val="auto"/>
        </w:rPr>
      </w:pPr>
      <w:r>
        <w:rPr>
          <w:rFonts w:ascii="Arial" w:cs="Arial" w:eastAsia="Arial" w:hAnsi="Arial"/>
          <w:sz w:val="18"/>
          <w:szCs w:val="18"/>
          <w:color w:val="auto"/>
        </w:rPr>
        <w:t>a time and at a price that we might otherwise wish to effect sales. The 2016 Sabby Purchase Agreement also provides Sabby a right to participate in any future sale of our equity securities.</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addition, on March 7, 2017, as contemplated by the Merger Agreement, we issued 1,666,666 shares of common stock for an investment of $8 million from the completion of the concurrent financing, which shares are being registered in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 Reverse Stock Split</w:t>
      </w:r>
    </w:p>
    <w:p>
      <w:pPr>
        <w:spacing w:after="0" w:line="17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May 8, 2017, we received stockholder approval for a reverse stock split of our common stock at a ratio ranging between one-for-two (1:2) and one-for-ten (1:10), or the Reverse Split, pursuant to the proxy statement filed with the SEC on March 29, 2017. On October 6, 2017, the Company effected a one-for-five (1:5) Reverse Split of its Common Stock. Our board of directors expects that, over time, the Reverse Split of the outstanding common stock will increase the market price of the common stock. However, we cannot be certain whether the Reverse Split would lead to a sustained increase in the trading price or the trading market for our common stock. The Reverse Split could result in a significant devaluation of our market capitalization and trading price of the common stock. The history of similar stock split combinations for companies in like circumstances is varied. There is no assurance that:</w:t>
      </w:r>
    </w:p>
    <w:p>
      <w:pPr>
        <w:spacing w:after="0" w:line="165" w:lineRule="exact"/>
        <w:rPr>
          <w:sz w:val="20"/>
          <w:szCs w:val="20"/>
          <w:color w:val="auto"/>
        </w:rPr>
      </w:pPr>
    </w:p>
    <w:p>
      <w:pPr>
        <w:ind w:left="1300" w:right="36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price per share of the common stock after the Reverse Split will rise in proportion to the reduction in the number of pre-split shares of common stock outstanding before the Reverse Split;</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Reverse Split will result in a per share price that will attract brokers and investors, including institutional investors, who do not trade in lower priced stocks;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Reverse Split will result in a per share price that will increase our ability to attract and retain employees and other service providers;</w:t>
      </w:r>
    </w:p>
    <w:p>
      <w:pPr>
        <w:spacing w:after="0" w:line="140" w:lineRule="exact"/>
        <w:rPr>
          <w:rFonts w:ascii="Arial" w:cs="Arial" w:eastAsia="Arial" w:hAnsi="Arial"/>
          <w:sz w:val="16"/>
          <w:szCs w:val="16"/>
          <w:color w:val="auto"/>
        </w:rPr>
      </w:pPr>
    </w:p>
    <w:p>
      <w:pPr>
        <w:ind w:left="1300" w:right="14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price per share post Revise Split will remain in excess of the $1.00 minimum closing bid price as required by the Nasdaq Marketplace Rules or that we would otherwise meet the requirements of Nasdaq for continued inclusion for trading on The Nasdaq Global Select Market or The Nasdaq Capital Market; and</w:t>
      </w:r>
    </w:p>
    <w:p>
      <w:pPr>
        <w:spacing w:after="0" w:line="73"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Reverse Split will increase the trading market for our common stock, particularly if the stock price does not increase as a result of the reduction in the number of shares of common stock available in the public market.</w:t>
      </w:r>
    </w:p>
    <w:p>
      <w:pPr>
        <w:spacing w:after="0" w:line="27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market price of the common stock will also be based on our performance and other factors, some of which are unrelated to the number of shares outstanding. As a result of the Reverse Split, the trading price of our common stock may decline, the percentage decline as an absolute number and as a percentage of our overall market capitalization may be greater than would occur in the absence of the Reverse Split. Furthermore, the liquidity of the common stock could be adversely affected by the reduced number of shares that would be outstanding after the Reverse Split and this could have an adverse effect on the market price of the common stock. If the market price of the common stock declines following the Reverse Split, this will detrimentally impact our market capitalization and the market value of our public float. The Reverse Split may result in some stockholders owning “odd lots” that may be more difficult to sell or require greater transaction costs per share to sell. The Reverse Split may result in some stockholders owning “odd lots” of less than 100 shares of common stock on a post-split basis. These odd lots may be more difficult to sell, or require greater transaction costs per share to sell, than shares in “round lots” of even multiples of 100 shares. As a result of the Reverse Split of all of the outstanding shares of our common stock at a ratio of one-for-five (1:5), certain stockholders might be fully cashed out in the Reverse Split and thus, such stockholders would no longer have any equity interest in us and therefore would not participate in our future earnings or growth, if any. The Reverse Split may not help generate additional investor interest.There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00" w:right="239" w:bottom="1440" w:gutter="0" w:footer="0" w:header="0"/>
        </w:sectPr>
      </w:pPr>
    </w:p>
    <w:bookmarkStart w:id="67" w:name="page68"/>
    <w:bookmarkEnd w:id="67"/>
    <w:p>
      <w:pPr>
        <w:spacing w:after="0"/>
        <w:tabs>
          <w:tab w:leader="none" w:pos="25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7, 2017, we completed the Merger with Essentialis and issued 3,783,388 shares of common stock to stockholders of Essentialis. We held back 182,675 shares of common stock as partial recourse to satisfy indemnification claims, and such shares will be issued to Essentialis stockholders on the 1 year anniversary of the closing of the Merger. We are also obligated to issue an additional 913,389 shares of common stock to Essentialis stockholders upon the achievement of a development milestone. Assuming that we issue all of the shares of our common stock held back and the development milestone is achieved, we would issue a total of 4,879,452 shares of common stock to Essentialis stockholders. These shares were registered on a Registration Statement on Form S-1 filed with the SEC on April 21, 2017, and declared effective on August 10, 2017.</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addition, we issued 1,666,666 shares of common stock for an investment of $8 million from the completion of the concurrent financing and issued 416,666 shares of common stock for an investment of $2 million from Aspire Capital. These shares were registered on a Registration Statement on Form S-1 filed with the SEC on February 1, 2017, and declared effective on February 14, 2017.</w:t>
      </w:r>
    </w:p>
    <w:p>
      <w:pPr>
        <w:sectPr>
          <w:pgSz w:w="11900" w:h="16838" w:orient="portrait"/>
          <w:cols w:equalWidth="0" w:num="1">
            <w:col w:w="11340"/>
          </w:cols>
          <w:pgMar w:left="240" w:top="905" w:right="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144" w:lineRule="exact"/>
        <w:rPr>
          <w:sz w:val="20"/>
          <w:szCs w:val="20"/>
          <w:color w:val="auto"/>
        </w:rPr>
      </w:pPr>
    </w:p>
    <w:p>
      <w:pPr>
        <w:sectPr>
          <w:pgSz w:w="11900" w:h="16838" w:orient="portrait"/>
          <w:cols w:equalWidth="0" w:num="2">
            <w:col w:w="1880" w:space="720"/>
            <w:col w:w="8740"/>
          </w:cols>
          <w:pgMar w:left="240" w:top="905" w:right="31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4.Mine Safety Disclosures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40"/>
          </w:cols>
          <w:pgMar w:left="240" w:top="905" w:right="31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33" w:lineRule="exact"/>
        <w:rPr>
          <w:sz w:val="20"/>
          <w:szCs w:val="20"/>
          <w:color w:val="auto"/>
        </w:rPr>
      </w:pPr>
    </w:p>
    <w:p>
      <w:pPr>
        <w:sectPr>
          <w:pgSz w:w="11900" w:h="16838" w:orient="portrait"/>
          <w:cols w:equalWidth="0" w:num="2">
            <w:col w:w="1880" w:space="720"/>
            <w:col w:w="8740"/>
          </w:cols>
          <w:pgMar w:left="240" w:top="905" w:right="3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340"/>
          </w:cols>
          <w:pgMar w:left="240" w:top="905" w:right="31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144" w:lineRule="exact"/>
        <w:rPr>
          <w:sz w:val="20"/>
          <w:szCs w:val="20"/>
          <w:color w:val="auto"/>
        </w:rPr>
      </w:pPr>
    </w:p>
    <w:p>
      <w:pPr>
        <w:sectPr>
          <w:pgSz w:w="11900" w:h="16838" w:orient="portrait"/>
          <w:cols w:equalWidth="0" w:num="2">
            <w:col w:w="1880" w:space="720"/>
            <w:col w:w="8740"/>
          </w:cols>
          <w:pgMar w:left="240" w:top="905" w:right="319" w:bottom="1440" w:gutter="0" w:footer="0" w:header="0"/>
          <w:type w:val="continuous"/>
        </w:sectPr>
      </w:pPr>
    </w:p>
    <w:p>
      <w:pPr>
        <w:ind w:right="160" w:firstLine="432"/>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905" w:right="319" w:bottom="1440" w:gutter="0" w:footer="0" w:header="0"/>
          <w:type w:val="continuous"/>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Registrant’s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Filed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40" w:type="dxa"/>
            <w:vAlign w:val="bottom"/>
            <w:gridSpan w:val="25"/>
          </w:tcPr>
          <w:p>
            <w:pPr>
              <w:ind w:left="6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Form</w:t>
            </w: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
        </w:trPr>
        <w:tc>
          <w:tcPr>
            <w:tcW w:w="460" w:type="dxa"/>
            <w:vAlign w:val="bottom"/>
            <w:vMerge w:val="restart"/>
          </w:tcPr>
          <w:p>
            <w:pPr>
              <w:ind w:left="1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Amended and Restated Certificate of Incorporation of Capnia, Inc.</w:t>
              </w:r>
            </w:hyperlink>
          </w:p>
        </w:tc>
        <w:tc>
          <w:tcPr>
            <w:tcW w:w="1000" w:type="dxa"/>
            <w:vAlign w:val="bottom"/>
            <w:gridSpan w:val="12"/>
          </w:tcPr>
          <w:p>
            <w:pPr>
              <w:spacing w:after="0"/>
              <w:rPr>
                <w:sz w:val="17"/>
                <w:szCs w:val="17"/>
                <w:color w:val="auto"/>
              </w:rPr>
            </w:pPr>
          </w:p>
        </w:tc>
        <w:tc>
          <w:tcPr>
            <w:tcW w:w="114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0"/>
              </w:rPr>
              <w:t>August 7, 2014</w:t>
            </w:r>
          </w:p>
        </w:tc>
        <w:tc>
          <w:tcPr>
            <w:tcW w:w="10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bottom w:val="single" w:sz="8" w:color="0000FF"/>
            </w:tcBorders>
            <w:gridSpan w:val="11"/>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Amended and Restated Bylaws of Capnia, Inc.</w:t>
              </w:r>
            </w:hyperlink>
          </w:p>
        </w:tc>
        <w:tc>
          <w:tcPr>
            <w:tcW w:w="2440" w:type="dxa"/>
            <w:vAlign w:val="bottom"/>
            <w:gridSpan w:val="17"/>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40" w:type="dxa"/>
            <w:vAlign w:val="bottom"/>
            <w:tcBorders>
              <w:bottom w:val="single" w:sz="8" w:color="0000FF"/>
            </w:tcBorders>
            <w:gridSpan w:val="20"/>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Certificate of Designation of Preferences, Rights and Limitations of Series A</w:t>
              </w:r>
            </w:hyperlink>
          </w:p>
        </w:tc>
        <w:tc>
          <w:tcPr>
            <w:tcW w:w="280" w:type="dxa"/>
            <w:vAlign w:val="bottom"/>
            <w:gridSpan w:val="8"/>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Convertible Preferred Stock.</w:t>
              </w:r>
            </w:hyperlink>
          </w:p>
        </w:tc>
        <w:tc>
          <w:tcPr>
            <w:tcW w:w="3740" w:type="dxa"/>
            <w:vAlign w:val="bottom"/>
            <w:gridSpan w:val="25"/>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tcBorders>
              <w:bottom w:val="single" w:sz="8" w:color="0000FF"/>
            </w:tcBorders>
            <w:gridSpan w:val="5"/>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Form of the Common Stock certificate.</w:t>
              </w:r>
            </w:hyperlink>
          </w:p>
        </w:tc>
        <w:tc>
          <w:tcPr>
            <w:tcW w:w="2980" w:type="dxa"/>
            <w:vAlign w:val="bottom"/>
            <w:gridSpan w:val="23"/>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5,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0" w:type="dxa"/>
            <w:vAlign w:val="bottom"/>
            <w:tcBorders>
              <w:bottom w:val="single" w:sz="8" w:color="0000FF"/>
            </w:tcBorders>
            <w:gridSpan w:val="27"/>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Amended And Restated Investors’ Rights Agreement, dated March 20, 2008, by</w:t>
              </w:r>
            </w:hyperlink>
          </w:p>
        </w:tc>
        <w:tc>
          <w:tcPr>
            <w:tcW w:w="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8"/>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and among Capnia, Inc. and certain holders of the Capnia, Inc.’s capital stock</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22">
              <w:r>
                <w:rPr>
                  <w:rFonts w:ascii="Arial" w:cs="Arial" w:eastAsia="Arial" w:hAnsi="Arial"/>
                  <w:sz w:val="18"/>
                  <w:szCs w:val="18"/>
                  <w:color w:val="0000FF"/>
                  <w:w w:val="88"/>
                </w:rPr>
                <w:t>named therein.</w:t>
              </w:r>
            </w:hyperlink>
          </w:p>
        </w:tc>
        <w:tc>
          <w:tcPr>
            <w:tcW w:w="4500" w:type="dxa"/>
            <w:vAlign w:val="bottom"/>
            <w:tcBorders>
              <w:top w:val="single" w:sz="8" w:color="0000FF"/>
            </w:tcBorders>
            <w:gridSpan w:val="20"/>
          </w:tcPr>
          <w:p>
            <w:pPr>
              <w:spacing w:after="0"/>
              <w:rPr>
                <w:sz w:val="17"/>
                <w:szCs w:val="17"/>
                <w:color w:val="auto"/>
              </w:rPr>
            </w:pPr>
          </w:p>
        </w:tc>
        <w:tc>
          <w:tcPr>
            <w:tcW w:w="24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Series A Warrant Agreement.</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5,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the Series A Warrant certificate</w:t>
              </w:r>
            </w:hyperlink>
            <w:r>
              <w:rPr>
                <w:rFonts w:ascii="Arial" w:cs="Arial" w:eastAsia="Arial" w:hAnsi="Arial"/>
                <w:sz w:val="18"/>
                <w:szCs w:val="18"/>
                <w:color w:val="000000"/>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5,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Underwriters’ Compensation Warrant</w:t>
              </w:r>
            </w:hyperlink>
            <w:r>
              <w:rPr>
                <w:rFonts w:ascii="Arial" w:cs="Arial" w:eastAsia="Arial" w:hAnsi="Arial"/>
                <w:sz w:val="18"/>
                <w:szCs w:val="18"/>
                <w:color w:val="000000"/>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5,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tcBorders>
              <w:bottom w:val="single" w:sz="8" w:color="0000FF"/>
            </w:tcBorders>
            <w:gridSpan w:val="26"/>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Form of Convertible Promissory Note issued in February 2010 and March 2010</w:t>
              </w:r>
            </w:hyperlink>
          </w:p>
        </w:tc>
        <w:tc>
          <w:tcPr>
            <w:tcW w:w="60" w:type="dxa"/>
            <w:vAlign w:val="bottom"/>
            <w:gridSpan w:val="2"/>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in connection with the 2010 convertible note financing.</w:t>
              </w:r>
            </w:hyperlink>
          </w:p>
        </w:tc>
        <w:tc>
          <w:tcPr>
            <w:tcW w:w="1820" w:type="dxa"/>
            <w:vAlign w:val="bottom"/>
            <w:gridSpan w:val="14"/>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Form of Warrant to Purchase Shares issued in February 2010 and March 2010</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in connection with the 2010 convertible note financing.</w:t>
              </w:r>
            </w:hyperlink>
          </w:p>
        </w:tc>
        <w:tc>
          <w:tcPr>
            <w:tcW w:w="1600" w:type="dxa"/>
            <w:vAlign w:val="bottom"/>
            <w:tcBorders>
              <w:top w:val="single" w:sz="8" w:color="0000FF"/>
            </w:tcBorders>
            <w:gridSpan w:val="7"/>
          </w:tcPr>
          <w:p>
            <w:pPr>
              <w:spacing w:after="0"/>
              <w:rPr>
                <w:sz w:val="17"/>
                <w:szCs w:val="17"/>
                <w:color w:val="auto"/>
              </w:rPr>
            </w:pPr>
          </w:p>
        </w:tc>
        <w:tc>
          <w:tcPr>
            <w:tcW w:w="20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60" w:type="dxa"/>
            <w:vAlign w:val="bottom"/>
            <w:tcBorders>
              <w:bottom w:val="single" w:sz="8" w:color="0000FF"/>
            </w:tcBorders>
            <w:gridSpan w:val="24"/>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Convertible Promissory Note issued in November 2010 in connection</w:t>
              </w:r>
            </w:hyperlink>
          </w:p>
        </w:tc>
        <w:tc>
          <w:tcPr>
            <w:tcW w:w="160" w:type="dxa"/>
            <w:vAlign w:val="bottom"/>
            <w:gridSpan w:val="4"/>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with the 2010 convertible note financing.</w:t>
              </w:r>
            </w:hyperlink>
          </w:p>
        </w:tc>
        <w:tc>
          <w:tcPr>
            <w:tcW w:w="2840" w:type="dxa"/>
            <w:vAlign w:val="bottom"/>
            <w:gridSpan w:val="20"/>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Form of Warrant to Purchase Shares issued in November 2010 in connection</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with the 2010 convertible note financing.</w:t>
              </w:r>
            </w:hyperlink>
          </w:p>
        </w:tc>
        <w:tc>
          <w:tcPr>
            <w:tcW w:w="2540" w:type="dxa"/>
            <w:vAlign w:val="bottom"/>
            <w:tcBorders>
              <w:top w:val="single" w:sz="8" w:color="0000FF"/>
            </w:tcBorders>
            <w:gridSpan w:val="11"/>
          </w:tcPr>
          <w:p>
            <w:pPr>
              <w:spacing w:after="0"/>
              <w:rPr>
                <w:sz w:val="17"/>
                <w:szCs w:val="17"/>
                <w:color w:val="auto"/>
              </w:rPr>
            </w:pPr>
          </w:p>
        </w:tc>
        <w:tc>
          <w:tcPr>
            <w:tcW w:w="30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4.10</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60" w:type="dxa"/>
            <w:vAlign w:val="bottom"/>
            <w:tcBorders>
              <w:bottom w:val="single" w:sz="8" w:color="0000FF"/>
            </w:tcBorders>
            <w:gridSpan w:val="17"/>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Form of Convertible Promissory Note issued in January 2012 in connection</w:t>
              </w:r>
            </w:hyperlink>
          </w:p>
        </w:tc>
        <w:tc>
          <w:tcPr>
            <w:tcW w:w="360" w:type="dxa"/>
            <w:vAlign w:val="bottom"/>
            <w:gridSpan w:val="11"/>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with the 2012 convertible note financing.</w:t>
              </w:r>
            </w:hyperlink>
          </w:p>
        </w:tc>
        <w:tc>
          <w:tcPr>
            <w:tcW w:w="2840" w:type="dxa"/>
            <w:vAlign w:val="bottom"/>
            <w:gridSpan w:val="20"/>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tcBorders>
              <w:bottom w:val="single" w:sz="8" w:color="0000FF"/>
            </w:tcBorders>
            <w:gridSpan w:val="25"/>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Form of Warrant to Purchase Shares issued in January 2012 in connection with</w:t>
              </w:r>
            </w:hyperlink>
          </w:p>
        </w:tc>
        <w:tc>
          <w:tcPr>
            <w:tcW w:w="120" w:type="dxa"/>
            <w:vAlign w:val="bottom"/>
            <w:gridSpan w:val="3"/>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2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Capnia, Inc.’s 2012 convertible note financing.</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23"/>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Convertible Promissory Note issued in July 2012 and August 2012 in</w:t>
              </w:r>
            </w:hyperlink>
          </w:p>
        </w:tc>
        <w:tc>
          <w:tcPr>
            <w:tcW w:w="180" w:type="dxa"/>
            <w:vAlign w:val="bottom"/>
            <w:gridSpan w:val="5"/>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connection with the 2012 convertible note financing.</w:t>
              </w:r>
            </w:hyperlink>
          </w:p>
        </w:tc>
        <w:tc>
          <w:tcPr>
            <w:tcW w:w="200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4.13</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Form of Warrant to Purchase Shares issued in July 2012 and August 2012 in</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connection with the 2012 convertible note financing.</w:t>
              </w:r>
            </w:hyperlink>
          </w:p>
        </w:tc>
        <w:tc>
          <w:tcPr>
            <w:tcW w:w="1680" w:type="dxa"/>
            <w:vAlign w:val="bottom"/>
            <w:tcBorders>
              <w:top w:val="single" w:sz="8" w:color="0000FF"/>
            </w:tcBorders>
            <w:gridSpan w:val="5"/>
          </w:tcPr>
          <w:p>
            <w:pPr>
              <w:spacing w:after="0"/>
              <w:rPr>
                <w:sz w:val="17"/>
                <w:szCs w:val="17"/>
                <w:color w:val="auto"/>
              </w:rPr>
            </w:pPr>
          </w:p>
        </w:tc>
        <w:tc>
          <w:tcPr>
            <w:tcW w:w="32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0" w:type="dxa"/>
            <w:vAlign w:val="bottom"/>
            <w:tcBorders>
              <w:bottom w:val="single" w:sz="8" w:color="0000FF"/>
            </w:tcBorders>
            <w:gridSpan w:val="27"/>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Form of Convertible Promissory Note issued in April, August and October 2014</w:t>
              </w:r>
            </w:hyperlink>
          </w:p>
        </w:tc>
        <w:tc>
          <w:tcPr>
            <w:tcW w:w="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in connection with the 2014 convertible note financing.</w:t>
              </w:r>
            </w:hyperlink>
          </w:p>
        </w:tc>
        <w:tc>
          <w:tcPr>
            <w:tcW w:w="180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4.15</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Warrant to Purchase Shares issued in April, August and October 2014</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in connection with the 2014 convertible note financing.</w:t>
              </w:r>
            </w:hyperlink>
          </w:p>
        </w:tc>
        <w:tc>
          <w:tcPr>
            <w:tcW w:w="1660" w:type="dxa"/>
            <w:vAlign w:val="bottom"/>
            <w:tcBorders>
              <w:top w:val="single" w:sz="8" w:color="0000FF"/>
            </w:tcBorders>
            <w:gridSpan w:val="10"/>
          </w:tcPr>
          <w:p>
            <w:pPr>
              <w:spacing w:after="0"/>
              <w:rPr>
                <w:sz w:val="17"/>
                <w:szCs w:val="17"/>
                <w:color w:val="auto"/>
              </w:rPr>
            </w:pPr>
          </w:p>
        </w:tc>
        <w:tc>
          <w:tcPr>
            <w:tcW w:w="16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rPr>
            </w:pPr>
            <w:hyperlink r:id="rId36">
              <w:r>
                <w:rPr>
                  <w:rFonts w:ascii="Arial" w:cs="Arial" w:eastAsia="Arial" w:hAnsi="Arial"/>
                  <w:sz w:val="18"/>
                  <w:szCs w:val="18"/>
                  <w:color w:val="0000FF"/>
                </w:rPr>
                <w:t>Form of unit certificate.</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5, 2014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40" w:type="dxa"/>
            <w:vAlign w:val="bottom"/>
            <w:gridSpan w:val="1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Series B Warrant Agreement.</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4, 2014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4.18</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gridSpan w:val="28"/>
          </w:tcPr>
          <w:p>
            <w:pPr>
              <w:spacing w:after="0"/>
              <w:rPr>
                <w:rFonts w:ascii="Arial" w:cs="Arial" w:eastAsia="Arial" w:hAnsi="Arial"/>
                <w:sz w:val="18"/>
                <w:szCs w:val="18"/>
                <w:color w:val="0000FF"/>
              </w:rPr>
            </w:pPr>
            <w:hyperlink r:id="rId38">
              <w:r>
                <w:rPr>
                  <w:rFonts w:ascii="Arial" w:cs="Arial" w:eastAsia="Arial" w:hAnsi="Arial"/>
                  <w:sz w:val="18"/>
                  <w:szCs w:val="18"/>
                  <w:color w:val="0000FF"/>
                </w:rPr>
                <w:t>Form of the Series B Warrant certificate.</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ind w:left="140"/>
              <w:spacing w:after="0"/>
              <w:rPr>
                <w:sz w:val="20"/>
                <w:szCs w:val="20"/>
                <w:color w:val="auto"/>
              </w:rPr>
            </w:pPr>
            <w:r>
              <w:rPr>
                <w:rFonts w:ascii="Arial" w:cs="Arial" w:eastAsia="Arial" w:hAnsi="Arial"/>
                <w:sz w:val="18"/>
                <w:szCs w:val="18"/>
                <w:color w:val="auto"/>
                <w:w w:val="85"/>
              </w:rPr>
              <w:t>4.19</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tcBorders>
              <w:bottom w:val="single" w:sz="8" w:color="0000FF"/>
            </w:tcBorders>
            <w:gridSpan w:val="9"/>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Form of the Series C Warrant Agreement.</w:t>
              </w:r>
            </w:hyperlink>
          </w:p>
        </w:tc>
        <w:tc>
          <w:tcPr>
            <w:tcW w:w="2800" w:type="dxa"/>
            <w:vAlign w:val="bottom"/>
            <w:gridSpan w:val="19"/>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April 1,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4.20</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tcBorders>
              <w:bottom w:val="single" w:sz="8" w:color="0000FF"/>
            </w:tcBorders>
            <w:gridSpan w:val="7"/>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the Series C Warrant certificate.</w:t>
              </w:r>
            </w:hyperlink>
          </w:p>
        </w:tc>
        <w:tc>
          <w:tcPr>
            <w:tcW w:w="2880" w:type="dxa"/>
            <w:vAlign w:val="bottom"/>
            <w:gridSpan w:val="21"/>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S-4</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April 1,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ind w:left="140"/>
              <w:spacing w:after="0"/>
              <w:rPr>
                <w:sz w:val="20"/>
                <w:szCs w:val="20"/>
                <w:color w:val="auto"/>
              </w:rPr>
            </w:pPr>
            <w:r>
              <w:rPr>
                <w:rFonts w:ascii="Arial" w:cs="Arial" w:eastAsia="Arial" w:hAnsi="Arial"/>
                <w:sz w:val="18"/>
                <w:szCs w:val="18"/>
                <w:color w:val="auto"/>
                <w:w w:val="85"/>
              </w:rPr>
              <w:t>4.21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28"/>
          </w:tcPr>
          <w:p>
            <w:pPr>
              <w:spacing w:after="0"/>
              <w:rPr>
                <w:rFonts w:ascii="Arial" w:cs="Arial" w:eastAsia="Arial" w:hAnsi="Arial"/>
                <w:sz w:val="18"/>
                <w:szCs w:val="18"/>
                <w:color w:val="0000FF"/>
              </w:rPr>
            </w:pPr>
            <w:hyperlink r:id="rId41">
              <w:r>
                <w:rPr>
                  <w:rFonts w:ascii="Arial" w:cs="Arial" w:eastAsia="Arial" w:hAnsi="Arial"/>
                  <w:sz w:val="18"/>
                  <w:szCs w:val="18"/>
                  <w:color w:val="0000FF"/>
                </w:rPr>
                <w:t>Form of Series D Common Stock Purchase Warrant.</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top w:val="single" w:sz="8" w:color="0000FF"/>
            </w:tcBorders>
            <w:gridSpan w:val="12"/>
          </w:tcPr>
          <w:p>
            <w:pPr>
              <w:spacing w:after="0"/>
              <w:rPr>
                <w:sz w:val="24"/>
                <w:szCs w:val="24"/>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Registrant’s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Filed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820" w:type="dxa"/>
            <w:vAlign w:val="bottom"/>
            <w:gridSpan w:val="7"/>
          </w:tcPr>
          <w:p>
            <w:pPr>
              <w:ind w:left="14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Form</w:t>
            </w:r>
          </w:p>
        </w:tc>
        <w:tc>
          <w:tcPr>
            <w:tcW w:w="14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1"/>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Form of Placement Agent Warrant.</w:t>
              </w:r>
            </w:hyperlink>
          </w:p>
        </w:tc>
        <w:tc>
          <w:tcPr>
            <w:tcW w:w="3280" w:type="dxa"/>
            <w:vAlign w:val="bottom"/>
            <w:gridSpan w:val="5"/>
          </w:tcPr>
          <w:p>
            <w:pPr>
              <w:spacing w:after="0"/>
              <w:rPr>
                <w:sz w:val="17"/>
                <w:szCs w:val="17"/>
                <w:color w:val="auto"/>
              </w:rPr>
            </w:pPr>
          </w:p>
        </w:tc>
        <w:tc>
          <w:tcPr>
            <w:tcW w:w="114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jc w:val="right"/>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4"/>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Form of Series D Common Stock Warrant Certificate.</w:t>
              </w:r>
            </w:hyperlink>
          </w:p>
        </w:tc>
        <w:tc>
          <w:tcPr>
            <w:tcW w:w="1920" w:type="dxa"/>
            <w:vAlign w:val="bottom"/>
            <w:gridSpan w:val="4"/>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FF"/>
            </w:tcBorders>
            <w:gridSpan w:val="6"/>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Series A Convertible Preferred Stock Certificate.</w:t>
              </w:r>
            </w:hyperlink>
          </w:p>
        </w:tc>
        <w:tc>
          <w:tcPr>
            <w:tcW w:w="1640" w:type="dxa"/>
            <w:vAlign w:val="bottom"/>
            <w:gridSpan w:val="2"/>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Borders>
              <w:bottom w:val="single" w:sz="8" w:color="0000FF"/>
            </w:tcBorders>
            <w:gridSpan w:val="3"/>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Form of Placement Agent Warrant.</w:t>
              </w:r>
            </w:hyperlink>
          </w:p>
        </w:tc>
        <w:tc>
          <w:tcPr>
            <w:tcW w:w="3280" w:type="dxa"/>
            <w:vAlign w:val="bottom"/>
            <w:gridSpan w:val="5"/>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Borders>
              <w:bottom w:val="single" w:sz="8" w:color="0000FF"/>
            </w:tcBorders>
            <w:gridSpan w:val="5"/>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Form of Series B Convertible Preferred Stock Certificate.</w:t>
              </w:r>
            </w:hyperlink>
          </w:p>
        </w:tc>
        <w:tc>
          <w:tcPr>
            <w:tcW w:w="1660" w:type="dxa"/>
            <w:vAlign w:val="bottom"/>
            <w:gridSpan w:val="3"/>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jc w:val="right"/>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8"/>
          </w:tcPr>
          <w:p>
            <w:pPr>
              <w:spacing w:after="0"/>
              <w:rPr>
                <w:rFonts w:ascii="Arial" w:cs="Arial" w:eastAsia="Arial" w:hAnsi="Arial"/>
                <w:sz w:val="18"/>
                <w:szCs w:val="18"/>
                <w:color w:val="0000FF"/>
              </w:rPr>
            </w:pPr>
            <w:hyperlink r:id="rId47">
              <w:r>
                <w:rPr>
                  <w:rFonts w:ascii="Arial" w:cs="Arial" w:eastAsia="Arial" w:hAnsi="Arial"/>
                  <w:sz w:val="18"/>
                  <w:szCs w:val="18"/>
                  <w:color w:val="0000FF"/>
                </w:rPr>
                <w:t>Form of Voting Agreement.</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8"/>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Form of Voting Agreement.</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tcBorders>
              <w:bottom w:val="single" w:sz="8" w:color="0000FF"/>
            </w:tcBorders>
            <w:gridSpan w:val="7"/>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Form of Indemnification Agreement between the Registrant and each of its</w:t>
              </w:r>
            </w:hyperlink>
          </w:p>
        </w:tc>
        <w:tc>
          <w:tcPr>
            <w:tcW w:w="4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10, 2014</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directors and executive officers</w:t>
              </w:r>
              <w:r>
                <w:rPr>
                  <w:rFonts w:ascii="Arial" w:cs="Arial" w:eastAsia="Arial" w:hAnsi="Arial"/>
                  <w:sz w:val="18"/>
                  <w:szCs w:val="18"/>
                  <w:color w:val="000000"/>
                </w:rPr>
                <w:t>.</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380"/>
          </w:cols>
          <w:pgMar w:left="280" w:top="738" w:right="239" w:bottom="1440" w:gutter="0" w:footer="0" w:header="0"/>
        </w:sect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50">
        <w:r>
          <w:rPr>
            <w:rFonts w:ascii="Arial" w:cs="Arial" w:eastAsia="Arial" w:hAnsi="Arial"/>
            <w:sz w:val="16"/>
            <w:szCs w:val="16"/>
            <w:u w:val="single" w:color="auto"/>
            <w:color w:val="0000FF"/>
          </w:rPr>
          <w:t>1999 Incentive Stock Plan and forms of agreements thereunder.</w:t>
        </w:r>
      </w:hyperlink>
    </w:p>
    <w:p>
      <w:pPr>
        <w:spacing w:after="0" w:line="63"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51">
        <w:r>
          <w:rPr>
            <w:rFonts w:ascii="Arial" w:cs="Arial" w:eastAsia="Arial" w:hAnsi="Arial"/>
            <w:sz w:val="16"/>
            <w:szCs w:val="16"/>
            <w:u w:val="single" w:color="auto"/>
            <w:color w:val="0000FF"/>
          </w:rPr>
          <w:t>2010 Equity Incentive Plan and forms of agreements thereunder.</w:t>
        </w:r>
      </w:hyperlink>
    </w:p>
    <w:p>
      <w:pPr>
        <w:spacing w:after="0" w:line="63"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52">
        <w:r>
          <w:rPr>
            <w:rFonts w:ascii="Arial" w:cs="Arial" w:eastAsia="Arial" w:hAnsi="Arial"/>
            <w:sz w:val="16"/>
            <w:szCs w:val="16"/>
            <w:u w:val="single" w:color="auto"/>
            <w:color w:val="0000FF"/>
          </w:rPr>
          <w:t>2014 Equity Incentive Plan and forms of agreements thereunder.</w:t>
        </w:r>
      </w:hyperlink>
    </w:p>
    <w:p>
      <w:pPr>
        <w:spacing w:after="0" w:line="63"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53">
        <w:r>
          <w:rPr>
            <w:rFonts w:ascii="Arial" w:cs="Arial" w:eastAsia="Arial" w:hAnsi="Arial"/>
            <w:sz w:val="16"/>
            <w:szCs w:val="16"/>
            <w:u w:val="single" w:color="auto"/>
            <w:color w:val="0000FF"/>
          </w:rPr>
          <w:t>2014 Employee Stock Purchase Plan and forms of agreements thereunder.</w:t>
        </w:r>
      </w:hyperlink>
    </w:p>
    <w:p>
      <w:pPr>
        <w:spacing w:after="0" w:line="63" w:lineRule="exact"/>
        <w:rPr>
          <w:sz w:val="20"/>
          <w:szCs w:val="20"/>
          <w:color w:val="auto"/>
        </w:rPr>
      </w:pPr>
    </w:p>
    <w:p>
      <w:pPr>
        <w:ind w:left="880" w:right="60" w:hanging="890"/>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54">
        <w:r>
          <w:rPr>
            <w:rFonts w:ascii="Arial" w:cs="Arial" w:eastAsia="Arial" w:hAnsi="Arial"/>
            <w:sz w:val="18"/>
            <w:szCs w:val="18"/>
            <w:u w:val="single" w:color="auto"/>
            <w:color w:val="0000FF"/>
          </w:rPr>
          <w:t>Offer Letter, dated June 22, 2007, by and between Capnia, Inc. and Ernest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Mario, Ph.D.</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248" w:lineRule="exact"/>
        <w:rPr>
          <w:sz w:val="20"/>
          <w:szCs w:val="20"/>
          <w:color w:val="auto"/>
        </w:rPr>
      </w:pPr>
    </w:p>
    <w:p>
      <w:pPr>
        <w:sectPr>
          <w:pgSz w:w="11900" w:h="16838" w:orient="portrait"/>
          <w:cols w:equalWidth="0" w:num="2">
            <w:col w:w="6280" w:space="720"/>
            <w:col w:w="4380"/>
          </w:cols>
          <w:pgMar w:left="28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80" w:type="dxa"/>
            <w:vAlign w:val="bottom"/>
          </w:tcPr>
          <w:p>
            <w:pPr>
              <w:spacing w:after="0" w:line="198" w:lineRule="exact"/>
              <w:rPr>
                <w:sz w:val="20"/>
                <w:szCs w:val="20"/>
                <w:color w:val="auto"/>
              </w:rPr>
            </w:pPr>
            <w:r>
              <w:rPr>
                <w:rFonts w:ascii="Arial" w:cs="Arial" w:eastAsia="Arial" w:hAnsi="Arial"/>
                <w:sz w:val="18"/>
                <w:szCs w:val="18"/>
                <w:color w:val="auto"/>
              </w:rPr>
              <w:t>10.7</w:t>
            </w:r>
          </w:p>
        </w:tc>
        <w:tc>
          <w:tcPr>
            <w:tcW w:w="5720" w:type="dxa"/>
            <w:vAlign w:val="bottom"/>
            <w:tcBorders>
              <w:bottom w:val="single" w:sz="8" w:color="0000FF"/>
            </w:tcBorders>
            <w:gridSpan w:val="13"/>
          </w:tcPr>
          <w:p>
            <w:pPr>
              <w:spacing w:after="0" w:line="198"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Employment Agreement, dated April 6, 2010, by and between Capnia, Inc. and</w:t>
              </w:r>
            </w:hyperlink>
          </w:p>
        </w:tc>
        <w:tc>
          <w:tcPr>
            <w:tcW w:w="240" w:type="dxa"/>
            <w:vAlign w:val="bottom"/>
          </w:tcPr>
          <w:p>
            <w:pPr>
              <w:spacing w:after="0"/>
              <w:rPr>
                <w:sz w:val="17"/>
                <w:szCs w:val="17"/>
                <w:color w:val="auto"/>
              </w:rPr>
            </w:pPr>
          </w:p>
        </w:tc>
        <w:tc>
          <w:tcPr>
            <w:tcW w:w="820" w:type="dxa"/>
            <w:vAlign w:val="bottom"/>
          </w:tcPr>
          <w:p>
            <w:pPr>
              <w:ind w:left="260"/>
              <w:spacing w:after="0" w:line="198" w:lineRule="exact"/>
              <w:rPr>
                <w:sz w:val="20"/>
                <w:szCs w:val="20"/>
                <w:color w:val="auto"/>
              </w:rPr>
            </w:pPr>
            <w:r>
              <w:rPr>
                <w:rFonts w:ascii="Arial" w:cs="Arial" w:eastAsia="Arial" w:hAnsi="Arial"/>
                <w:sz w:val="18"/>
                <w:szCs w:val="18"/>
                <w:color w:val="auto"/>
              </w:rPr>
              <w:t>S-1</w:t>
            </w:r>
          </w:p>
        </w:tc>
        <w:tc>
          <w:tcPr>
            <w:tcW w:w="1720" w:type="dxa"/>
            <w:vAlign w:val="bottom"/>
          </w:tcPr>
          <w:p>
            <w:pPr>
              <w:ind w:left="340"/>
              <w:spacing w:after="0" w:line="198" w:lineRule="exact"/>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line="198" w:lineRule="exact"/>
              <w:rPr>
                <w:sz w:val="20"/>
                <w:szCs w:val="20"/>
                <w:color w:val="auto"/>
              </w:rPr>
            </w:pPr>
            <w:r>
              <w:rPr>
                <w:rFonts w:ascii="Arial" w:cs="Arial" w:eastAsia="Arial" w:hAnsi="Arial"/>
                <w:sz w:val="18"/>
                <w:szCs w:val="18"/>
                <w:color w:val="auto"/>
              </w:rPr>
              <w:t>10.7</w:t>
            </w:r>
          </w:p>
        </w:tc>
      </w:tr>
      <w:tr>
        <w:trPr>
          <w:trHeight w:val="196"/>
        </w:trPr>
        <w:tc>
          <w:tcPr>
            <w:tcW w:w="880" w:type="dxa"/>
            <w:vAlign w:val="bottom"/>
          </w:tcPr>
          <w:p>
            <w:pPr>
              <w:spacing w:after="0"/>
              <w:rPr>
                <w:sz w:val="17"/>
                <w:szCs w:val="17"/>
                <w:color w:val="auto"/>
              </w:rPr>
            </w:pPr>
          </w:p>
        </w:tc>
        <w:tc>
          <w:tcPr>
            <w:tcW w:w="12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Anish Bhatnagar.</w:t>
              </w:r>
            </w:hyperlink>
          </w:p>
        </w:tc>
        <w:tc>
          <w:tcPr>
            <w:tcW w:w="470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5960" w:type="dxa"/>
            <w:vAlign w:val="bottom"/>
            <w:gridSpan w:val="14"/>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Offer Letter, dated May 29, 2013, between Capnia, Inc. and Anthony Wondka.</w:t>
              </w:r>
            </w:hyperlink>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5660" w:type="dxa"/>
            <w:vAlign w:val="bottom"/>
            <w:tcBorders>
              <w:top w:val="single" w:sz="8" w:color="0000FF"/>
            </w:tcBorders>
            <w:gridSpan w:val="12"/>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Offer Letter, dated April 17, 2014, by and between Capnia, Inc. and Antoun</w:t>
              </w:r>
            </w:hyperlink>
          </w:p>
        </w:tc>
        <w:tc>
          <w:tcPr>
            <w:tcW w:w="300" w:type="dxa"/>
            <w:vAlign w:val="bottom"/>
            <w:gridSpan w:val="2"/>
          </w:tcPr>
          <w:p>
            <w:pPr>
              <w:spacing w:after="0"/>
              <w:rPr>
                <w:sz w:val="21"/>
                <w:szCs w:val="21"/>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196"/>
        </w:trPr>
        <w:tc>
          <w:tcPr>
            <w:tcW w:w="88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Nabhan.</w:t>
              </w:r>
            </w:hyperlink>
          </w:p>
        </w:tc>
        <w:tc>
          <w:tcPr>
            <w:tcW w:w="4840" w:type="dxa"/>
            <w:vAlign w:val="bottom"/>
            <w:tcBorders>
              <w:top w:val="single" w:sz="8" w:color="0000FF"/>
            </w:tcBorders>
            <w:gridSpan w:val="7"/>
          </w:tcPr>
          <w:p>
            <w:pPr>
              <w:spacing w:after="0"/>
              <w:rPr>
                <w:sz w:val="17"/>
                <w:szCs w:val="17"/>
                <w:color w:val="auto"/>
              </w:rPr>
            </w:pPr>
          </w:p>
        </w:tc>
        <w:tc>
          <w:tcPr>
            <w:tcW w:w="50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5960" w:type="dxa"/>
            <w:vAlign w:val="bottom"/>
            <w:gridSpan w:val="14"/>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Asset Purchase Agreement dated May 11, 2010, by and between Capnia, Inc.</w:t>
              </w:r>
            </w:hyperlink>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196"/>
        </w:trPr>
        <w:tc>
          <w:tcPr>
            <w:tcW w:w="88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and BioMedical Drug Development Inc.</w:t>
              </w:r>
            </w:hyperlink>
          </w:p>
        </w:tc>
        <w:tc>
          <w:tcPr>
            <w:tcW w:w="2640" w:type="dxa"/>
            <w:vAlign w:val="bottom"/>
            <w:tcBorders>
              <w:top w:val="single" w:sz="8" w:color="0000FF"/>
            </w:tcBorders>
            <w:gridSpan w:val="6"/>
          </w:tcPr>
          <w:p>
            <w:pPr>
              <w:spacing w:after="0"/>
              <w:rPr>
                <w:sz w:val="17"/>
                <w:szCs w:val="17"/>
                <w:color w:val="auto"/>
              </w:rPr>
            </w:pPr>
          </w:p>
        </w:tc>
        <w:tc>
          <w:tcPr>
            <w:tcW w:w="4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5620" w:type="dxa"/>
            <w:vAlign w:val="bottom"/>
            <w:tcBorders>
              <w:bottom w:val="single" w:sz="8" w:color="0000FF"/>
            </w:tcBorders>
            <w:gridSpan w:val="11"/>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Convertible Note and Warrant Purchase Agreement, dated February 10, 2010,</w:t>
              </w:r>
            </w:hyperlink>
          </w:p>
        </w:tc>
        <w:tc>
          <w:tcPr>
            <w:tcW w:w="340" w:type="dxa"/>
            <w:vAlign w:val="bottom"/>
            <w:gridSpan w:val="3"/>
          </w:tcPr>
          <w:p>
            <w:pPr>
              <w:spacing w:after="0"/>
              <w:rPr>
                <w:sz w:val="21"/>
                <w:szCs w:val="21"/>
                <w:color w:val="auto"/>
              </w:rPr>
            </w:pPr>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196"/>
        </w:trPr>
        <w:tc>
          <w:tcPr>
            <w:tcW w:w="880" w:type="dxa"/>
            <w:vAlign w:val="bottom"/>
          </w:tcPr>
          <w:p>
            <w:pPr>
              <w:spacing w:after="0"/>
              <w:rPr>
                <w:sz w:val="17"/>
                <w:szCs w:val="17"/>
                <w:color w:val="auto"/>
              </w:rPr>
            </w:pPr>
          </w:p>
        </w:tc>
        <w:tc>
          <w:tcPr>
            <w:tcW w:w="5960" w:type="dxa"/>
            <w:vAlign w:val="bottom"/>
            <w:gridSpan w:val="1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by and among Capnia, Inc. and the investors named therein.</w:t>
              </w:r>
            </w:hyperlink>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5960" w:type="dxa"/>
            <w:vAlign w:val="bottom"/>
            <w:gridSpan w:val="14"/>
          </w:tcPr>
          <w:p>
            <w:pPr>
              <w:spacing w:after="0"/>
              <w:rPr>
                <w:rFonts w:ascii="Arial" w:cs="Arial" w:eastAsia="Arial" w:hAnsi="Arial"/>
                <w:sz w:val="18"/>
                <w:szCs w:val="18"/>
                <w:color w:val="0000FF"/>
              </w:rPr>
            </w:pPr>
            <w:hyperlink r:id="rId60">
              <w:r>
                <w:rPr>
                  <w:rFonts w:ascii="Arial" w:cs="Arial" w:eastAsia="Arial" w:hAnsi="Arial"/>
                  <w:sz w:val="18"/>
                  <w:szCs w:val="18"/>
                  <w:color w:val="0000FF"/>
                </w:rPr>
                <w:t>Amendment No. 1 to Convertible Note and Warrant Purchase Agreement,</w:t>
              </w:r>
            </w:hyperlink>
          </w:p>
        </w:tc>
        <w:tc>
          <w:tcPr>
            <w:tcW w:w="820" w:type="dxa"/>
            <w:vAlign w:val="bottom"/>
          </w:tcPr>
          <w:p>
            <w:pPr>
              <w:ind w:left="260"/>
              <w:spacing w:after="0"/>
              <w:rPr>
                <w:sz w:val="20"/>
                <w:szCs w:val="20"/>
                <w:color w:val="auto"/>
              </w:rPr>
            </w:pPr>
            <w:r>
              <w:rPr>
                <w:rFonts w:ascii="Arial" w:cs="Arial" w:eastAsia="Arial" w:hAnsi="Arial"/>
                <w:sz w:val="18"/>
                <w:szCs w:val="18"/>
                <w:color w:val="auto"/>
              </w:rPr>
              <w:t>S-1</w:t>
            </w:r>
          </w:p>
        </w:tc>
        <w:tc>
          <w:tcPr>
            <w:tcW w:w="1720" w:type="dxa"/>
            <w:vAlign w:val="bottom"/>
          </w:tcPr>
          <w:p>
            <w:pPr>
              <w:ind w:left="340"/>
              <w:spacing w:after="0"/>
              <w:rPr>
                <w:sz w:val="20"/>
                <w:szCs w:val="20"/>
                <w:color w:val="auto"/>
              </w:rPr>
            </w:pPr>
            <w:r>
              <w:rPr>
                <w:rFonts w:ascii="Arial" w:cs="Arial" w:eastAsia="Arial" w:hAnsi="Arial"/>
                <w:sz w:val="18"/>
                <w:szCs w:val="18"/>
                <w:color w:val="auto"/>
              </w:rPr>
              <w:t>June 10, 2014</w:t>
            </w: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196"/>
        </w:trPr>
        <w:tc>
          <w:tcPr>
            <w:tcW w:w="880" w:type="dxa"/>
            <w:vAlign w:val="bottom"/>
          </w:tcPr>
          <w:p>
            <w:pPr>
              <w:spacing w:after="0"/>
              <w:rPr>
                <w:sz w:val="17"/>
                <w:szCs w:val="17"/>
                <w:color w:val="auto"/>
              </w:rPr>
            </w:pPr>
          </w:p>
        </w:tc>
        <w:tc>
          <w:tcPr>
            <w:tcW w:w="5320" w:type="dxa"/>
            <w:vAlign w:val="bottom"/>
            <w:tcBorders>
              <w:top w:val="single" w:sz="8" w:color="0000FF"/>
            </w:tcBorders>
            <w:gridSpan w:val="8"/>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Convertible Promissory Notes and Warrants to Purchase Shares, dated</w:t>
              </w:r>
            </w:hyperlink>
          </w:p>
        </w:tc>
        <w:tc>
          <w:tcPr>
            <w:tcW w:w="6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960" w:type="dxa"/>
            <w:vAlign w:val="bottom"/>
            <w:gridSpan w:val="14"/>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November 10, 2010, by and among Capnia, Inc. and the investors named</w:t>
              </w:r>
            </w:hyperlink>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therein.</w:t>
              </w:r>
            </w:hyperlink>
          </w:p>
        </w:tc>
        <w:tc>
          <w:tcPr>
            <w:tcW w:w="4700" w:type="dxa"/>
            <w:vAlign w:val="bottom"/>
            <w:tcBorders>
              <w:top w:val="single" w:sz="8" w:color="0000FF"/>
            </w:tcBorders>
            <w:gridSpan w:val="6"/>
          </w:tcPr>
          <w:p>
            <w:pPr>
              <w:spacing w:after="0"/>
              <w:rPr>
                <w:sz w:val="17"/>
                <w:szCs w:val="17"/>
                <w:color w:val="auto"/>
              </w:rPr>
            </w:pPr>
          </w:p>
        </w:tc>
        <w:tc>
          <w:tcPr>
            <w:tcW w:w="70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67" w:lineRule="exact"/>
        <w:rPr>
          <w:sz w:val="20"/>
          <w:szCs w:val="20"/>
          <w:color w:val="auto"/>
        </w:rPr>
      </w:pPr>
    </w:p>
    <w:p>
      <w:pPr>
        <w:sectPr>
          <w:pgSz w:w="11900" w:h="16838" w:orient="portrait"/>
          <w:cols w:equalWidth="0" w:num="1">
            <w:col w:w="11380"/>
          </w:cols>
          <w:pgMar w:left="280" w:top="738" w:right="239" w:bottom="1440" w:gutter="0" w:footer="0" w:header="0"/>
          <w:type w:val="continuous"/>
        </w:sect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51">
        <w:r>
          <w:rPr>
            <w:rFonts w:ascii="Arial" w:cs="Arial" w:eastAsia="Arial" w:hAnsi="Arial"/>
            <w:sz w:val="16"/>
            <w:szCs w:val="16"/>
            <w:u w:val="single" w:color="auto"/>
            <w:color w:val="0000FF"/>
          </w:rPr>
          <w:t>2010 Equity Incentive Plan and forms of agreements thereunder.</w:t>
        </w:r>
      </w:hyperlink>
    </w:p>
    <w:p>
      <w:pPr>
        <w:spacing w:after="0" w:line="63"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52">
        <w:r>
          <w:rPr>
            <w:rFonts w:ascii="Arial" w:cs="Arial" w:eastAsia="Arial" w:hAnsi="Arial"/>
            <w:sz w:val="16"/>
            <w:szCs w:val="16"/>
            <w:u w:val="single" w:color="auto"/>
            <w:color w:val="0000FF"/>
          </w:rPr>
          <w:t>2014 Equity Incentive Plan and forms of agreements thereunder.</w:t>
        </w:r>
      </w:hyperlink>
    </w:p>
    <w:p>
      <w:pPr>
        <w:spacing w:after="0" w:line="63"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w:anchor="page1">
        <w:r>
          <w:rPr>
            <w:rFonts w:ascii="Arial" w:cs="Arial" w:eastAsia="Arial" w:hAnsi="Arial"/>
            <w:sz w:val="16"/>
            <w:szCs w:val="16"/>
            <w:u w:val="single" w:color="auto"/>
            <w:color w:val="0000EE"/>
          </w:rPr>
          <w:t>2014 Employee Stock Purchase Plan and forms of agreements thereunder.</w:t>
        </w:r>
      </w:hyperlink>
    </w:p>
    <w:p>
      <w:pPr>
        <w:spacing w:after="0" w:line="63" w:lineRule="exact"/>
        <w:rPr>
          <w:sz w:val="20"/>
          <w:szCs w:val="20"/>
          <w:color w:val="auto"/>
        </w:rPr>
      </w:pPr>
    </w:p>
    <w:p>
      <w:pPr>
        <w:ind w:left="880" w:right="380" w:hanging="890"/>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4">
        <w:r>
          <w:rPr>
            <w:rFonts w:ascii="Arial" w:cs="Arial" w:eastAsia="Arial" w:hAnsi="Arial"/>
            <w:sz w:val="18"/>
            <w:szCs w:val="18"/>
            <w:u w:val="single" w:color="auto"/>
            <w:color w:val="0000FF"/>
          </w:rPr>
          <w:t>Offer Letter, dated June 22, 2007, by and between Capnia, Inc. and Ernest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Mario, Ph.D.</w:t>
        </w:r>
      </w:hyperlink>
    </w:p>
    <w:p>
      <w:pPr>
        <w:spacing w:after="0" w:line="8" w:lineRule="exact"/>
        <w:rPr>
          <w:sz w:val="20"/>
          <w:szCs w:val="20"/>
          <w:color w:val="auto"/>
        </w:rPr>
      </w:pPr>
    </w:p>
    <w:p>
      <w:pPr>
        <w:ind w:left="880" w:hanging="890"/>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55">
        <w:r>
          <w:rPr>
            <w:rFonts w:ascii="Arial" w:cs="Arial" w:eastAsia="Arial" w:hAnsi="Arial"/>
            <w:sz w:val="18"/>
            <w:szCs w:val="18"/>
            <w:u w:val="single" w:color="auto"/>
            <w:color w:val="0000FF"/>
          </w:rPr>
          <w:t>Employment Agreement, dated April 6, 2010, by and between Capnia, Inc. and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Anish Bhatnagar.</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0"/>
              </w:rPr>
              <w:t>July 1,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86"/>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7"/>
              </w:rPr>
              <w:t>June 10, 2014</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255" w:lineRule="exact"/>
        <w:rPr>
          <w:sz w:val="20"/>
          <w:szCs w:val="20"/>
          <w:color w:val="auto"/>
        </w:rPr>
      </w:pPr>
    </w:p>
    <w:p>
      <w:pPr>
        <w:sectPr>
          <w:pgSz w:w="11900" w:h="16838" w:orient="portrait"/>
          <w:cols w:equalWidth="0" w:num="2">
            <w:col w:w="6600" w:space="400"/>
            <w:col w:w="4380"/>
          </w:cols>
          <w:pgMar w:left="280" w:top="738" w:right="239" w:bottom="1440" w:gutter="0" w:footer="0" w:header="0"/>
          <w:type w:val="continuous"/>
        </w:sectPr>
      </w:pPr>
    </w:p>
    <w:p>
      <w:pPr>
        <w:spacing w:after="0"/>
        <w:tabs>
          <w:tab w:leader="none" w:pos="860" w:val="left"/>
          <w:tab w:leader="none" w:pos="7080" w:val="left"/>
          <w:tab w:leader="none" w:pos="7980" w:val="left"/>
          <w:tab w:leader="none" w:pos="98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6">
        <w:r>
          <w:rPr>
            <w:rFonts w:ascii="Arial" w:cs="Arial" w:eastAsia="Arial" w:hAnsi="Arial"/>
            <w:sz w:val="18"/>
            <w:szCs w:val="18"/>
            <w:u w:val="single" w:color="auto"/>
            <w:color w:val="0000FF"/>
          </w:rPr>
          <w:t>Offer Letter, dated May 29, 2013, between Capnia, Inc. and Anthony Wondka.</w:t>
        </w:r>
      </w:hyperlink>
      <w:r>
        <w:rPr>
          <w:rFonts w:ascii="Arial" w:cs="Arial" w:eastAsia="Arial" w:hAnsi="Arial"/>
          <w:sz w:val="18"/>
          <w:szCs w:val="18"/>
          <w:u w:val="single" w:color="auto"/>
          <w:color w:val="0000FF"/>
        </w:rPr>
        <w:tab/>
        <w:t>S-1</w:t>
        <w:tab/>
        <w:t>June 10, 2014</w:t>
        <w:tab/>
      </w:r>
      <w:r>
        <w:rPr>
          <w:rFonts w:ascii="Arial" w:cs="Arial" w:eastAsia="Arial" w:hAnsi="Arial"/>
          <w:sz w:val="16"/>
          <w:szCs w:val="16"/>
          <w:u w:val="single" w:color="auto"/>
          <w:color w:val="0000FF"/>
        </w:rPr>
        <w:t>10.8</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80" w:top="738"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r>
      <w:tr>
        <w:trPr>
          <w:trHeight w:val="162"/>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Registrant’s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Filed</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29"/>
        </w:trPr>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700" w:type="dxa"/>
            <w:vAlign w:val="bottom"/>
          </w:tcPr>
          <w:p>
            <w:pPr>
              <w:ind w:left="208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Form</w:t>
            </w:r>
          </w:p>
        </w:tc>
        <w:tc>
          <w:tcPr>
            <w:tcW w:w="16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0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Number</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Herewith</w:t>
            </w: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380"/>
          </w:cols>
          <w:pgMar w:left="280" w:top="738" w:right="239" w:bottom="1440" w:gutter="0" w:footer="0" w:header="0"/>
        </w:sectPr>
      </w:pPr>
    </w:p>
    <w:p>
      <w:pPr>
        <w:ind w:left="880" w:right="14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7">
        <w:r>
          <w:rPr>
            <w:rFonts w:ascii="Arial" w:cs="Arial" w:eastAsia="Arial" w:hAnsi="Arial"/>
            <w:sz w:val="18"/>
            <w:szCs w:val="18"/>
            <w:u w:val="single" w:color="auto"/>
            <w:color w:val="0000FF"/>
          </w:rPr>
          <w:t>Offer Letter, dated April 17, 2014, by and between Capnia, Inc. and Antoun</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Nabhan.</w:t>
        </w:r>
      </w:hyperlink>
    </w:p>
    <w:p>
      <w:pPr>
        <w:spacing w:after="0" w:line="21"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10.20</w:t>
      </w:r>
      <w:r>
        <w:rPr>
          <w:sz w:val="20"/>
          <w:szCs w:val="20"/>
          <w:color w:val="auto"/>
        </w:rPr>
        <w:tab/>
      </w:r>
      <w:hyperlink r:id="rId58">
        <w:r>
          <w:rPr>
            <w:rFonts w:ascii="Arial" w:cs="Arial" w:eastAsia="Arial" w:hAnsi="Arial"/>
            <w:sz w:val="16"/>
            <w:szCs w:val="16"/>
            <w:u w:val="single" w:color="auto"/>
            <w:color w:val="0000FF"/>
          </w:rPr>
          <w:t>Asset Purchase Agreement dated May 11, 2010, by and between Capnia, Inc.</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and BioMedical Drug Development Inc.</w:t>
        </w:r>
      </w:hyperlink>
    </w:p>
    <w:p>
      <w:pPr>
        <w:spacing w:after="0" w:line="49" w:lineRule="exact"/>
        <w:rPr>
          <w:sz w:val="20"/>
          <w:szCs w:val="20"/>
          <w:color w:val="auto"/>
        </w:rPr>
      </w:pPr>
    </w:p>
    <w:p>
      <w:pPr>
        <w:ind w:left="880" w:hanging="877"/>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59">
        <w:r>
          <w:rPr>
            <w:rFonts w:ascii="Arial" w:cs="Arial" w:eastAsia="Arial" w:hAnsi="Arial"/>
            <w:sz w:val="17"/>
            <w:szCs w:val="17"/>
            <w:u w:val="single" w:color="auto"/>
            <w:color w:val="0000FF"/>
          </w:rPr>
          <w:t>Convertible Note and Warrant Purchase Agreement, dated February 10, 2010,</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by and among Capnia, Inc. and the investors named therein.</w:t>
        </w:r>
      </w:hyperlink>
    </w:p>
    <w:p>
      <w:pPr>
        <w:spacing w:after="0" w:line="1" w:lineRule="exact"/>
        <w:rPr>
          <w:sz w:val="20"/>
          <w:szCs w:val="20"/>
          <w:color w:val="auto"/>
        </w:rPr>
      </w:pPr>
    </w:p>
    <w:p>
      <w:pPr>
        <w:ind w:left="880" w:right="280" w:hanging="877"/>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60">
        <w:r>
          <w:rPr>
            <w:rFonts w:ascii="Arial" w:cs="Arial" w:eastAsia="Arial" w:hAnsi="Arial"/>
            <w:sz w:val="18"/>
            <w:szCs w:val="18"/>
            <w:u w:val="single" w:color="auto"/>
            <w:color w:val="0000FF"/>
          </w:rPr>
          <w:t>Amendment No. 1 to Convertible Note and Warrant Purchase Agreement,</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Convertible Promissory Notes and Warrants to Purchase Shares, dated</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November 10, 2010, by and among Capnia, Inc. and the investors named</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therein.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486"/>
        </w:trPr>
        <w:tc>
          <w:tcPr>
            <w:tcW w:w="620" w:type="dxa"/>
            <w:vAlign w:val="bottom"/>
          </w:tcPr>
          <w:p>
            <w:pPr>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r>
    </w:tbl>
    <w:p>
      <w:pPr>
        <w:spacing w:after="0" w:line="671" w:lineRule="exact"/>
        <w:rPr>
          <w:rFonts w:ascii="Arial" w:cs="Arial" w:eastAsia="Arial" w:hAnsi="Arial"/>
          <w:sz w:val="18"/>
          <w:szCs w:val="18"/>
          <w:u w:val="single" w:color="auto"/>
          <w:color w:val="0000FF"/>
        </w:rPr>
      </w:pPr>
    </w:p>
    <w:p>
      <w:pPr>
        <w:sectPr>
          <w:pgSz w:w="11900" w:h="16838" w:orient="portrait"/>
          <w:cols w:equalWidth="0" w:num="2">
            <w:col w:w="6480" w:space="440"/>
            <w:col w:w="4460"/>
          </w:cols>
          <w:pgMar w:left="280" w:top="73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10.23</w:t>
            </w:r>
          </w:p>
        </w:tc>
        <w:tc>
          <w:tcPr>
            <w:tcW w:w="5320" w:type="dxa"/>
            <w:vAlign w:val="bottom"/>
            <w:tcBorders>
              <w:bottom w:val="single" w:sz="8" w:color="0000FF"/>
            </w:tcBorders>
            <w:gridSpan w:val="8"/>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Amendment No. 2 to Convertible Note and Warrant Purchase Agreement,</w:t>
              </w:r>
            </w:hyperlink>
          </w:p>
        </w:tc>
        <w:tc>
          <w:tcPr>
            <w:tcW w:w="520" w:type="dxa"/>
            <w:vAlign w:val="bottom"/>
            <w:gridSpan w:val="8"/>
          </w:tcPr>
          <w:p>
            <w:pPr>
              <w:spacing w:after="0"/>
              <w:rPr>
                <w:sz w:val="17"/>
                <w:szCs w:val="17"/>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196"/>
        </w:trPr>
        <w:tc>
          <w:tcPr>
            <w:tcW w:w="880" w:type="dxa"/>
            <w:vAlign w:val="bottom"/>
          </w:tcPr>
          <w:p>
            <w:pPr>
              <w:spacing w:after="0"/>
              <w:rPr>
                <w:sz w:val="17"/>
                <w:szCs w:val="17"/>
                <w:color w:val="auto"/>
              </w:rPr>
            </w:pPr>
          </w:p>
        </w:tc>
        <w:tc>
          <w:tcPr>
            <w:tcW w:w="506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Convertible Promissory Notes and Warrants to Purchase Shares, dated</w:t>
              </w:r>
            </w:hyperlink>
          </w:p>
        </w:tc>
        <w:tc>
          <w:tcPr>
            <w:tcW w:w="78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4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January 17, 2012, by and among Capnia, Inc. and the investors named therein.</w:t>
              </w:r>
            </w:hyperlink>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10.24</w:t>
            </w:r>
          </w:p>
        </w:tc>
        <w:tc>
          <w:tcPr>
            <w:tcW w:w="5840" w:type="dxa"/>
            <w:vAlign w:val="bottom"/>
            <w:gridSpan w:val="16"/>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Convertible Note and Warrant Purchase Agreement, dated January 16, 2012,</w:t>
              </w:r>
            </w:hyperlink>
          </w:p>
        </w:tc>
        <w:tc>
          <w:tcPr>
            <w:tcW w:w="820" w:type="dxa"/>
            <w:vAlign w:val="bottom"/>
          </w:tcPr>
          <w:p>
            <w:pPr>
              <w:ind w:left="200"/>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196"/>
        </w:trPr>
        <w:tc>
          <w:tcPr>
            <w:tcW w:w="88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by and among Capnia, Inc. and the investors named therein.</w:t>
              </w:r>
            </w:hyperlink>
          </w:p>
        </w:tc>
        <w:tc>
          <w:tcPr>
            <w:tcW w:w="1180" w:type="dxa"/>
            <w:vAlign w:val="bottom"/>
            <w:tcBorders>
              <w:top w:val="single" w:sz="8" w:color="0000FF"/>
            </w:tcBorders>
            <w:gridSpan w:val="8"/>
          </w:tcPr>
          <w:p>
            <w:pPr>
              <w:spacing w:after="0"/>
              <w:rPr>
                <w:sz w:val="17"/>
                <w:szCs w:val="17"/>
                <w:color w:val="auto"/>
              </w:rPr>
            </w:pPr>
          </w:p>
        </w:tc>
        <w:tc>
          <w:tcPr>
            <w:tcW w:w="3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10.25</w:t>
            </w:r>
          </w:p>
        </w:tc>
        <w:tc>
          <w:tcPr>
            <w:tcW w:w="5580" w:type="dxa"/>
            <w:vAlign w:val="bottom"/>
            <w:tcBorders>
              <w:bottom w:val="single" w:sz="8" w:color="0000FF"/>
            </w:tcBorders>
            <w:gridSpan w:val="13"/>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Omnibus Amendment to Convertible Note and Warrant Purchase Agreement,</w:t>
              </w:r>
            </w:hyperlink>
          </w:p>
        </w:tc>
        <w:tc>
          <w:tcPr>
            <w:tcW w:w="260" w:type="dxa"/>
            <w:vAlign w:val="bottom"/>
            <w:gridSpan w:val="3"/>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196"/>
        </w:trPr>
        <w:tc>
          <w:tcPr>
            <w:tcW w:w="880" w:type="dxa"/>
            <w:vAlign w:val="bottom"/>
          </w:tcPr>
          <w:p>
            <w:pPr>
              <w:spacing w:after="0"/>
              <w:rPr>
                <w:sz w:val="17"/>
                <w:szCs w:val="17"/>
                <w:color w:val="auto"/>
              </w:rPr>
            </w:pPr>
          </w:p>
        </w:tc>
        <w:tc>
          <w:tcPr>
            <w:tcW w:w="5400" w:type="dxa"/>
            <w:vAlign w:val="bottom"/>
            <w:tcBorders>
              <w:bottom w:val="single" w:sz="8" w:color="0000FF"/>
            </w:tcBorders>
            <w:gridSpan w:val="10"/>
          </w:tcPr>
          <w:p>
            <w:pPr>
              <w:spacing w:after="0" w:line="196"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Convertible Promissory Notes and Warrants to Purchase Shares, dated July</w:t>
              </w:r>
            </w:hyperlink>
          </w:p>
        </w:tc>
        <w:tc>
          <w:tcPr>
            <w:tcW w:w="4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0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31, 2012, by and among Capnia, Inc. and the investors named therein.</w:t>
              </w:r>
            </w:hyperlink>
          </w:p>
        </w:tc>
        <w:tc>
          <w:tcPr>
            <w:tcW w:w="80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10.26</w:t>
            </w:r>
          </w:p>
        </w:tc>
        <w:tc>
          <w:tcPr>
            <w:tcW w:w="5180" w:type="dxa"/>
            <w:vAlign w:val="bottom"/>
            <w:tcBorders>
              <w:bottom w:val="single" w:sz="8" w:color="0000FF"/>
            </w:tcBorders>
            <w:gridSpan w:val="7"/>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Omnibus Amendment to Convertible Promissory Notes and Warrants to</w:t>
              </w:r>
            </w:hyperlink>
          </w:p>
        </w:tc>
        <w:tc>
          <w:tcPr>
            <w:tcW w:w="660" w:type="dxa"/>
            <w:vAlign w:val="bottom"/>
            <w:gridSpan w:val="9"/>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196"/>
        </w:trPr>
        <w:tc>
          <w:tcPr>
            <w:tcW w:w="880" w:type="dxa"/>
            <w:vAlign w:val="bottom"/>
          </w:tcPr>
          <w:p>
            <w:pPr>
              <w:spacing w:after="0"/>
              <w:rPr>
                <w:sz w:val="17"/>
                <w:szCs w:val="17"/>
                <w:color w:val="auto"/>
              </w:rPr>
            </w:pPr>
          </w:p>
        </w:tc>
        <w:tc>
          <w:tcPr>
            <w:tcW w:w="5840" w:type="dxa"/>
            <w:vAlign w:val="bottom"/>
            <w:gridSpan w:val="16"/>
          </w:tcPr>
          <w:p>
            <w:pPr>
              <w:spacing w:after="0" w:line="196" w:lineRule="exact"/>
              <w:rPr>
                <w:rFonts w:ascii="Arial" w:cs="Arial" w:eastAsia="Arial" w:hAnsi="Arial"/>
                <w:sz w:val="18"/>
                <w:szCs w:val="18"/>
                <w:color w:val="0000FF"/>
                <w:w w:val="97"/>
              </w:rPr>
            </w:pPr>
            <w:hyperlink r:id="rId64">
              <w:r>
                <w:rPr>
                  <w:rFonts w:ascii="Arial" w:cs="Arial" w:eastAsia="Arial" w:hAnsi="Arial"/>
                  <w:sz w:val="18"/>
                  <w:szCs w:val="18"/>
                  <w:color w:val="0000FF"/>
                  <w:w w:val="97"/>
                </w:rPr>
                <w:t>Purchase Shares, dated April 28, 2014, by and among Capnia, Inc. and the</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64">
              <w:r>
                <w:rPr>
                  <w:rFonts w:ascii="Arial" w:cs="Arial" w:eastAsia="Arial" w:hAnsi="Arial"/>
                  <w:sz w:val="18"/>
                  <w:szCs w:val="18"/>
                  <w:color w:val="0000FF"/>
                  <w:w w:val="88"/>
                </w:rPr>
                <w:t>investors named therein.</w:t>
              </w:r>
            </w:hyperlink>
          </w:p>
        </w:tc>
        <w:tc>
          <w:tcPr>
            <w:tcW w:w="3580" w:type="dxa"/>
            <w:vAlign w:val="bottom"/>
            <w:tcBorders>
              <w:top w:val="single" w:sz="8" w:color="0000FF"/>
            </w:tcBorders>
            <w:gridSpan w:val="8"/>
          </w:tcPr>
          <w:p>
            <w:pPr>
              <w:spacing w:after="0"/>
              <w:rPr>
                <w:sz w:val="17"/>
                <w:szCs w:val="17"/>
                <w:color w:val="auto"/>
              </w:rPr>
            </w:pPr>
          </w:p>
        </w:tc>
        <w:tc>
          <w:tcPr>
            <w:tcW w:w="50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10.27</w:t>
            </w:r>
          </w:p>
        </w:tc>
        <w:tc>
          <w:tcPr>
            <w:tcW w:w="5560" w:type="dxa"/>
            <w:vAlign w:val="bottom"/>
            <w:tcBorders>
              <w:bottom w:val="single" w:sz="8" w:color="0000FF"/>
            </w:tcBorders>
            <w:gridSpan w:val="12"/>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Convertible Note and Warrant Purchase Agreement, dated April 28, 2014, by</w:t>
              </w:r>
            </w:hyperlink>
          </w:p>
        </w:tc>
        <w:tc>
          <w:tcPr>
            <w:tcW w:w="280" w:type="dxa"/>
            <w:vAlign w:val="bottom"/>
            <w:gridSpan w:val="4"/>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196"/>
        </w:trPr>
        <w:tc>
          <w:tcPr>
            <w:tcW w:w="880" w:type="dxa"/>
            <w:vAlign w:val="bottom"/>
          </w:tcPr>
          <w:p>
            <w:pPr>
              <w:spacing w:after="0"/>
              <w:rPr>
                <w:sz w:val="17"/>
                <w:szCs w:val="17"/>
                <w:color w:val="auto"/>
              </w:rPr>
            </w:pPr>
          </w:p>
        </w:tc>
        <w:tc>
          <w:tcPr>
            <w:tcW w:w="5840" w:type="dxa"/>
            <w:vAlign w:val="bottom"/>
            <w:gridSpan w:val="16"/>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and among Capnia, Inc. and the investors named therein.</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10.28</w:t>
            </w:r>
          </w:p>
        </w:tc>
        <w:tc>
          <w:tcPr>
            <w:tcW w:w="5580" w:type="dxa"/>
            <w:vAlign w:val="bottom"/>
            <w:tcBorders>
              <w:bottom w:val="single" w:sz="8" w:color="0000FF"/>
            </w:tcBorders>
            <w:gridSpan w:val="13"/>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Omnibus Amendment to Convertible Note and Warrant Purchase Agreement,</w:t>
              </w:r>
            </w:hyperlink>
          </w:p>
        </w:tc>
        <w:tc>
          <w:tcPr>
            <w:tcW w:w="260" w:type="dxa"/>
            <w:vAlign w:val="bottom"/>
            <w:gridSpan w:val="3"/>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S-1</w:t>
            </w:r>
          </w:p>
        </w:tc>
        <w:tc>
          <w:tcPr>
            <w:tcW w:w="1800" w:type="dxa"/>
            <w:vAlign w:val="bottom"/>
          </w:tcPr>
          <w:p>
            <w:pPr>
              <w:ind w:left="380"/>
              <w:spacing w:after="0"/>
              <w:rPr>
                <w:sz w:val="20"/>
                <w:szCs w:val="20"/>
                <w:color w:val="auto"/>
              </w:rPr>
            </w:pPr>
            <w:r>
              <w:rPr>
                <w:rFonts w:ascii="Arial" w:cs="Arial" w:eastAsia="Arial" w:hAnsi="Arial"/>
                <w:sz w:val="18"/>
                <w:szCs w:val="18"/>
                <w:color w:val="auto"/>
              </w:rPr>
              <w:t>June 10, 2014</w:t>
            </w:r>
          </w:p>
        </w:tc>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196"/>
        </w:trPr>
        <w:tc>
          <w:tcPr>
            <w:tcW w:w="880" w:type="dxa"/>
            <w:vAlign w:val="bottom"/>
          </w:tcPr>
          <w:p>
            <w:pPr>
              <w:spacing w:after="0"/>
              <w:rPr>
                <w:sz w:val="17"/>
                <w:szCs w:val="17"/>
                <w:color w:val="auto"/>
              </w:rPr>
            </w:pPr>
          </w:p>
        </w:tc>
        <w:tc>
          <w:tcPr>
            <w:tcW w:w="5840" w:type="dxa"/>
            <w:vAlign w:val="bottom"/>
            <w:gridSpan w:val="16"/>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Convertible Promissory Notes and Warrants to Purchase Shares, dated May 5,</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6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2014, by and among Capnia, Inc. and the investors named therein.</w:t>
              </w:r>
            </w:hyperlink>
          </w:p>
        </w:tc>
        <w:tc>
          <w:tcPr>
            <w:tcW w:w="2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380"/>
          </w:cols>
          <w:pgMar w:left="280" w:top="738" w:right="239" w:bottom="1440" w:gutter="0" w:footer="0" w:header="0"/>
          <w:type w:val="continuous"/>
        </w:sectPr>
      </w:pPr>
    </w:p>
    <w:p>
      <w:pPr>
        <w:ind w:left="880" w:right="6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67">
        <w:r>
          <w:rPr>
            <w:rFonts w:ascii="Arial" w:cs="Arial" w:eastAsia="Arial" w:hAnsi="Arial"/>
            <w:sz w:val="18"/>
            <w:szCs w:val="18"/>
            <w:u w:val="single" w:color="auto"/>
            <w:color w:val="0000FF"/>
          </w:rPr>
          <w:t>Sublease, dated May 20, 2014, by and among Capnia, Inc. and Silicon Valley</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Finance Group.</w:t>
        </w:r>
      </w:hyperlink>
    </w:p>
    <w:p>
      <w:pPr>
        <w:spacing w:after="0" w:line="8"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68">
        <w:r>
          <w:rPr>
            <w:rFonts w:ascii="Arial" w:cs="Arial" w:eastAsia="Arial" w:hAnsi="Arial"/>
            <w:sz w:val="16"/>
            <w:szCs w:val="16"/>
            <w:u w:val="single" w:color="auto"/>
            <w:color w:val="0000FF"/>
          </w:rPr>
          <w:t>Offer Letter, dated June 24, 2014, by and between Capnia, Inc. and David D.</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O’Toole.</w:t>
        </w:r>
      </w:hyperlink>
    </w:p>
    <w:p>
      <w:pPr>
        <w:spacing w:after="0" w:line="49" w:lineRule="exact"/>
        <w:rPr>
          <w:sz w:val="20"/>
          <w:szCs w:val="20"/>
          <w:color w:val="auto"/>
        </w:rPr>
      </w:pPr>
    </w:p>
    <w:p>
      <w:pPr>
        <w:ind w:left="880" w:right="52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69">
        <w:r>
          <w:rPr>
            <w:rFonts w:ascii="Arial" w:cs="Arial" w:eastAsia="Arial" w:hAnsi="Arial"/>
            <w:sz w:val="18"/>
            <w:szCs w:val="18"/>
            <w:u w:val="single" w:color="auto"/>
            <w:color w:val="0000FF"/>
          </w:rPr>
          <w:t>Loan Agreement by and between Capnia, Inc. and the investors named</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therein, dated September 29, 2014.</w:t>
        </w:r>
      </w:hyperlink>
    </w:p>
    <w:p>
      <w:pPr>
        <w:spacing w:after="0" w:line="8"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70">
        <w:r>
          <w:rPr>
            <w:rFonts w:ascii="Arial" w:cs="Arial" w:eastAsia="Arial" w:hAnsi="Arial"/>
            <w:sz w:val="16"/>
            <w:szCs w:val="16"/>
            <w:u w:val="single" w:color="auto"/>
            <w:color w:val="0000FF"/>
          </w:rPr>
          <w:t>Revised Second Tranche Closing Notice and Letter Amendment dated August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18, 2014 relating to the August 2014 Notes.</w:t>
        </w:r>
      </w:hyperlink>
    </w:p>
    <w:p>
      <w:pPr>
        <w:spacing w:after="0" w:line="49" w:lineRule="exact"/>
        <w:rPr>
          <w:sz w:val="20"/>
          <w:szCs w:val="20"/>
          <w:color w:val="auto"/>
        </w:rPr>
      </w:pPr>
    </w:p>
    <w:p>
      <w:pPr>
        <w:ind w:left="880" w:right="320" w:hanging="877"/>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71">
        <w:r>
          <w:rPr>
            <w:rFonts w:ascii="Arial" w:cs="Arial" w:eastAsia="Arial" w:hAnsi="Arial"/>
            <w:sz w:val="17"/>
            <w:szCs w:val="17"/>
            <w:u w:val="single" w:color="auto"/>
            <w:color w:val="0000FF"/>
          </w:rPr>
          <w:t>Second Tranche Subsequent Closing Notice and Letter Amendment dated</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October 22, 2014 relating to the October 2014 Notes.</w:t>
        </w:r>
      </w:hyperlink>
    </w:p>
    <w:p>
      <w:pPr>
        <w:spacing w:after="0" w:line="1"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72">
        <w:r>
          <w:rPr>
            <w:rFonts w:ascii="Arial" w:cs="Arial" w:eastAsia="Arial" w:hAnsi="Arial"/>
            <w:sz w:val="16"/>
            <w:szCs w:val="16"/>
            <w:u w:val="single" w:color="auto"/>
            <w:color w:val="0000FF"/>
          </w:rPr>
          <w:t>Form of Warrant Exercise Agreement.</w:t>
        </w:r>
      </w:hyperlink>
    </w:p>
    <w:p>
      <w:pPr>
        <w:spacing w:after="0" w:line="63" w:lineRule="exact"/>
        <w:rPr>
          <w:sz w:val="20"/>
          <w:szCs w:val="20"/>
          <w:color w:val="auto"/>
        </w:rPr>
      </w:pPr>
    </w:p>
    <w:p>
      <w:pPr>
        <w:ind w:left="880" w:right="22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73">
        <w:r>
          <w:rPr>
            <w:rFonts w:ascii="Arial" w:cs="Arial" w:eastAsia="Arial" w:hAnsi="Arial"/>
            <w:sz w:val="18"/>
            <w:szCs w:val="18"/>
            <w:u w:val="single" w:color="auto"/>
            <w:color w:val="0000FF"/>
          </w:rPr>
          <w:t>Advisory Agreement by and between Capnia, Inc. and Maxim Group LLC,</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dated March 4, 2015.</w:t>
        </w:r>
      </w:hyperlink>
    </w:p>
    <w:p>
      <w:pPr>
        <w:spacing w:after="0" w:line="8" w:lineRule="exact"/>
        <w:rPr>
          <w:sz w:val="20"/>
          <w:szCs w:val="20"/>
          <w:color w:val="auto"/>
        </w:rPr>
      </w:pPr>
    </w:p>
    <w:p>
      <w:pPr>
        <w:ind w:left="880" w:right="140" w:hanging="877"/>
        <w:spacing w:after="0" w:line="298"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74">
        <w:r>
          <w:rPr>
            <w:rFonts w:ascii="Arial" w:cs="Arial" w:eastAsia="Arial" w:hAnsi="Arial"/>
            <w:sz w:val="17"/>
            <w:szCs w:val="17"/>
            <w:u w:val="single" w:color="auto"/>
            <w:color w:val="0000FF"/>
          </w:rPr>
          <w:t>Agreement and First Amendment to Asset Purchase Agreement between the</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Company, BDDI and affiliate of BDDI, dated June 30, 2015.</w:t>
        </w:r>
      </w:hyperlink>
    </w:p>
    <w:p>
      <w:pPr>
        <w:spacing w:after="0" w:line="1" w:lineRule="exact"/>
        <w:rPr>
          <w:sz w:val="20"/>
          <w:szCs w:val="20"/>
          <w:color w:val="auto"/>
        </w:rPr>
      </w:pPr>
    </w:p>
    <w:p>
      <w:pPr>
        <w:ind w:left="88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75">
        <w:r>
          <w:rPr>
            <w:rFonts w:ascii="Arial" w:cs="Arial" w:eastAsia="Arial" w:hAnsi="Arial"/>
            <w:sz w:val="18"/>
            <w:szCs w:val="18"/>
            <w:u w:val="single" w:color="auto"/>
            <w:color w:val="0000FF"/>
          </w:rPr>
          <w:t>Common Stock Purchase Agreement between the Company and an affiliate of</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BDDI, dated June 30, 2015.</w:t>
        </w:r>
      </w:hyperlink>
    </w:p>
    <w:p>
      <w:pPr>
        <w:spacing w:after="0" w:line="8" w:lineRule="exact"/>
        <w:rPr>
          <w:sz w:val="20"/>
          <w:szCs w:val="20"/>
          <w:color w:val="auto"/>
        </w:rPr>
      </w:pPr>
    </w:p>
    <w:p>
      <w:pPr>
        <w:ind w:left="880" w:right="34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76">
        <w:r>
          <w:rPr>
            <w:rFonts w:ascii="Arial" w:cs="Arial" w:eastAsia="Arial" w:hAnsi="Arial"/>
            <w:sz w:val="18"/>
            <w:szCs w:val="18"/>
            <w:u w:val="single" w:color="auto"/>
            <w:color w:val="0000FF"/>
          </w:rPr>
          <w:t>Registration Rights Agreement between the Company and Aspire Capital</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Fund, LLC, dated July 24, 2015.</w:t>
        </w:r>
      </w:hyperlink>
    </w:p>
    <w:p>
      <w:pPr>
        <w:spacing w:after="0" w:line="8" w:lineRule="exact"/>
        <w:rPr>
          <w:sz w:val="20"/>
          <w:szCs w:val="20"/>
          <w:color w:val="auto"/>
        </w:rPr>
      </w:pPr>
    </w:p>
    <w:p>
      <w:pPr>
        <w:ind w:left="880" w:right="48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77">
        <w:r>
          <w:rPr>
            <w:rFonts w:ascii="Arial" w:cs="Arial" w:eastAsia="Arial" w:hAnsi="Arial"/>
            <w:sz w:val="18"/>
            <w:szCs w:val="18"/>
            <w:u w:val="single" w:color="auto"/>
            <w:color w:val="0000FF"/>
          </w:rPr>
          <w:t>Common Stock Purchase Agreement between the Company and Aspire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Capital Fund, LLC, dated July 24, 2015.</w:t>
        </w:r>
      </w:hyperlink>
    </w:p>
    <w:p>
      <w:pPr>
        <w:spacing w:after="0" w:line="8" w:lineRule="exact"/>
        <w:rPr>
          <w:sz w:val="20"/>
          <w:szCs w:val="20"/>
          <w:color w:val="auto"/>
        </w:rPr>
      </w:pPr>
    </w:p>
    <w:p>
      <w:pPr>
        <w:ind w:left="880" w:right="420" w:hanging="877"/>
        <w:spacing w:after="0" w:line="27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78">
        <w:r>
          <w:rPr>
            <w:rFonts w:ascii="Arial" w:cs="Arial" w:eastAsia="Arial" w:hAnsi="Arial"/>
            <w:sz w:val="18"/>
            <w:szCs w:val="18"/>
            <w:u w:val="single" w:color="auto"/>
            <w:color w:val="0000FF"/>
          </w:rPr>
          <w:t>Engagement Letter dated September 17, 2015, between Capnia, Inc. and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Maxim Group, LLC.</w:t>
        </w:r>
      </w:hyperlink>
    </w:p>
    <w:p>
      <w:pPr>
        <w:spacing w:after="0" w:line="8" w:lineRule="exact"/>
        <w:rPr>
          <w:sz w:val="20"/>
          <w:szCs w:val="20"/>
          <w:color w:val="auto"/>
        </w:rPr>
      </w:pPr>
    </w:p>
    <w:p>
      <w:pPr>
        <w:spacing w:after="0"/>
        <w:tabs>
          <w:tab w:leader="none" w:pos="860" w:val="left"/>
        </w:tabs>
        <w:rPr>
          <w:rFonts w:ascii="Arial" w:cs="Arial" w:eastAsia="Arial" w:hAnsi="Arial"/>
          <w:sz w:val="15"/>
          <w:szCs w:val="15"/>
          <w:u w:val="single" w:color="auto"/>
          <w:color w:val="0000FF"/>
        </w:rPr>
      </w:pPr>
      <w:r>
        <w:rPr>
          <w:rFonts w:ascii="Arial" w:cs="Arial" w:eastAsia="Arial" w:hAnsi="Arial"/>
          <w:sz w:val="18"/>
          <w:szCs w:val="18"/>
          <w:color w:val="auto"/>
        </w:rPr>
        <w:t>10.41</w:t>
      </w:r>
      <w:r>
        <w:rPr>
          <w:sz w:val="20"/>
          <w:szCs w:val="20"/>
          <w:color w:val="auto"/>
        </w:rPr>
        <w:tab/>
      </w:r>
      <w:hyperlink r:id="rId79">
        <w:r>
          <w:rPr>
            <w:rFonts w:ascii="Arial" w:cs="Arial" w:eastAsia="Arial" w:hAnsi="Arial"/>
            <w:sz w:val="15"/>
            <w:szCs w:val="15"/>
            <w:u w:val="single" w:color="auto"/>
            <w:color w:val="0000FF"/>
          </w:rPr>
          <w:t>Securities Purchase Agreement dated October 12, 2015.</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1,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486"/>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1"/>
              </w:rPr>
              <w:t>July 22,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486"/>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September 29,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486"/>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November 4,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486"/>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November 4,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2"/>
              </w:rPr>
              <w:t>March 5,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S-4</w:t>
            </w: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April 1, 2014</w:t>
            </w:r>
          </w:p>
        </w:tc>
        <w:tc>
          <w:tcPr>
            <w:tcW w:w="72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7,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July 7,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1"/>
              </w:rPr>
              <w:t>July 27, 2015</w:t>
            </w: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1"/>
              </w:rPr>
              <w:t>July 27,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October 15, 2015</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October 15, 2015</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ectPr>
          <w:pgSz w:w="11900" w:h="16838" w:orient="portrait"/>
          <w:cols w:equalWidth="0" w:num="2">
            <w:col w:w="6500" w:space="340"/>
            <w:col w:w="4540"/>
          </w:cols>
          <w:pgMar w:left="280" w:top="738" w:right="239" w:bottom="1440" w:gutter="0" w:footer="0" w:header="0"/>
          <w:type w:val="continuous"/>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80" w:top="738" w:right="239" w:bottom="1440" w:gutter="0" w:footer="0" w:header="0"/>
          <w:type w:val="continuous"/>
        </w:sectPr>
      </w:pPr>
    </w:p>
    <w:bookmarkStart w:id="71" w:name="page72"/>
    <w:bookmarkEnd w:id="71"/>
    <w:tbl>
      <w:tblPr>
        <w:tblLayout w:type="fixed"/>
        <w:tblInd w:w="5"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Incorporated by Reference from</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Registrant’s</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Date Filed</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760" w:type="dxa"/>
            <w:vAlign w:val="bottom"/>
            <w:gridSpan w:val="23"/>
          </w:tcPr>
          <w:p>
            <w:pPr>
              <w:ind w:left="1140"/>
              <w:spacing w:after="0" w:line="129" w:lineRule="exact"/>
              <w:rPr>
                <w:sz w:val="20"/>
                <w:szCs w:val="20"/>
                <w:color w:val="auto"/>
              </w:rPr>
            </w:pPr>
            <w:r>
              <w:rPr>
                <w:rFonts w:ascii="Arial" w:cs="Arial" w:eastAsia="Arial" w:hAnsi="Arial"/>
                <w:sz w:val="14"/>
                <w:szCs w:val="14"/>
                <w:b w:val="1"/>
                <w:bCs w:val="1"/>
                <w:color w:val="auto"/>
              </w:rPr>
              <w:t>Description of Document</w:t>
            </w:r>
          </w:p>
        </w:tc>
        <w:tc>
          <w:tcPr>
            <w:tcW w:w="11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rPr>
              <w:t>Form</w:t>
            </w:r>
          </w:p>
        </w:tc>
        <w:tc>
          <w:tcPr>
            <w:tcW w:w="14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with the SEC</w:t>
            </w:r>
          </w:p>
        </w:tc>
        <w:tc>
          <w:tcPr>
            <w:tcW w:w="11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Number</w:t>
            </w:r>
          </w:p>
        </w:tc>
        <w:tc>
          <w:tcPr>
            <w:tcW w:w="102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rPr>
                <w:sz w:val="20"/>
                <w:szCs w:val="20"/>
                <w:color w:val="auto"/>
              </w:rPr>
            </w:pPr>
            <w:r>
              <w:rPr>
                <w:rFonts w:ascii="Arial" w:cs="Arial" w:eastAsia="Arial" w:hAnsi="Arial"/>
                <w:sz w:val="18"/>
                <w:szCs w:val="18"/>
                <w:color w:val="auto"/>
                <w:w w:val="97"/>
              </w:rPr>
              <w:t>10.42</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25"/>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Form of Registration Rights Agreement.</w:t>
              </w:r>
            </w:hyperlink>
          </w:p>
        </w:tc>
        <w:tc>
          <w:tcPr>
            <w:tcW w:w="1180" w:type="dxa"/>
            <w:vAlign w:val="bottom"/>
            <w:gridSpan w:val="2"/>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10.43</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Form of Lock-Up Agreement.</w:t>
              </w:r>
            </w:hyperlink>
          </w:p>
        </w:tc>
        <w:tc>
          <w:tcPr>
            <w:tcW w:w="740" w:type="dxa"/>
            <w:vAlign w:val="bottom"/>
            <w:tcBorders>
              <w:top w:val="single" w:sz="8" w:color="0000FF"/>
            </w:tcBorders>
            <w:gridSpan w:val="3"/>
          </w:tcPr>
          <w:p>
            <w:pPr>
              <w:spacing w:after="0"/>
              <w:rPr>
                <w:sz w:val="21"/>
                <w:szCs w:val="21"/>
                <w:color w:val="auto"/>
              </w:rPr>
            </w:pPr>
          </w:p>
        </w:tc>
        <w:tc>
          <w:tcPr>
            <w:tcW w:w="2780" w:type="dxa"/>
            <w:vAlign w:val="bottom"/>
            <w:gridSpan w:val="18"/>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15, 2015</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10.44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25"/>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Amendment No. 1 to Securities Purchase Agreement dated October 29, 2015.</w:t>
              </w:r>
            </w:hyperlink>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22,</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10.45</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bottom w:val="single" w:sz="8" w:color="0000FF"/>
            </w:tcBorders>
            <w:gridSpan w:val="21"/>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Transfer and Distribution Agreement: United States: by and between Capnia,</w:t>
              </w:r>
            </w:hyperlink>
          </w:p>
        </w:tc>
        <w:tc>
          <w:tcPr>
            <w:tcW w:w="120" w:type="dxa"/>
            <w:vAlign w:val="bottom"/>
            <w:gridSpan w:val="4"/>
          </w:tcPr>
          <w:p>
            <w:pPr>
              <w:spacing w:after="0"/>
              <w:rPr>
                <w:sz w:val="19"/>
                <w:szCs w:val="19"/>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January 28,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25"/>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Inc. and Bemes, Inc. signed January 26, 2016.</w:t>
              </w:r>
            </w:hyperlink>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10.46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25"/>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Engagement Letter dated June 26, 2016, between Capnia, Inc. and Maxim</w:t>
              </w:r>
            </w:hyperlink>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Group, LLC.</w:t>
              </w:r>
            </w:hyperlink>
          </w:p>
        </w:tc>
        <w:tc>
          <w:tcPr>
            <w:tcW w:w="360" w:type="dxa"/>
            <w:vAlign w:val="bottom"/>
            <w:gridSpan w:val="8"/>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10.47</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25"/>
          </w:tcPr>
          <w:p>
            <w:pPr>
              <w:spacing w:after="0"/>
              <w:rPr>
                <w:rFonts w:ascii="Arial" w:cs="Arial" w:eastAsia="Arial" w:hAnsi="Arial"/>
                <w:sz w:val="18"/>
                <w:szCs w:val="18"/>
                <w:color w:val="0000FF"/>
              </w:rPr>
            </w:pPr>
            <w:hyperlink r:id="rId85">
              <w:r>
                <w:rPr>
                  <w:rFonts w:ascii="Arial" w:cs="Arial" w:eastAsia="Arial" w:hAnsi="Arial"/>
                  <w:sz w:val="18"/>
                  <w:szCs w:val="18"/>
                  <w:color w:val="0000FF"/>
                </w:rPr>
                <w:t>Securities Purchase Agreement dated June 29, 2016.</w:t>
              </w:r>
            </w:hyperlink>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10.48</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25"/>
          </w:tcPr>
          <w:p>
            <w:pPr>
              <w:spacing w:after="0"/>
              <w:rPr>
                <w:rFonts w:ascii="Arial" w:cs="Arial" w:eastAsia="Arial" w:hAnsi="Arial"/>
                <w:sz w:val="18"/>
                <w:szCs w:val="18"/>
                <w:color w:val="0000FF"/>
              </w:rPr>
            </w:pPr>
            <w:hyperlink r:id="rId86">
              <w:r>
                <w:rPr>
                  <w:rFonts w:ascii="Arial" w:cs="Arial" w:eastAsia="Arial" w:hAnsi="Arial"/>
                  <w:sz w:val="18"/>
                  <w:szCs w:val="18"/>
                  <w:color w:val="0000FF"/>
                </w:rPr>
                <w:t>Form of Registration Rights Agreement dated June 29, 2016.</w:t>
              </w:r>
            </w:hyperlink>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6, 2016</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10.49</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tcBorders>
              <w:bottom w:val="single" w:sz="8" w:color="0000FF"/>
            </w:tcBorders>
            <w:gridSpan w:val="17"/>
          </w:tcPr>
          <w:p>
            <w:pPr>
              <w:spacing w:after="0"/>
              <w:rPr>
                <w:rFonts w:ascii="Arial" w:cs="Arial" w:eastAsia="Arial" w:hAnsi="Arial"/>
                <w:sz w:val="18"/>
                <w:szCs w:val="18"/>
                <w:color w:val="0000FF"/>
                <w:w w:val="89"/>
              </w:rPr>
            </w:pPr>
            <w:hyperlink r:id="rId87">
              <w:r>
                <w:rPr>
                  <w:rFonts w:ascii="Arial" w:cs="Arial" w:eastAsia="Arial" w:hAnsi="Arial"/>
                  <w:sz w:val="18"/>
                  <w:szCs w:val="18"/>
                  <w:color w:val="0000FF"/>
                  <w:w w:val="89"/>
                </w:rPr>
                <w:t>Amendment No. 1 to Securities Purchase Agreement dated September 20,</w:t>
              </w:r>
            </w:hyperlink>
          </w:p>
        </w:tc>
        <w:tc>
          <w:tcPr>
            <w:tcW w:w="360" w:type="dxa"/>
            <w:vAlign w:val="bottom"/>
            <w:gridSpan w:val="8"/>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S-1/A</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20,</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87">
              <w:r>
                <w:rPr>
                  <w:rFonts w:ascii="Arial" w:cs="Arial" w:eastAsia="Arial" w:hAnsi="Arial"/>
                  <w:sz w:val="18"/>
                  <w:szCs w:val="18"/>
                  <w:color w:val="0000FF"/>
                  <w:w w:val="88"/>
                </w:rPr>
                <w:t>2016.</w:t>
              </w:r>
            </w:hyperlink>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10.50</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20" w:type="dxa"/>
            <w:vAlign w:val="bottom"/>
            <w:tcBorders>
              <w:bottom w:val="single" w:sz="8" w:color="0000FF"/>
            </w:tcBorders>
            <w:gridSpan w:val="23"/>
          </w:tcPr>
          <w:p>
            <w:pPr>
              <w:spacing w:after="0"/>
              <w:rPr>
                <w:rFonts w:ascii="Arial" w:cs="Arial" w:eastAsia="Arial" w:hAnsi="Arial"/>
                <w:sz w:val="18"/>
                <w:szCs w:val="18"/>
                <w:color w:val="0000FF"/>
                <w:w w:val="89"/>
              </w:rPr>
            </w:pPr>
            <w:hyperlink r:id="rId88">
              <w:r>
                <w:rPr>
                  <w:rFonts w:ascii="Arial" w:cs="Arial" w:eastAsia="Arial" w:hAnsi="Arial"/>
                  <w:sz w:val="18"/>
                  <w:szCs w:val="18"/>
                  <w:color w:val="0000FF"/>
                  <w:w w:val="89"/>
                </w:rPr>
                <w:t>Agreement and Plan of Merger and Reorganization, dated as of December 22,</w:t>
              </w:r>
            </w:hyperlink>
          </w:p>
        </w:tc>
        <w:tc>
          <w:tcPr>
            <w:tcW w:w="80" w:type="dxa"/>
            <w:vAlign w:val="bottom"/>
            <w:gridSpan w:val="2"/>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27,</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2016, by and among Capnia, Inc., a Delaware corporation, Essentialis, Inc., a</w:t>
              </w:r>
            </w:hyperlink>
          </w:p>
        </w:tc>
        <w:tc>
          <w:tcPr>
            <w:tcW w:w="12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Delaware corporation, Company E Merger Sub, Inc., a Delaware corporation</w:t>
              </w:r>
            </w:hyperlink>
          </w:p>
        </w:tc>
        <w:tc>
          <w:tcPr>
            <w:tcW w:w="14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and a wholly-owned subsidiary of Capnia, and Neil Cowen as the</w:t>
              </w:r>
            </w:hyperlink>
          </w:p>
        </w:tc>
        <w:tc>
          <w:tcPr>
            <w:tcW w:w="960" w:type="dxa"/>
            <w:vAlign w:val="bottom"/>
            <w:gridSpan w:val="12"/>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stockholders’ representative.</w:t>
              </w:r>
            </w:hyperlink>
          </w:p>
        </w:tc>
        <w:tc>
          <w:tcPr>
            <w:tcW w:w="3620" w:type="dxa"/>
            <w:vAlign w:val="bottom"/>
            <w:gridSpan w:val="22"/>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10.51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00" w:type="dxa"/>
            <w:vAlign w:val="bottom"/>
            <w:tcBorders>
              <w:bottom w:val="single" w:sz="8" w:color="0000FF"/>
            </w:tcBorders>
            <w:gridSpan w:val="16"/>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Registration Rights Agreement between the Company and Aspire Capital</w:t>
              </w:r>
            </w:hyperlink>
          </w:p>
        </w:tc>
        <w:tc>
          <w:tcPr>
            <w:tcW w:w="400" w:type="dxa"/>
            <w:vAlign w:val="bottom"/>
            <w:gridSpan w:val="9"/>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February 1, 2017</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Fund, LLC, dated January 27, 2017.</w:t>
              </w:r>
            </w:hyperlink>
          </w:p>
        </w:tc>
        <w:tc>
          <w:tcPr>
            <w:tcW w:w="3080" w:type="dxa"/>
            <w:vAlign w:val="bottom"/>
            <w:gridSpan w:val="19"/>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10.52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tcBorders>
              <w:bottom w:val="single" w:sz="8" w:color="0000FF"/>
            </w:tcBorders>
            <w:gridSpan w:val="15"/>
          </w:tcPr>
          <w:p>
            <w:pPr>
              <w:spacing w:after="0"/>
              <w:rPr>
                <w:rFonts w:ascii="Arial" w:cs="Arial" w:eastAsia="Arial" w:hAnsi="Arial"/>
                <w:sz w:val="18"/>
                <w:szCs w:val="18"/>
                <w:color w:val="0000FF"/>
                <w:w w:val="89"/>
              </w:rPr>
            </w:pPr>
            <w:hyperlink r:id="rId90">
              <w:r>
                <w:rPr>
                  <w:rFonts w:ascii="Arial" w:cs="Arial" w:eastAsia="Arial" w:hAnsi="Arial"/>
                  <w:sz w:val="18"/>
                  <w:szCs w:val="18"/>
                  <w:color w:val="0000FF"/>
                  <w:w w:val="89"/>
                </w:rPr>
                <w:t>Common Stock Purchase Agreement between the Company and Aspire</w:t>
              </w:r>
            </w:hyperlink>
          </w:p>
        </w:tc>
        <w:tc>
          <w:tcPr>
            <w:tcW w:w="540" w:type="dxa"/>
            <w:vAlign w:val="bottom"/>
            <w:gridSpan w:val="10"/>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S-1</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February 1, 2017</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10.52</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Capital Fund, LLC, dated January 27, 2017.</w:t>
              </w:r>
            </w:hyperlink>
          </w:p>
        </w:tc>
        <w:tc>
          <w:tcPr>
            <w:tcW w:w="252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w w:val="97"/>
              </w:rPr>
              <w:t>10.53</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24"/>
          </w:tcPr>
          <w:p>
            <w:pPr>
              <w:spacing w:after="0"/>
              <w:rPr>
                <w:rFonts w:ascii="Arial" w:cs="Arial" w:eastAsia="Arial" w:hAnsi="Arial"/>
                <w:sz w:val="18"/>
                <w:szCs w:val="18"/>
                <w:color w:val="0000FF"/>
                <w:w w:val="88"/>
              </w:rPr>
            </w:pPr>
            <w:hyperlink r:id="rId91">
              <w:r>
                <w:rPr>
                  <w:rFonts w:ascii="Arial" w:cs="Arial" w:eastAsia="Arial" w:hAnsi="Arial"/>
                  <w:sz w:val="18"/>
                  <w:szCs w:val="18"/>
                  <w:color w:val="0000FF"/>
                  <w:w w:val="88"/>
                </w:rPr>
                <w:t>Stock Purchase Agreement made by and between the Company and NeoForce</w:t>
              </w:r>
            </w:hyperlink>
          </w:p>
        </w:tc>
        <w:tc>
          <w:tcPr>
            <w:tcW w:w="60" w:type="dxa"/>
            <w:vAlign w:val="bottom"/>
          </w:tcPr>
          <w:p>
            <w:pPr>
              <w:spacing w:after="0"/>
              <w:rPr>
                <w:sz w:val="21"/>
                <w:szCs w:val="21"/>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July 24, 2017</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25"/>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Holdings, Inc. a Delaware corporation dated July 18, 2017</w:t>
              </w:r>
            </w:hyperlink>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tcBorders>
              <w:bottom w:val="single" w:sz="8" w:color="0000FF"/>
            </w:tcBorders>
            <w:gridSpan w:val="19"/>
          </w:tcPr>
          <w:p>
            <w:pPr>
              <w:spacing w:after="0"/>
              <w:rPr>
                <w:rFonts w:ascii="Arial" w:cs="Arial" w:eastAsia="Arial" w:hAnsi="Arial"/>
                <w:sz w:val="18"/>
                <w:szCs w:val="18"/>
                <w:color w:val="0000FF"/>
                <w:w w:val="92"/>
              </w:rPr>
            </w:pPr>
            <w:hyperlink w:anchor="page74">
              <w:r>
                <w:rPr>
                  <w:rFonts w:ascii="Arial" w:cs="Arial" w:eastAsia="Arial" w:hAnsi="Arial"/>
                  <w:sz w:val="18"/>
                  <w:szCs w:val="18"/>
                  <w:color w:val="0000FF"/>
                  <w:w w:val="92"/>
                </w:rPr>
                <w:t>Certification of Principal Financial Officer Required Under Rule 13a-14(a)</w:t>
              </w:r>
            </w:hyperlink>
          </w:p>
        </w:tc>
        <w:tc>
          <w:tcPr>
            <w:tcW w:w="28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and 15d-14(a) of the Securities Exchange Act of 1934, as amended.</w:t>
              </w:r>
            </w:hyperlink>
          </w:p>
        </w:tc>
        <w:tc>
          <w:tcPr>
            <w:tcW w:w="820" w:type="dxa"/>
            <w:vAlign w:val="bottom"/>
            <w:gridSpan w:val="11"/>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gridSpan w:val="25"/>
          </w:tcPr>
          <w:p>
            <w:pPr>
              <w:spacing w:after="0"/>
              <w:rPr>
                <w:rFonts w:ascii="Arial" w:cs="Arial" w:eastAsia="Arial" w:hAnsi="Arial"/>
                <w:sz w:val="18"/>
                <w:szCs w:val="18"/>
                <w:color w:val="0000FF"/>
                <w:w w:val="98"/>
              </w:rPr>
            </w:pPr>
            <w:hyperlink w:anchor="page75">
              <w:r>
                <w:rPr>
                  <w:rFonts w:ascii="Arial" w:cs="Arial" w:eastAsia="Arial" w:hAnsi="Arial"/>
                  <w:sz w:val="18"/>
                  <w:szCs w:val="18"/>
                  <w:color w:val="0000FF"/>
                  <w:w w:val="98"/>
                </w:rPr>
                <w:t>Certification of Principal Executive Officer and Principal Financial Officer</w:t>
              </w:r>
            </w:hyperlink>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10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Required Under Rule 13a-14(b) of the Securities Exchange Act of 1934, as</w:t>
              </w:r>
            </w:hyperlink>
          </w:p>
        </w:tc>
        <w:tc>
          <w:tcPr>
            <w:tcW w:w="28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25"/>
          </w:tcPr>
          <w:p>
            <w:pPr>
              <w:spacing w:after="0" w:line="196" w:lineRule="exact"/>
              <w:rPr>
                <w:rFonts w:ascii="Arial" w:cs="Arial" w:eastAsia="Arial" w:hAnsi="Arial"/>
                <w:sz w:val="18"/>
                <w:szCs w:val="18"/>
                <w:color w:val="0000FF"/>
              </w:rPr>
            </w:pPr>
            <w:hyperlink w:anchor="page75">
              <w:r>
                <w:rPr>
                  <w:rFonts w:ascii="Arial" w:cs="Arial" w:eastAsia="Arial" w:hAnsi="Arial"/>
                  <w:sz w:val="18"/>
                  <w:szCs w:val="18"/>
                  <w:color w:val="0000FF"/>
                </w:rPr>
                <w:t>amended, and 18 U.S.C. §1350.</w:t>
              </w:r>
            </w:hyperlink>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23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3400" w:type="dxa"/>
            <w:vAlign w:val="bottom"/>
            <w:gridSpan w:val="20"/>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570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570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570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570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570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885" w:right="160" w:hanging="885"/>
        <w:spacing w:after="0" w:line="259" w:lineRule="auto"/>
        <w:tabs>
          <w:tab w:leader="none" w:pos="8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Capnia,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5"/>
          </w:cols>
          <w:pgMar w:left="275" w:top="738" w:right="239" w:bottom="1440" w:gutter="0" w:footer="0" w:header="0"/>
        </w:sectPr>
      </w:pPr>
    </w:p>
    <w:bookmarkStart w:id="72" w:name="page73"/>
    <w:bookmarkEnd w:id="7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tabs>
          <w:tab w:leader="none" w:pos="600" w:val="left"/>
          <w:tab w:leader="none" w:pos="6420" w:val="left"/>
        </w:tabs>
        <w:rPr>
          <w:sz w:val="20"/>
          <w:szCs w:val="20"/>
          <w:color w:val="auto"/>
        </w:rPr>
      </w:pPr>
      <w:r>
        <w:rPr>
          <w:rFonts w:ascii="Arial" w:cs="Arial" w:eastAsia="Arial" w:hAnsi="Arial"/>
          <w:sz w:val="18"/>
          <w:szCs w:val="18"/>
          <w:color w:val="auto"/>
        </w:rPr>
        <w:t>Date:</w:t>
        <w:tab/>
        <w:t>November 14, 2017</w:t>
      </w:r>
      <w:r>
        <w:rPr>
          <w:sz w:val="20"/>
          <w:szCs w:val="20"/>
          <w:color w:val="auto"/>
        </w:rPr>
        <w:tab/>
      </w:r>
      <w:r>
        <w:rPr>
          <w:rFonts w:ascii="Arial" w:cs="Arial" w:eastAsia="Arial" w:hAnsi="Arial"/>
          <w:sz w:val="18"/>
          <w:szCs w:val="18"/>
          <w:b w:val="1"/>
          <w:bCs w:val="1"/>
          <w:color w:val="auto"/>
        </w:rPr>
        <w:t>SOLENO THERAPEUTICS, INC.</w:t>
      </w:r>
    </w:p>
    <w:p>
      <w:pPr>
        <w:spacing w:after="0" w:line="391"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Anish Bhatnagar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(chief executive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20"/>
          </w:cols>
          <w:pgMar w:left="240" w:top="1013" w:right="9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40" w:hanging="4"/>
        <w:spacing w:after="0" w:line="342" w:lineRule="auto"/>
        <w:tabs>
          <w:tab w:leader="none" w:pos="9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80" w:hanging="4"/>
        <w:spacing w:after="0" w:line="264" w:lineRule="auto"/>
        <w:tabs>
          <w:tab w:leader="none" w:pos="9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80" w:hanging="4"/>
        <w:spacing w:after="0" w:line="277" w:lineRule="auto"/>
        <w:tabs>
          <w:tab w:leader="none" w:pos="9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Anish Bhatnagar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principal financial and accounting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In connection with the Quarterly Report of Soleno Therapetics, Inc. (formerly known as Capnia, Inc.) (the “Company”) on Form 10-Q for the fiscal quarter ended September 30, 2017,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1" w:lineRule="exact"/>
        <w:rPr>
          <w:sz w:val="20"/>
          <w:szCs w:val="20"/>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1960" w:right="540" w:hanging="655"/>
        <w:spacing w:after="0" w:line="277" w:lineRule="auto"/>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Anish Bhatnagar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lvl w:ilvl="1">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92" Type="http://schemas.openxmlformats.org/officeDocument/2006/relationships/image" Target="media/image11.png"/><Relationship Id="rId93" Type="http://schemas.openxmlformats.org/officeDocument/2006/relationships/image" Target="media/image12.png"/><Relationship Id="rId94" Type="http://schemas.openxmlformats.org/officeDocument/2006/relationships/image" Target="media/image13.png"/><Relationship Id="rId18" Type="http://schemas.openxmlformats.org/officeDocument/2006/relationships/hyperlink" Target="http://www.sec.gov/Archives/edgar/data/1484565/000119312514300848/d711637dex32.htm" TargetMode="External"/><Relationship Id="rId19" Type="http://schemas.openxmlformats.org/officeDocument/2006/relationships/hyperlink" Target="http://www.sec.gov/Archives/edgar/data/1484565/000119312514256995/d711637dex34.htm" TargetMode="External"/><Relationship Id="rId20" Type="http://schemas.openxmlformats.org/officeDocument/2006/relationships/hyperlink" Target="http://www.sec.gov/Archives/edgar/data/1484565/000119312515344002/d67111dex31.htm" TargetMode="External"/><Relationship Id="rId21" Type="http://schemas.openxmlformats.org/officeDocument/2006/relationships/hyperlink" Target="http://www.sec.gov/Archives/edgar/data/1484565/000119312514293949/d711637dex41.htm" TargetMode="External"/><Relationship Id="rId22" Type="http://schemas.openxmlformats.org/officeDocument/2006/relationships/hyperlink" Target="http://www.sec.gov/Archives/edgar/data/1484565/000119312514256995/d711637dex42.htm" TargetMode="External"/><Relationship Id="rId23" Type="http://schemas.openxmlformats.org/officeDocument/2006/relationships/hyperlink" Target="http://www.sec.gov/Archives/edgar/data/1484565/000119312514293949/d711637dex43.htm" TargetMode="External"/><Relationship Id="rId24" Type="http://schemas.openxmlformats.org/officeDocument/2006/relationships/hyperlink" Target="http://www.sec.gov/Archives/edgar/data/1484565/000119312514293949/d711637dex44.htm" TargetMode="External"/><Relationship Id="rId25" Type="http://schemas.openxmlformats.org/officeDocument/2006/relationships/hyperlink" Target="http://www.sec.gov/Archives/edgar/data/1484565/000119312514293949/d711637dex45.htm" TargetMode="External"/><Relationship Id="rId26" Type="http://schemas.openxmlformats.org/officeDocument/2006/relationships/hyperlink" Target="http://www.sec.gov/Archives/edgar/data/1484565/000119312514231812/d711637dex46.htm" TargetMode="External"/><Relationship Id="rId27" Type="http://schemas.openxmlformats.org/officeDocument/2006/relationships/hyperlink" Target="http://www.sec.gov/Archives/edgar/data/1484565/000119312514231812/d711637dex47.htm" TargetMode="External"/><Relationship Id="rId28" Type="http://schemas.openxmlformats.org/officeDocument/2006/relationships/hyperlink" Target="http://www.sec.gov/Archives/edgar/data/1484565/000119312514231812/d711637dex48.htm" TargetMode="External"/><Relationship Id="rId29" Type="http://schemas.openxmlformats.org/officeDocument/2006/relationships/hyperlink" Target="http://www.sec.gov/Archives/edgar/data/1484565/000119312514231812/d711637dex49.htm" TargetMode="External"/><Relationship Id="rId30" Type="http://schemas.openxmlformats.org/officeDocument/2006/relationships/hyperlink" Target="http://www.sec.gov/Archives/edgar/data/1484565/000119312514231812/d711637dex410.htm" TargetMode="External"/><Relationship Id="rId31" Type="http://schemas.openxmlformats.org/officeDocument/2006/relationships/hyperlink" Target="http://www.sec.gov/Archives/edgar/data/1484565/000119312514231812/d711637dex411.htm" TargetMode="External"/><Relationship Id="rId32" Type="http://schemas.openxmlformats.org/officeDocument/2006/relationships/hyperlink" Target="http://www.sec.gov/Archives/edgar/data/1484565/000119312514231812/d711637dex412.htm" TargetMode="External"/><Relationship Id="rId33" Type="http://schemas.openxmlformats.org/officeDocument/2006/relationships/hyperlink" Target="http://www.sec.gov/Archives/edgar/data/1484565/000119312514231812/d711637dex413.htm" TargetMode="External"/><Relationship Id="rId34" Type="http://schemas.openxmlformats.org/officeDocument/2006/relationships/hyperlink" Target="http://www.sec.gov/Archives/edgar/data/1484565/000119312514231812/d711637dex414.htm" TargetMode="External"/><Relationship Id="rId35" Type="http://schemas.openxmlformats.org/officeDocument/2006/relationships/hyperlink" Target="http://www.sec.gov/Archives/edgar/data/1484565/000119312514231812/d711637dex415.htm" TargetMode="External"/><Relationship Id="rId36" Type="http://schemas.openxmlformats.org/officeDocument/2006/relationships/hyperlink" Target="http://www.sec.gov/Archives/edgar/data/1484565/000119312514293949/d711637dex416.htm" TargetMode="External"/><Relationship Id="rId37" Type="http://schemas.openxmlformats.org/officeDocument/2006/relationships/hyperlink" Target="http://www.sec.gov/Archives/edgar/data/1484565/000119312514396517/d711637dex417.htm" TargetMode="External"/><Relationship Id="rId38" Type="http://schemas.openxmlformats.org/officeDocument/2006/relationships/hyperlink" Target="http://www.sec.gov/Archives/edgar/data/1484565/000119312514396517/d711637dex418.htm" TargetMode="External"/><Relationship Id="rId39" Type="http://schemas.openxmlformats.org/officeDocument/2006/relationships/hyperlink" Target="http://www.sec.gov/Archives/edgar/data/1484565/000119312515114723/d893037dex419.htm" TargetMode="External"/><Relationship Id="rId40" Type="http://schemas.openxmlformats.org/officeDocument/2006/relationships/hyperlink" Target="http://www.sec.gov/Archives/edgar/data/1484565/000119312515114723/d893037dex420.htm" TargetMode="External"/><Relationship Id="rId41" Type="http://schemas.openxmlformats.org/officeDocument/2006/relationships/hyperlink" Target="http://www.sec.gov/Archives/edgar/data/1484565/000119312515344002/d67111dex41.htm" TargetMode="External"/><Relationship Id="rId42" Type="http://schemas.openxmlformats.org/officeDocument/2006/relationships/hyperlink" Target="http://www.sec.gov/Archives/edgar/data/1484565/000119312515344002/d67111dex42.htm" TargetMode="External"/><Relationship Id="rId43" Type="http://schemas.openxmlformats.org/officeDocument/2006/relationships/hyperlink" Target="http://www.sec.gov/Archives/edgar/data/1484565/000119312515344002/d67111dex43.htm" TargetMode="External"/><Relationship Id="rId44" Type="http://schemas.openxmlformats.org/officeDocument/2006/relationships/hyperlink" Target="http://www.sec.gov/Archives/edgar/data/1484565/000119312515344002/d67111dex44.htm" TargetMode="External"/><Relationship Id="rId45" Type="http://schemas.openxmlformats.org/officeDocument/2006/relationships/hyperlink" Target="http://www.sec.gov/Archives/edgar/data/1484565/000119312516642505/d221558dex41.htm" TargetMode="External"/><Relationship Id="rId46" Type="http://schemas.openxmlformats.org/officeDocument/2006/relationships/hyperlink" Target="http://www.sec.gov/Archives/edgar/data/1484565/000119312516642505/d221558dex42.htm" TargetMode="External"/><Relationship Id="rId47" Type="http://schemas.openxmlformats.org/officeDocument/2006/relationships/hyperlink" Target="http://www.sec.gov/Archives/edgar/data/1484565/000119312515344002/d67111dex91.htm" TargetMode="External"/><Relationship Id="rId48" Type="http://schemas.openxmlformats.org/officeDocument/2006/relationships/hyperlink" Target="http://www.sec.gov/Archives/edgar/data/1484565/000119312516642505/d221558dex91.htm" TargetMode="External"/><Relationship Id="rId49" Type="http://schemas.openxmlformats.org/officeDocument/2006/relationships/hyperlink" Target="http://www.sec.gov/Archives/edgar/data/1484565/000119312514231812/d711637dex101.htm" TargetMode="External"/><Relationship Id="rId50" Type="http://schemas.openxmlformats.org/officeDocument/2006/relationships/hyperlink" Target="http://www.sec.gov/Archives/edgar/data/1484565/000119312514231812/d711637dex102.htm" TargetMode="External"/><Relationship Id="rId51" Type="http://schemas.openxmlformats.org/officeDocument/2006/relationships/hyperlink" Target="http://www.sec.gov/Archives/edgar/data/1484565/000119312514231812/d711637dex103.htm" TargetMode="External"/><Relationship Id="rId52" Type="http://schemas.openxmlformats.org/officeDocument/2006/relationships/hyperlink" Target="http://www.sec.gov/Archives/edgar/data/1484565/000119312514256995/d711637dex104.htm" TargetMode="External"/><Relationship Id="rId53" Type="http://schemas.openxmlformats.org/officeDocument/2006/relationships/hyperlink" Target="http://www.sec.gov/Archives/edgar/data/1484565/000119312514256995/d711637dex105.htm" TargetMode="External"/><Relationship Id="rId54" Type="http://schemas.openxmlformats.org/officeDocument/2006/relationships/hyperlink" Target="http://www.sec.gov/Archives/edgar/data/1484565/000119312514231812/d711637dex106.htm" TargetMode="External"/><Relationship Id="rId55" Type="http://schemas.openxmlformats.org/officeDocument/2006/relationships/hyperlink" Target="http://www.sec.gov/Archives/edgar/data/1484565/000119312514231812/d711637dex107.htm" TargetMode="External"/><Relationship Id="rId56" Type="http://schemas.openxmlformats.org/officeDocument/2006/relationships/hyperlink" Target="http://www.sec.gov/Archives/edgar/data/1484565/000119312514231812/d711637dex108.htm" TargetMode="External"/><Relationship Id="rId57" Type="http://schemas.openxmlformats.org/officeDocument/2006/relationships/hyperlink" Target="http://www.sec.gov/Archives/edgar/data/1484565/000119312514231812/d711637dex109.htm" TargetMode="External"/><Relationship Id="rId58" Type="http://schemas.openxmlformats.org/officeDocument/2006/relationships/hyperlink" Target="http://www.sec.gov/Archives/edgar/data/1484565/000119312514231812/d711637dex1010.htm" TargetMode="External"/><Relationship Id="rId59" Type="http://schemas.openxmlformats.org/officeDocument/2006/relationships/hyperlink" Target="http://www.sec.gov/Archives/edgar/data/1484565/000119312514231812/d711637dex1011.htm" TargetMode="External"/><Relationship Id="rId60" Type="http://schemas.openxmlformats.org/officeDocument/2006/relationships/hyperlink" Target="http://www.sec.gov/Archives/edgar/data/1484565/000119312514231812/d711637dex1012.htm" TargetMode="External"/><Relationship Id="rId61" Type="http://schemas.openxmlformats.org/officeDocument/2006/relationships/hyperlink" Target="http://www.sec.gov/Archives/edgar/data/1484565/000119312514231812/d711637dex1013.htm" TargetMode="External"/><Relationship Id="rId62" Type="http://schemas.openxmlformats.org/officeDocument/2006/relationships/hyperlink" Target="http://www.sec.gov/Archives/edgar/data/1484565/000119312514231812/d711637dex1014.htm" TargetMode="External"/><Relationship Id="rId63" Type="http://schemas.openxmlformats.org/officeDocument/2006/relationships/hyperlink" Target="http://www.sec.gov/Archives/edgar/data/1484565/000119312514231812/d711637dex1015.htm" TargetMode="External"/><Relationship Id="rId64" Type="http://schemas.openxmlformats.org/officeDocument/2006/relationships/hyperlink" Target="http://www.sec.gov/Archives/edgar/data/1484565/000119312514231812/d711637dex1016.htm" TargetMode="External"/><Relationship Id="rId65" Type="http://schemas.openxmlformats.org/officeDocument/2006/relationships/hyperlink" Target="http://www.sec.gov/Archives/edgar/data/1484565/000119312514231812/d711637dex1017.htm" TargetMode="External"/><Relationship Id="rId66" Type="http://schemas.openxmlformats.org/officeDocument/2006/relationships/hyperlink" Target="http://www.sec.gov/Archives/edgar/data/1484565/000119312514231812/d711637dex1018.htm" TargetMode="External"/><Relationship Id="rId67" Type="http://schemas.openxmlformats.org/officeDocument/2006/relationships/hyperlink" Target="http://www.sec.gov/Archives/edgar/data/1484565/000119312514256995/d711637dex1019.htm" TargetMode="External"/><Relationship Id="rId68" Type="http://schemas.openxmlformats.org/officeDocument/2006/relationships/hyperlink" Target="http://www.sec.gov/Archives/edgar/data/1484565/000119312514274666/d711637dex1020.htm" TargetMode="External"/><Relationship Id="rId69" Type="http://schemas.openxmlformats.org/officeDocument/2006/relationships/hyperlink" Target="http://www.sec.gov/Archives/edgar/data/1484565/000119312514357384/d711637dex1021.htm" TargetMode="External"/><Relationship Id="rId70" Type="http://schemas.openxmlformats.org/officeDocument/2006/relationships/hyperlink" Target="http://www.sec.gov/Archives/edgar/data/1484565/000119312514396517/d711637dex1022.htm" TargetMode="External"/><Relationship Id="rId71" Type="http://schemas.openxmlformats.org/officeDocument/2006/relationships/hyperlink" Target="http://www.sec.gov/Archives/edgar/data/1484565/000119312514396517/d711637dex1023.htm" TargetMode="External"/><Relationship Id="rId72" Type="http://schemas.openxmlformats.org/officeDocument/2006/relationships/hyperlink" Target="http://www.sec.gov/Archives/edgar/data/1484565/000119312515078868/d886135dex101.htm" TargetMode="External"/><Relationship Id="rId73" Type="http://schemas.openxmlformats.org/officeDocument/2006/relationships/hyperlink" Target="http://www.sec.gov/Archives/edgar/data/1484565/000119312515114723/d893037dex1025.htm" TargetMode="External"/><Relationship Id="rId74" Type="http://schemas.openxmlformats.org/officeDocument/2006/relationships/hyperlink" Target="http://www.sec.gov/Archives/edgar/data/1484565/000119312515246752/d72536dex101.htm" TargetMode="External"/><Relationship Id="rId75" Type="http://schemas.openxmlformats.org/officeDocument/2006/relationships/hyperlink" Target="http://www.sec.gov/Archives/edgar/data/1484565/000119312515246752/d72536dex102.htm" TargetMode="External"/><Relationship Id="rId76" Type="http://schemas.openxmlformats.org/officeDocument/2006/relationships/hyperlink" Target="http://www.sec.gov/Archives/edgar/data/1484565/000119312515264172/0001193125-15-264172-index.htm" TargetMode="External"/><Relationship Id="rId77" Type="http://schemas.openxmlformats.org/officeDocument/2006/relationships/hyperlink" Target="http://www.sec.gov/Archives/edgar/data/1484565/000119312515264172/d151899dex101.htm" TargetMode="External"/><Relationship Id="rId78" Type="http://schemas.openxmlformats.org/officeDocument/2006/relationships/hyperlink" Target="http://www.sec.gov/Archives/edgar/data/1484565/000119312515344002/d67111dex11.htm" TargetMode="External"/><Relationship Id="rId79" Type="http://schemas.openxmlformats.org/officeDocument/2006/relationships/hyperlink" Target="http://www.sec.gov/Archives/edgar/data/1484565/000119312515344002/d67111dex101.htm" TargetMode="External"/><Relationship Id="rId80" Type="http://schemas.openxmlformats.org/officeDocument/2006/relationships/hyperlink" Target="http://www.sec.gov/Archives/edgar/data/1484565/000119312515344002/d67111dex102.htm" TargetMode="External"/><Relationship Id="rId81" Type="http://schemas.openxmlformats.org/officeDocument/2006/relationships/hyperlink" Target="http://www.sec.gov/Archives/edgar/data/1484565/000119312515344002/d67111dex103.htm" TargetMode="External"/><Relationship Id="rId82" Type="http://schemas.openxmlformats.org/officeDocument/2006/relationships/hyperlink" Target="http://www.sec.gov/Archives/edgar/data/1484565/000119312515410913/d83264dex1033.htm" TargetMode="External"/><Relationship Id="rId83" Type="http://schemas.openxmlformats.org/officeDocument/2006/relationships/hyperlink" Target="http://www.sec.gov/Archives/edgar/data/1484565/000119312516441799/d77178dex101.htm" TargetMode="External"/><Relationship Id="rId84" Type="http://schemas.openxmlformats.org/officeDocument/2006/relationships/hyperlink" Target="http://www.sec.gov/Archives/edgar/data/1484565/000119312516642505/d221558dex11.htm" TargetMode="External"/><Relationship Id="rId85" Type="http://schemas.openxmlformats.org/officeDocument/2006/relationships/hyperlink" Target="http://www.sec.gov/Archives/edgar/data/1484565/000119312516642505/d221558dex101.htm" TargetMode="External"/><Relationship Id="rId86" Type="http://schemas.openxmlformats.org/officeDocument/2006/relationships/hyperlink" Target="http://www.sec.gov/Archives/edgar/data/1484565/000119312516642505/d221558dex102.htm" TargetMode="External"/><Relationship Id="rId87" Type="http://schemas.openxmlformats.org/officeDocument/2006/relationships/hyperlink" Target="http://www.sec.gov/Archives/edgar/data/1484565/000119312516714955/d217110dex1039.htm" TargetMode="External"/><Relationship Id="rId88" Type="http://schemas.openxmlformats.org/officeDocument/2006/relationships/hyperlink" Target="http://www.sec.gov/Archives/edgar/data/1484565/000119312516803934/d282262dex21.htm" TargetMode="External"/><Relationship Id="rId89" Type="http://schemas.openxmlformats.org/officeDocument/2006/relationships/hyperlink" Target="http://www.sec.gov/Archives/edgar/data/1484565/000119312517027623/d336318dex1051.htm" TargetMode="External"/><Relationship Id="rId90" Type="http://schemas.openxmlformats.org/officeDocument/2006/relationships/hyperlink" Target="http://www.sec.gov/Archives/edgar/data/1484565/000119312517027623/d336318dex1052.htm" TargetMode="External"/><Relationship Id="rId91" Type="http://schemas.openxmlformats.org/officeDocument/2006/relationships/hyperlink" Target="http://www.sec.gov/Archives/edgar/data/1484565/000162828017007221/eh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2019-12-29T03:09:35Z</dcterms:created>
  <dcterms:modified xsi:type="dcterms:W3CDTF">2019-12-29T03:09:35Z</dcterms:modified>
</cp:coreProperties>
</file>