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t>SCHEDULE 14D-9</w:t>
      </w:r>
    </w:p>
    <w:p>
      <w:pPr>
        <w:spacing w:after="0" w:line="40" w:lineRule="exact"/>
        <w:rPr>
          <w:sz w:val="24"/>
          <w:szCs w:val="24"/>
          <w:color w:val="auto"/>
        </w:rPr>
      </w:pPr>
    </w:p>
    <w:p>
      <w:pPr>
        <w:ind w:left="4824"/>
        <w:spacing w:after="0"/>
        <w:rPr>
          <w:sz w:val="20"/>
          <w:szCs w:val="20"/>
          <w:color w:val="auto"/>
        </w:rPr>
      </w:pPr>
      <w:r>
        <w:rPr>
          <w:rFonts w:ascii="Times New Roman" w:cs="Times New Roman" w:eastAsia="Times New Roman" w:hAnsi="Times New Roman"/>
          <w:sz w:val="22"/>
          <w:szCs w:val="22"/>
          <w:b w:val="1"/>
          <w:bCs w:val="1"/>
          <w:color w:val="auto"/>
        </w:rPr>
        <w:t>(Rule 14d-101)</w:t>
      </w:r>
    </w:p>
    <w:p>
      <w:pPr>
        <w:spacing w:after="0" w:line="178" w:lineRule="exact"/>
        <w:rPr>
          <w:sz w:val="24"/>
          <w:szCs w:val="24"/>
          <w:color w:val="auto"/>
        </w:rPr>
      </w:pPr>
    </w:p>
    <w:p>
      <w:pPr>
        <w:ind w:left="3644"/>
        <w:spacing w:after="0"/>
        <w:rPr>
          <w:sz w:val="20"/>
          <w:szCs w:val="20"/>
          <w:color w:val="auto"/>
        </w:rPr>
      </w:pPr>
      <w:r>
        <w:rPr>
          <w:rFonts w:ascii="Times New Roman" w:cs="Times New Roman" w:eastAsia="Times New Roman" w:hAnsi="Times New Roman"/>
          <w:sz w:val="22"/>
          <w:szCs w:val="22"/>
          <w:b w:val="1"/>
          <w:bCs w:val="1"/>
          <w:color w:val="auto"/>
        </w:rPr>
        <w:t>Solicitation/Recommendation Statement</w:t>
      </w:r>
    </w:p>
    <w:p>
      <w:pPr>
        <w:spacing w:after="0" w:line="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22"/>
          <w:szCs w:val="22"/>
          <w:b w:val="1"/>
          <w:bCs w:val="1"/>
          <w:color w:val="auto"/>
        </w:rPr>
        <w:t>Under Section 14(d)(4) of the Securities Exchange Act of 1934</w:t>
      </w:r>
    </w:p>
    <w:p>
      <w:pPr>
        <w:jc w:val="center"/>
        <w:ind w:right="-984"/>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43"/>
          <w:szCs w:val="43"/>
          <w:b w:val="1"/>
          <w:bCs w:val="1"/>
          <w:color w:val="auto"/>
        </w:rPr>
        <w:t>SOLENO THERAPEUTICS, INC.</w:t>
      </w:r>
    </w:p>
    <w:p>
      <w:pPr>
        <w:spacing w:after="0" w:line="5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(Name of Person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237490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5"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834203309</w:t>
      </w:r>
    </w:p>
    <w:p>
      <w:pPr>
        <w:spacing w:after="0" w:line="25"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18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Anish Bhatnagar</w:t>
      </w:r>
    </w:p>
    <w:p>
      <w:pPr>
        <w:spacing w:after="0" w:line="3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100 Marine Parkway, Suite 400</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Redwood City, CA 94065</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(650) 213-8444</w:t>
      </w:r>
    </w:p>
    <w:p>
      <w:pPr>
        <w:jc w:val="center"/>
        <w:ind w:right="-984"/>
        <w:spacing w:after="0" w:line="224" w:lineRule="auto"/>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on behalf of the persons filing statement)</w:t>
      </w:r>
    </w:p>
    <w:p>
      <w:pPr>
        <w:spacing w:after="0" w:line="188" w:lineRule="exact"/>
        <w:rPr>
          <w:sz w:val="24"/>
          <w:szCs w:val="24"/>
          <w:color w:val="auto"/>
        </w:rPr>
      </w:pPr>
    </w:p>
    <w:p>
      <w:pPr>
        <w:ind w:left="4964"/>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225"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Elton Satusky</w:t>
      </w:r>
    </w:p>
    <w:p>
      <w:pPr>
        <w:spacing w:after="0" w:line="3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Robert T. Ishii</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Douglas K. Schnell</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Catherine Riley Tzipori</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Wilson Sonsini Goodrich &amp; Rosati</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Professional Corporation</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650 Page Mill Road</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Palo Alto, CA 94304</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(650) 493-9300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228600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Check the box if the filing relates solely to preliminary communications made before the commencement of a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170180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213360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376" w:right="1440" w:bottom="1440" w:gutter="0" w:footer="0" w:header="0"/>
        </w:sectPr>
      </w:pPr>
    </w:p>
    <w:bookmarkStart w:id="1" w:name="page2"/>
    <w:bookmarkEnd w:id="1"/>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Amendment No. 1 (this “Amendment No. 1”) amends and supplements the Solicitation/Recommendation Statement on Schedule 14D-9 (as amended or supplemented from time to time, the “Schedule 14D-9”) previously filed by Soleno Therapeutics, Inc., a Delaware corporation (“Soleno”), with the U.S. Securities and Exchange Commission (the “SEC”) on April 20, 2026, relating to the Tender Offer Statement on Schedule TO filed by Sigma Merger Sub, Inc., a Delaware corporation (“Purchaser”) and a direct wholly owned subsidiary of Neurocrine Biosciences, Inc., a Delaware corporation (“Neurocrine”), and Neurocrine with the SEC on April 20, 2026 (together with any subsequent amendments and supplements thereto, the “Schedule TO”). The Schedule TO relates to the offer by Purchaser to purchase all of the outstanding shares of common stock, par value $0.001 per share (the “Shares”), of Soleno, in exchange for $53.00 per Share, payable in cash without interest and subject to reduction for any applicable withholding taxes, upon the terms and conditions set forth in the offer to purchase, dated April 20, 2026 and the related letter of transmittal, as each may be amended or supplemented from time to time. Any capitalized term used and not otherwise defined herein shall have the meaning ascribed to such term in the Schedule 14D-9.</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Additional Information.</w:t>
      </w:r>
    </w:p>
    <w:p>
      <w:pPr>
        <w:spacing w:after="0" w:line="117"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Item 8 of the Schedule 14D-9 is hereby amended and supplemented by deleting the second paragraph under the section titled “U.S. Antitrust” in its entirety and replacing it with the following:</w:t>
      </w:r>
    </w:p>
    <w:p>
      <w:pPr>
        <w:spacing w:after="0" w:line="15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“Pursuant to the Merger Agreement, on April 10, 2026, each of Neurocrine and Soleno filed a Premerger Notification and Report Form under the HSR Act with respect to the Offer and the Merger with the Antitrust Division of the United States Department of Justice and the FTC. As of 11:59 p.m. Eastern Time, on April 27, 2026, the waiting period under the HSR Act applicable to the Offer expired. Accordingly, the condition to the Offer requiring that the waiting period (or any extension thereof) under the HSR Act applicable to the purchase of Shares pursuant to the Offer shall have expired or been terminated has been satisfied. The Offer continues to be subject to the remaining conditions set forth in the Offer to Purchase.”</w:t>
      </w:r>
    </w:p>
    <w:p>
      <w:pPr>
        <w:sectPr>
          <w:pgSz w:w="11900" w:h="16838" w:orient="portrait"/>
          <w:cols w:equalWidth="0" w:num="1">
            <w:col w:w="10980"/>
          </w:cols>
          <w:pgMar w:left="440" w:top="270" w:right="479" w:bottom="1440" w:gutter="0" w:footer="0" w:header="0"/>
        </w:sectPr>
      </w:pPr>
    </w:p>
    <w:bookmarkStart w:id="2" w:name="page3"/>
    <w:bookmarkEnd w:id="2"/>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28, 2026</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OLENO</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Anish Bhatnagar</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Executive Officer</w:t>
      </w:r>
    </w:p>
    <w:sectPr>
      <w:pgSz w:w="11900" w:h="16838" w:orient="portrait"/>
      <w:cols w:equalWidth="0" w:num="1">
        <w:col w:w="10540"/>
      </w:cols>
      <w:pgMar w:left="440" w:top="266"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2026-04-28T06:31:51Z</dcterms:created>
  <dcterms:modified xsi:type="dcterms:W3CDTF">2026-04-28T06:31:51Z</dcterms:modified>
</cp:coreProperties>
</file>