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60" w:right="460" w:hanging="452"/>
        <w:spacing w:after="0" w:line="248"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60" w:right="460" w:hanging="452"/>
        <w:spacing w:after="0" w:line="254"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SOLENO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2000" w:type="dxa"/>
            <w:vAlign w:val="bottom"/>
          </w:tcPr>
          <w:p>
            <w:pPr>
              <w:jc w:val="center"/>
              <w:ind w:right="62"/>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center"/>
              <w:ind w:left="4039"/>
              <w:spacing w:after="0"/>
              <w:rPr>
                <w:sz w:val="20"/>
                <w:szCs w:val="20"/>
                <w:color w:val="auto"/>
              </w:rPr>
            </w:pPr>
            <w:r>
              <w:rPr>
                <w:rFonts w:ascii="Arial" w:cs="Arial" w:eastAsia="Arial" w:hAnsi="Arial"/>
                <w:sz w:val="18"/>
                <w:szCs w:val="18"/>
                <w:b w:val="1"/>
                <w:bCs w:val="1"/>
                <w:color w:val="auto"/>
                <w:w w:val="89"/>
              </w:rPr>
              <w:t>77-0523891</w:t>
            </w:r>
          </w:p>
        </w:tc>
      </w:tr>
      <w:tr>
        <w:trPr>
          <w:trHeight w:val="149"/>
        </w:trPr>
        <w:tc>
          <w:tcPr>
            <w:tcW w:w="2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60" w:type="dxa"/>
            <w:vAlign w:val="bottom"/>
          </w:tcPr>
          <w:p>
            <w:pPr>
              <w:jc w:val="center"/>
              <w:ind w:left="40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66"/>
        </w:trPr>
        <w:tc>
          <w:tcPr>
            <w:tcW w:w="200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 or organization)</w:t>
            </w:r>
          </w:p>
        </w:tc>
        <w:tc>
          <w:tcPr>
            <w:tcW w:w="5260" w:type="dxa"/>
            <w:vAlign w:val="bottom"/>
          </w:tcPr>
          <w:p>
            <w:pPr>
              <w:jc w:val="center"/>
              <w:ind w:left="4039"/>
              <w:spacing w:after="0"/>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2000" w:type="dxa"/>
            <w:vAlign w:val="bottom"/>
          </w:tcPr>
          <w:p>
            <w:pPr>
              <w:spacing w:after="0"/>
              <w:rPr>
                <w:sz w:val="18"/>
                <w:szCs w:val="18"/>
                <w:color w:val="auto"/>
              </w:rPr>
            </w:pPr>
          </w:p>
        </w:tc>
        <w:tc>
          <w:tcPr>
            <w:tcW w:w="5260" w:type="dxa"/>
            <w:vAlign w:val="bottom"/>
          </w:tcPr>
          <w:p>
            <w:pPr>
              <w:jc w:val="center"/>
              <w:ind w:right="1679"/>
              <w:spacing w:after="0"/>
              <w:rPr>
                <w:sz w:val="20"/>
                <w:szCs w:val="20"/>
                <w:color w:val="auto"/>
              </w:rPr>
            </w:pPr>
            <w:r>
              <w:rPr>
                <w:rFonts w:ascii="Arial" w:cs="Arial" w:eastAsia="Arial" w:hAnsi="Arial"/>
                <w:sz w:val="18"/>
                <w:szCs w:val="18"/>
                <w:b w:val="1"/>
                <w:bCs w:val="1"/>
                <w:color w:val="auto"/>
                <w:w w:val="89"/>
              </w:rPr>
              <w:t>1235 Radio Road, Suite 110,</w:t>
            </w:r>
          </w:p>
        </w:tc>
      </w:tr>
      <w:tr>
        <w:trPr>
          <w:trHeight w:val="212"/>
        </w:trPr>
        <w:tc>
          <w:tcPr>
            <w:tcW w:w="2000" w:type="dxa"/>
            <w:vAlign w:val="bottom"/>
          </w:tcPr>
          <w:p>
            <w:pPr>
              <w:spacing w:after="0"/>
              <w:rPr>
                <w:sz w:val="18"/>
                <w:szCs w:val="18"/>
                <w:color w:val="auto"/>
              </w:rPr>
            </w:pPr>
          </w:p>
        </w:tc>
        <w:tc>
          <w:tcPr>
            <w:tcW w:w="5260" w:type="dxa"/>
            <w:vAlign w:val="bottom"/>
          </w:tcPr>
          <w:p>
            <w:pPr>
              <w:jc w:val="center"/>
              <w:ind w:right="1659"/>
              <w:spacing w:after="0"/>
              <w:rPr>
                <w:sz w:val="20"/>
                <w:szCs w:val="20"/>
                <w:color w:val="auto"/>
              </w:rPr>
            </w:pPr>
            <w:r>
              <w:rPr>
                <w:rFonts w:ascii="Arial" w:cs="Arial" w:eastAsia="Arial" w:hAnsi="Arial"/>
                <w:sz w:val="18"/>
                <w:szCs w:val="18"/>
                <w:b w:val="1"/>
                <w:bCs w:val="1"/>
                <w:color w:val="auto"/>
                <w:w w:val="91"/>
              </w:rPr>
              <w:t>Redwood City, California</w:t>
            </w:r>
          </w:p>
        </w:tc>
      </w:tr>
      <w:tr>
        <w:trPr>
          <w:trHeight w:val="186"/>
        </w:trPr>
        <w:tc>
          <w:tcPr>
            <w:tcW w:w="2000" w:type="dxa"/>
            <w:vAlign w:val="bottom"/>
          </w:tcPr>
          <w:p>
            <w:pPr>
              <w:spacing w:after="0"/>
              <w:rPr>
                <w:sz w:val="16"/>
                <w:szCs w:val="16"/>
                <w:color w:val="auto"/>
              </w:rPr>
            </w:pPr>
          </w:p>
        </w:tc>
        <w:tc>
          <w:tcPr>
            <w:tcW w:w="5260" w:type="dxa"/>
            <w:vAlign w:val="bottom"/>
          </w:tcPr>
          <w:p>
            <w:pPr>
              <w:jc w:val="center"/>
              <w:ind w:right="1679"/>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246"/>
        </w:trPr>
        <w:tc>
          <w:tcPr>
            <w:tcW w:w="2000" w:type="dxa"/>
            <w:vAlign w:val="bottom"/>
          </w:tcPr>
          <w:p>
            <w:pPr>
              <w:spacing w:after="0"/>
              <w:rPr>
                <w:sz w:val="21"/>
                <w:szCs w:val="21"/>
                <w:color w:val="auto"/>
              </w:rPr>
            </w:pPr>
          </w:p>
        </w:tc>
        <w:tc>
          <w:tcPr>
            <w:tcW w:w="5260" w:type="dxa"/>
            <w:vAlign w:val="bottom"/>
          </w:tcPr>
          <w:p>
            <w:pPr>
              <w:jc w:val="right"/>
              <w:ind w:right="3199"/>
              <w:spacing w:after="0"/>
              <w:rPr>
                <w:sz w:val="20"/>
                <w:szCs w:val="20"/>
                <w:color w:val="auto"/>
              </w:rPr>
            </w:pPr>
            <w:r>
              <w:rPr>
                <w:rFonts w:ascii="Arial" w:cs="Arial" w:eastAsia="Arial" w:hAnsi="Arial"/>
                <w:sz w:val="18"/>
                <w:szCs w:val="18"/>
                <w:b w:val="1"/>
                <w:bCs w:val="1"/>
                <w:color w:val="auto"/>
              </w:rPr>
              <w:t>94065</w:t>
            </w:r>
          </w:p>
        </w:tc>
      </w:tr>
      <w:tr>
        <w:trPr>
          <w:trHeight w:val="186"/>
        </w:trPr>
        <w:tc>
          <w:tcPr>
            <w:tcW w:w="2000" w:type="dxa"/>
            <w:vAlign w:val="bottom"/>
          </w:tcPr>
          <w:p>
            <w:pPr>
              <w:spacing w:after="0"/>
              <w:rPr>
                <w:sz w:val="16"/>
                <w:szCs w:val="16"/>
                <w:color w:val="auto"/>
              </w:rPr>
            </w:pPr>
          </w:p>
        </w:tc>
        <w:tc>
          <w:tcPr>
            <w:tcW w:w="5260" w:type="dxa"/>
            <w:vAlign w:val="bottom"/>
          </w:tcPr>
          <w:p>
            <w:pPr>
              <w:jc w:val="center"/>
              <w:ind w:right="1679"/>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2000" w:type="dxa"/>
            <w:vAlign w:val="bottom"/>
          </w:tcPr>
          <w:p>
            <w:pPr>
              <w:spacing w:after="0"/>
              <w:rPr>
                <w:sz w:val="22"/>
                <w:szCs w:val="22"/>
                <w:color w:val="auto"/>
              </w:rPr>
            </w:pPr>
          </w:p>
        </w:tc>
        <w:tc>
          <w:tcPr>
            <w:tcW w:w="5260" w:type="dxa"/>
            <w:vAlign w:val="bottom"/>
          </w:tcPr>
          <w:p>
            <w:pPr>
              <w:jc w:val="right"/>
              <w:ind w:right="2859"/>
              <w:spacing w:after="0"/>
              <w:rPr>
                <w:sz w:val="20"/>
                <w:szCs w:val="20"/>
                <w:color w:val="auto"/>
              </w:rPr>
            </w:pPr>
            <w:r>
              <w:rPr>
                <w:rFonts w:ascii="Arial" w:cs="Arial" w:eastAsia="Arial" w:hAnsi="Arial"/>
                <w:sz w:val="18"/>
                <w:szCs w:val="18"/>
                <w:b w:val="1"/>
                <w:bCs w:val="1"/>
                <w:color w:val="auto"/>
              </w:rPr>
              <w:t>(650) 213-8444</w:t>
            </w:r>
          </w:p>
        </w:tc>
      </w:tr>
      <w:tr>
        <w:trPr>
          <w:trHeight w:val="186"/>
        </w:trPr>
        <w:tc>
          <w:tcPr>
            <w:tcW w:w="2000" w:type="dxa"/>
            <w:vAlign w:val="bottom"/>
          </w:tcPr>
          <w:p>
            <w:pPr>
              <w:spacing w:after="0"/>
              <w:rPr>
                <w:sz w:val="16"/>
                <w:szCs w:val="16"/>
                <w:color w:val="auto"/>
              </w:rPr>
            </w:pPr>
          </w:p>
        </w:tc>
        <w:tc>
          <w:tcPr>
            <w:tcW w:w="5260" w:type="dxa"/>
            <w:vAlign w:val="bottom"/>
          </w:tcPr>
          <w:p>
            <w:pPr>
              <w:jc w:val="center"/>
              <w:ind w:right="167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3"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8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60" w:right="144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2, 2018, there were 21,413,867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SOLENO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9240" w:type="dxa"/>
            <w:vAlign w:val="bottom"/>
            <w:gridSpan w:val="22"/>
            <w:vMerge w:val="continue"/>
          </w:tcPr>
          <w:p>
            <w:pPr>
              <w:spacing w:after="0"/>
              <w:rPr>
                <w:sz w:val="16"/>
                <w:szCs w:val="16"/>
                <w:color w:val="auto"/>
              </w:rPr>
            </w:pPr>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6080" w:type="dxa"/>
            <w:vAlign w:val="bottom"/>
            <w:gridSpan w:val="9"/>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0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0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(unaudited)</w:t>
              </w:r>
            </w:hyperlink>
          </w:p>
        </w:tc>
        <w:tc>
          <w:tcPr>
            <w:tcW w:w="3920" w:type="dxa"/>
            <w:vAlign w:val="bottom"/>
            <w:gridSpan w:val="3"/>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0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88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2120" w:type="dxa"/>
            <w:vAlign w:val="bottom"/>
            <w:tcBorders>
              <w:top w:val="single" w:sz="8" w:color="0000EE"/>
            </w:tcBorders>
            <w:gridSpan w:val="3"/>
          </w:tcPr>
          <w:p>
            <w:pPr>
              <w:spacing w:after="0"/>
              <w:rPr>
                <w:sz w:val="17"/>
                <w:szCs w:val="17"/>
                <w:color w:val="auto"/>
              </w:rPr>
            </w:pPr>
          </w:p>
        </w:tc>
        <w:tc>
          <w:tcPr>
            <w:tcW w:w="1820" w:type="dxa"/>
            <w:vAlign w:val="bottom"/>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4. Controls and Procedures</w:t>
              </w:r>
            </w:hyperlink>
          </w:p>
        </w:tc>
        <w:tc>
          <w:tcPr>
            <w:tcW w:w="6520" w:type="dxa"/>
            <w:vAlign w:val="bottom"/>
            <w:gridSpan w:val="11"/>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40" w:type="dxa"/>
            <w:vAlign w:val="bottom"/>
            <w:gridSpan w:val="22"/>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II—OTHER INFORMATION</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1. Legal Proceedings</w:t>
              </w:r>
            </w:hyperlink>
          </w:p>
        </w:tc>
        <w:tc>
          <w:tcPr>
            <w:tcW w:w="600" w:type="dxa"/>
            <w:vAlign w:val="bottom"/>
            <w:tcBorders>
              <w:top w:val="single" w:sz="8" w:color="0000EE"/>
            </w:tcBorders>
            <w:gridSpan w:val="4"/>
          </w:tcPr>
          <w:p>
            <w:pPr>
              <w:spacing w:after="0"/>
              <w:rPr>
                <w:sz w:val="17"/>
                <w:szCs w:val="17"/>
                <w:color w:val="auto"/>
              </w:rPr>
            </w:pPr>
          </w:p>
        </w:tc>
        <w:tc>
          <w:tcPr>
            <w:tcW w:w="6380" w:type="dxa"/>
            <w:vAlign w:val="bottom"/>
            <w:gridSpan w:val="10"/>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Item 1A. Risk Factors</w:t>
              </w:r>
            </w:hyperlink>
          </w:p>
        </w:tc>
        <w:tc>
          <w:tcPr>
            <w:tcW w:w="7280" w:type="dxa"/>
            <w:vAlign w:val="bottom"/>
            <w:gridSpan w:val="16"/>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2. Unregistered Sales of Equity Securities and Use of Proceeds</w:t>
              </w:r>
            </w:hyperlink>
          </w:p>
        </w:tc>
        <w:tc>
          <w:tcPr>
            <w:tcW w:w="3960" w:type="dxa"/>
            <w:vAlign w:val="bottom"/>
            <w:gridSpan w:val="5"/>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88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3. Defaults Upon Senior Securities</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4"/>
          </w:tcPr>
          <w:p>
            <w:pPr>
              <w:spacing w:after="0"/>
              <w:rPr>
                <w:sz w:val="17"/>
                <w:szCs w:val="17"/>
                <w:color w:val="auto"/>
              </w:rPr>
            </w:pPr>
          </w:p>
        </w:tc>
        <w:tc>
          <w:tcPr>
            <w:tcW w:w="6000" w:type="dxa"/>
            <w:vAlign w:val="bottom"/>
            <w:gridSpan w:val="8"/>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5. Other Information</w:t>
              </w:r>
            </w:hyperlink>
          </w:p>
        </w:tc>
        <w:tc>
          <w:tcPr>
            <w:tcW w:w="7000" w:type="dxa"/>
            <w:vAlign w:val="bottom"/>
            <w:gridSpan w:val="15"/>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88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6. Exhibits</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720" w:type="dxa"/>
            <w:vAlign w:val="bottom"/>
            <w:gridSpan w:val="17"/>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40" w:type="dxa"/>
            <w:vAlign w:val="bottom"/>
            <w:gridSpan w:val="22"/>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EXHIBIT INDEX</w:t>
              </w:r>
            </w:hyperlink>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SIGNATURES</w:t>
              </w:r>
            </w:hyperlink>
          </w:p>
        </w:tc>
        <w:tc>
          <w:tcPr>
            <w:tcW w:w="7840" w:type="dxa"/>
            <w:vAlign w:val="bottom"/>
            <w:gridSpan w:val="18"/>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0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240" w:type="dxa"/>
            <w:vAlign w:val="bottom"/>
          </w:tcPr>
          <w:p>
            <w:pPr>
              <w:jc w:val="center"/>
              <w:ind w:left="1390"/>
              <w:spacing w:after="0"/>
              <w:rPr>
                <w:sz w:val="20"/>
                <w:szCs w:val="20"/>
                <w:color w:val="auto"/>
              </w:rPr>
            </w:pPr>
            <w:r>
              <w:rPr>
                <w:rFonts w:ascii="Arial" w:cs="Arial" w:eastAsia="Arial" w:hAnsi="Arial"/>
                <w:sz w:val="18"/>
                <w:szCs w:val="18"/>
                <w:b w:val="1"/>
                <w:bCs w:val="1"/>
                <w:color w:val="auto"/>
              </w:rPr>
              <w:t>PART I—FINANCIAL INFORMATION</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960" w:type="dxa"/>
            <w:vAlign w:val="bottom"/>
            <w:gridSpan w:val="2"/>
          </w:tcPr>
          <w:p>
            <w:pPr>
              <w:ind w:left="40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40" w:type="dxa"/>
            <w:vAlign w:val="bottom"/>
          </w:tcPr>
          <w:p>
            <w:pPr>
              <w:jc w:val="center"/>
              <w:ind w:left="1370"/>
              <w:spacing w:after="0"/>
              <w:rPr>
                <w:sz w:val="20"/>
                <w:szCs w:val="20"/>
                <w:color w:val="auto"/>
              </w:rPr>
            </w:pPr>
            <w:r>
              <w:rPr>
                <w:rFonts w:ascii="Arial" w:cs="Arial" w:eastAsia="Arial" w:hAnsi="Arial"/>
                <w:sz w:val="18"/>
                <w:szCs w:val="18"/>
                <w:b w:val="1"/>
                <w:bCs w:val="1"/>
                <w:color w:val="auto"/>
                <w:w w:val="88"/>
              </w:rPr>
              <w:t>Soleno Therapeutics, Inc.</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40" w:type="dxa"/>
            <w:vAlign w:val="bottom"/>
          </w:tcPr>
          <w:p>
            <w:pPr>
              <w:jc w:val="center"/>
              <w:ind w:left="13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40" w:type="dxa"/>
            <w:vAlign w:val="bottom"/>
          </w:tcPr>
          <w:p>
            <w:pPr>
              <w:jc w:val="center"/>
              <w:ind w:left="137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7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June 30, 2018</w:t>
            </w:r>
          </w:p>
        </w:tc>
        <w:tc>
          <w:tcPr>
            <w:tcW w:w="340" w:type="dxa"/>
            <w:vAlign w:val="bottom"/>
          </w:tcPr>
          <w:p>
            <w:pPr>
              <w:spacing w:after="0"/>
              <w:rPr>
                <w:sz w:val="24"/>
                <w:szCs w:val="2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142"/>
        </w:trPr>
        <w:tc>
          <w:tcPr>
            <w:tcW w:w="6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12,593</w:t>
            </w:r>
          </w:p>
        </w:tc>
        <w:tc>
          <w:tcPr>
            <w:tcW w:w="6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Current assets held for sale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60" w:type="dxa"/>
            <w:vAlign w:val="bottom"/>
            <w:gridSpan w:val="2"/>
          </w:tcPr>
          <w:p>
            <w:pPr>
              <w:ind w:left="4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19,441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Long-term assets held for sale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60" w:type="dxa"/>
            <w:vAlign w:val="bottom"/>
            <w:gridSpan w:val="2"/>
          </w:tcPr>
          <w:p>
            <w:pPr>
              <w:ind w:left="4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981</w:t>
            </w:r>
          </w:p>
        </w:tc>
        <w:tc>
          <w:tcPr>
            <w:tcW w:w="6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8"/>
                <w:szCs w:val="18"/>
                <w:color w:val="auto"/>
              </w:rPr>
              <w:t>Accrued compensation and other current liabilities</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862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Current liabilities held for sale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60" w:type="dxa"/>
            <w:vAlign w:val="bottom"/>
            <w:gridSpan w:val="2"/>
          </w:tcPr>
          <w:p>
            <w:pPr>
              <w:ind w:left="4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8"/>
                <w:szCs w:val="18"/>
                <w:color w:val="auto"/>
              </w:rPr>
              <w:t>Series A warrant liability</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Series C warrant liability</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8"/>
                <w:szCs w:val="18"/>
                <w:color w:val="auto"/>
              </w:rPr>
              <w:t>2017 PIPE warrant liability</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8,036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Contingent liability for Essentialis purchase price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5,443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Long-term liabilities held for sale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960" w:type="dxa"/>
            <w:vAlign w:val="bottom"/>
            <w:gridSpan w:val="2"/>
          </w:tcPr>
          <w:p>
            <w:pPr>
              <w:ind w:left="4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17,507</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$0.001 par value, 10,000,000 shares authorized: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9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Series B convertible preferred stock, 13,780 are designated at June 30, 2018 and December 31,</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960" w:type="dxa"/>
            <w:vAlign w:val="bottom"/>
            <w:gridSpan w:val="2"/>
          </w:tcPr>
          <w:p>
            <w:pPr>
              <w:ind w:left="260"/>
              <w:spacing w:after="0"/>
              <w:rPr>
                <w:sz w:val="20"/>
                <w:szCs w:val="20"/>
                <w:color w:val="auto"/>
              </w:rPr>
            </w:pPr>
            <w:r>
              <w:rPr>
                <w:rFonts w:ascii="Arial" w:cs="Arial" w:eastAsia="Arial" w:hAnsi="Arial"/>
                <w:sz w:val="18"/>
                <w:szCs w:val="18"/>
                <w:color w:val="auto"/>
              </w:rPr>
              <w:t>2017; nil and 4,571 shares issued and outstanding at June 30, 2018 and December 31, 2017,</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960" w:type="dxa"/>
            <w:vAlign w:val="bottom"/>
            <w:gridSpan w:val="2"/>
          </w:tcPr>
          <w:p>
            <w:pPr>
              <w:ind w:left="260"/>
              <w:spacing w:after="0"/>
              <w:rPr>
                <w:sz w:val="20"/>
                <w:szCs w:val="20"/>
                <w:color w:val="auto"/>
              </w:rPr>
            </w:pPr>
            <w:r>
              <w:rPr>
                <w:rFonts w:ascii="Arial" w:cs="Arial" w:eastAsia="Arial" w:hAnsi="Arial"/>
                <w:sz w:val="18"/>
                <w:szCs w:val="18"/>
                <w:color w:val="auto"/>
              </w:rPr>
              <w:t>respectively. Liquidation value of zero.</w:t>
            </w:r>
          </w:p>
        </w:tc>
        <w:tc>
          <w:tcPr>
            <w:tcW w:w="14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$0.001 par value, 100,000,000 shares authorized, 21,413,867 and 19,238,972 shares issued</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and outstanding at June 30, 2018 and December 31, 2017, respectively.</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141,187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140,495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(125,371)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(113,979)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gridSpan w:val="3"/>
          </w:tcPr>
          <w:p>
            <w:pPr>
              <w:ind w:left="3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15,837</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33,344</w:t>
            </w:r>
          </w:p>
        </w:tc>
        <w:tc>
          <w:tcPr>
            <w:tcW w:w="6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Three Months Ended 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2,894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2,195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Cease-use income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Change in fair value of warrants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income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Total other income (expense)</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Loss per common share from continuing operations, basic and diluted</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 from discontinued operations, basic and diluted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Net loss per common share, basic and diluted</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Weighted-average common shares outstanding used to calculate basic and diluted</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per common share</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20,345,437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9,516,108</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19,940,126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7,315,569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Six Months Ended</w:t>
      </w:r>
    </w:p>
    <w:p>
      <w:pPr>
        <w:jc w:val="center"/>
        <w:ind w:left="96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(11,392)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(1,755)</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(10,455)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from continuing operations to net cash used in operating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Board fees paid with common stock</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stock warrants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expense of issuing shares to Aspire Capital</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compensation and other current liabilities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Other long-term liabilities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Net cash used in continuing operating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1100"/>
              <w:spacing w:after="0"/>
              <w:rPr>
                <w:sz w:val="20"/>
                <w:szCs w:val="20"/>
                <w:color w:val="auto"/>
              </w:rPr>
            </w:pPr>
            <w:r>
              <w:rPr>
                <w:rFonts w:ascii="Arial" w:cs="Arial" w:eastAsia="Arial" w:hAnsi="Arial"/>
                <w:sz w:val="18"/>
                <w:szCs w:val="18"/>
                <w:b w:val="1"/>
                <w:bCs w:val="1"/>
                <w:color w:val="auto"/>
              </w:rPr>
              <w:t>Net cash used in discontinued operating activities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Net cash used in operating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(5,175)</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Net cash used in continuing investing activities</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Net cash used in discontinued investing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Net cash provided by continuing financing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1100"/>
              <w:spacing w:after="0"/>
              <w:rPr>
                <w:sz w:val="20"/>
                <w:szCs w:val="20"/>
                <w:color w:val="auto"/>
              </w:rPr>
            </w:pPr>
            <w:r>
              <w:rPr>
                <w:rFonts w:ascii="Arial" w:cs="Arial" w:eastAsia="Arial" w:hAnsi="Arial"/>
                <w:sz w:val="18"/>
                <w:szCs w:val="18"/>
                <w:b w:val="1"/>
                <w:bCs w:val="1"/>
                <w:color w:val="auto"/>
              </w:rPr>
              <w:t>Net cash provided by discontinued financing activities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Net cash provided by financing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Net increase (decrease) in cash, cash equivalents and restricted cash from continuing operations</w:t>
            </w: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(4,502)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(decrease) in cash, cash equivalents and restricted cash from discontinued operations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(4,446)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cash and cash equivalents included in current assets held for sale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17,135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12,593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Essentialis acquisition</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18,764</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Contingent consideration of Essentialis acquisition</w:t>
            </w: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Costs of Essentialis acquisition included in accounts payable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Soleno Therapeutics, Inc. (the “Company” or “Soleno”) was incorporated in the State of Delaware on August 25, 1999, and is located in Redwood City, California. On May 8, 2017, Soleno received stockholder approval to amend its Amended and Restated Certificate of Incorporation to change its name from “Capnia, Inc.” to “Soleno Therapeutics, Inc.” The Company was initially established as a diversified healthcare company that developed and commercialized innovative diagnostics, devices and therapeutics addressing unmet medical needs, which consisted of: precision metering of gas flow technology marketed as Serenz </w:t>
      </w:r>
      <w:r>
        <w:rPr>
          <w:rFonts w:ascii="Arial" w:cs="Arial" w:eastAsia="Arial" w:hAnsi="Arial"/>
          <w:sz w:val="14"/>
          <w:szCs w:val="14"/>
          <w:color w:val="auto"/>
        </w:rPr>
        <w:t>®</w:t>
      </w:r>
      <w:r>
        <w:rPr>
          <w:rFonts w:ascii="Arial" w:cs="Arial" w:eastAsia="Arial" w:hAnsi="Arial"/>
          <w:sz w:val="17"/>
          <w:szCs w:val="17"/>
          <w:color w:val="auto"/>
        </w:rPr>
        <w:t xml:space="preserve"> Allergy Relief, or Serenz; CoSense </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Company’s previously wholly-owned subsidiary NFI also marketed innovative pulmonary resuscitation solutions for the inpatient and ambulatory neonatal markets.</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December 22, 2016, the Company entered into the Merger Agreement with Essentialis, Inc. Essentialis’s efforts prior to the Merger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 or DCCR, as a treatment for Prader-Willi Syndrome, or PWS, a complex metabolic/neurobehavioral disorder. DCCR has orphan designation for the treatment of PWS in the U.S. as well as in the E.U. Consummation of the merger was subject to various closing conditions, including the Company’s consummation of a financing of at least $8 million at, or substantially contemporaneous with, the closing of the Merger, which occurred on March 7, 2017 and the receipt of stockholder approval of the Merger at a special meeting of its stockholders, which was held on March 6, 2017.</w:t>
      </w:r>
    </w:p>
    <w:p>
      <w:pPr>
        <w:spacing w:after="0" w:line="5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Soleno subsequently explored opportunities to divest, sell or otherwise dispose of the CoSense, NFI and Serenz businesses. Accordingly, and pursuant to ASC 205-20-45-10, the assets and liabilities related to the discontinued operations of CoSense, NFI and Serenz are presented separately in the Balance Sheet as held for sale items, and the related operations reported herein for the CoSense, NFI and Serenz businesses are reported as discontinued operations in the Statement of Operations.</w:t>
      </w:r>
    </w:p>
    <w:p>
      <w:pPr>
        <w:spacing w:after="0" w:line="7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Company determined to divest, sell or otherwise dispose of the CoSense, NFI and Serenz businesses in order to focus on the development and commercialization of novel therapeutics for the treatment of rare diseases. The Company’s current research and development efforts are primarily focused on advancing its lead candidate, DCCR tablets for the treatment of PWS, into late-stage clinical development.</w:t>
      </w:r>
    </w:p>
    <w:p>
      <w:pPr>
        <w:spacing w:after="0" w:line="5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sold NFI in a stock transaction that was completed on July 18, 2017, pursuant to the NFI Purchase Agreement with Neoforce Holdings, a wholly-owned subsidiary of Flexicare Medical Limited, a privately-held United Kingdom company, for $720,000 and adjustments for inventory and the current cash balances held at NFI.</w:t>
      </w:r>
    </w:p>
    <w:p>
      <w:pPr>
        <w:spacing w:after="0" w:line="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October 6, 2017, the Company effected a one-for-five (1:5) reverse stock split of its then outstanding Common Stock and, accordingly, all common share and per share data are retrospectively restated to give effect of the split for all periods presented herein.</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December 4, 2017, Soleno, and its wholly-owned subsidiary, Capnia, Inc., a Delaware corporation, or Capnia, entered into a joint venture with OAHL. The purpose of the joint venture is to develop and commercialize medical monitors, including the CoSense</w:t>
      </w:r>
      <w:r>
        <w:rPr>
          <w:rFonts w:ascii="Arial" w:cs="Arial" w:eastAsia="Arial" w:hAnsi="Arial"/>
          <w:sz w:val="15"/>
          <w:szCs w:val="15"/>
          <w:color w:val="auto"/>
        </w:rPr>
        <w:t>®</w:t>
      </w:r>
      <w:r>
        <w:rPr>
          <w:rFonts w:ascii="Arial" w:cs="Arial" w:eastAsia="Arial" w:hAnsi="Arial"/>
          <w:sz w:val="18"/>
          <w:szCs w:val="18"/>
          <w:color w:val="auto"/>
        </w:rPr>
        <w:t xml:space="preserve"> End-Tidal Carbon Monoxide (ETCO) Monitor, or CoSense, that measure end-tidal carbon monoxide in breath to assist in the detection of excessive hemolysis in neonates, a condition in which red blood cells degrade rapidly and which can lead to adverse neurological outcomes.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continues to separately evaluate alternatives for its Serenz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Going Concern and Management’s Plans</w:t>
      </w:r>
    </w:p>
    <w:p>
      <w:pPr>
        <w:spacing w:after="0" w:line="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Company had a net loss of $11.4 million for the six months ended June 30, 2018 and has an accumulated deficit of $125.4 million at June 30, 2018 from having incurred losses since its inception. The Company has $11.4 million of working capital at June 30, 2018 and used $5.3 million of cash in its operating activities during the six months ended June 30, 2018. The Company has financed its operations principally through issuances of equity securities.</w:t>
      </w:r>
    </w:p>
    <w:p>
      <w:pPr>
        <w:spacing w:after="0" w:line="3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has continued to focus on expense control, including reducing its workforce, eliminating outside consultants, reducing legal fees and implementing a plan to allow Board members to receive common stock in lieu of cash payments.</w:t>
      </w:r>
    </w:p>
    <w:p>
      <w:pPr>
        <w:spacing w:after="0" w:line="62"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On December 11, 2017, the Company entered into the Unit Purchase Agreement with certain stockholders, pursuant to which the Company sold and issued 8,141,116 immediately separable units at a price per unit of $1.84, for aggregate gross proceeds of $15.0 million. Each unit consisted of one share of the Company’s common stock and a warrant to purchase 0.74 shares of the Company’s common stock at an exercise price of $2.00 a share, for an aggregate of 8,141,116 shares and corresponding warrants to purchase an aggregate of 6,024,425 warrant shares, together referred to as the Resale Shares. The Company also granted certain registration rights to these stockholders, pursuant to which, among other things, the Company prepared and filed a registration statement with the SEC to register for resale the Resale Shares. The registration statement was declared effective in February 2018.</w:t>
      </w:r>
    </w:p>
    <w:p>
      <w:pPr>
        <w:sectPr>
          <w:pgSz w:w="11900" w:h="16838" w:orient="portrait"/>
          <w:cols w:equalWidth="0" w:num="1">
            <w:col w:w="11400"/>
          </w:cols>
          <w:pgMar w:left="240" w:top="459" w:right="259" w:bottom="1440"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under the assumption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6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expects to continue incurring losses for the foreseeable future and may be required to raise additional capital to complete its clinical trials, pursue product development initiatives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costs in order to conserve its cash in amounts sufficient to sustain operations and meet its obligations. These measures could cause significant delays in the Company’s efforts to complete its clinical trials and commercialize its products, which is critical to the realization of its business plan and the future operations of the Company. The condensed consolidated financial statements do not include any adjustments relating to the recoverability and classification of asset amounts or the classification of liabilities that might be necessary should it be unable to continue as a going concern.</w:t>
      </w:r>
    </w:p>
    <w:p>
      <w:pPr>
        <w:spacing w:after="0" w:line="74"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within one year from the date of filing these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There have been no material changes to the significant accounting policies during the six months ended June 30, 2018 as compared to the significant accounting policies described in Note 3 of the “Notes to Consolidated Financial Statements” in the Company’s Annual Report on Form 10-K for the year ended December 31, 2017. Below are those policies with current period updates.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accounting principles generally accepted in the United States of America, or GAAP, and the applicable rules and regulations of the Securities and Exchange Commission, or the SEC, for interim financial information. Accordingly, they do not include all of the information and notes required by GAAP for complete financial statements. The condensed consolidated balance sheet at December 31, 2017, has been derived from the audited consolidated financial statements at that date, but does not include all disclosures, including notes, required by GAAP for complete financial statements.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on the same basis as the audited consolidated financial statements and, in the opinion of management, reflect all adjustments of a normal recurring nature considered necessary to present fairly the Company’s financial position as of June 30, 2018, and results of its operations for the three and six months ended June 30, 2018 and 2017 and cash flows for the six months ended June 30, 2018 and 2017. The interim results are not necessarily indicative of the results for any future interim period or for the entire year. Certain prior period amounts have been reclassified to conform to current period presentation. These classifications have no effect on the previously reported net loss or loss per share.</w:t>
      </w:r>
    </w:p>
    <w:p>
      <w:pPr>
        <w:spacing w:after="0" w:line="112"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2017, included in the Company’s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November 2016, the Financial Accounting Standards Board, or FASB, issued Accounting Standards Update, or the ASU 2016-18, “</w:t>
      </w:r>
      <w:r>
        <w:rPr>
          <w:rFonts w:ascii="Arial" w:cs="Arial" w:eastAsia="Arial" w:hAnsi="Arial"/>
          <w:sz w:val="18"/>
          <w:szCs w:val="18"/>
          <w:i w:val="1"/>
          <w:iCs w:val="1"/>
          <w:color w:val="auto"/>
        </w:rPr>
        <w:t>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Cash Flows: Restricted Cash</w:t>
      </w:r>
      <w:r>
        <w:rPr>
          <w:rFonts w:ascii="Arial" w:cs="Arial" w:eastAsia="Arial" w:hAnsi="Arial"/>
          <w:sz w:val="18"/>
          <w:szCs w:val="18"/>
          <w:color w:val="auto"/>
        </w:rPr>
        <w:t>”, which requires that a statement of cash flows explain the change during the period in the total of cash, cash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generally described as restricted cash or restricted cash equivalents. These standards are effective for financial statements issued for fiscal years beginning after December 15, 2017, including interim periods within those fiscal years. The Company adopted these standards in the first quarter of 2018 utilizing the retrospective transition method. There was no material impact on the Company’s condensed consolidated financial statements resulting from the adoption of this guidance.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clarifies which changes to the terms or conditions of a share-based payment award require an entity to apply modification accounting. The standard is effective beginning after December 15, 2017; early adoption is permitted. The Company adopted the standard in the first quarter of 2018. The adoption did not have a material impact on the Company’s consolidated financial position and results of operations.</w:t>
      </w:r>
    </w:p>
    <w:p>
      <w:pPr>
        <w:spacing w:after="0" w:line="11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In March 2018, the FASB issued ASU 2018-05, </w:t>
      </w:r>
      <w:r>
        <w:rPr>
          <w:rFonts w:ascii="Arial" w:cs="Arial" w:eastAsia="Arial" w:hAnsi="Arial"/>
          <w:sz w:val="18"/>
          <w:szCs w:val="18"/>
          <w:i w:val="1"/>
          <w:iCs w:val="1"/>
          <w:color w:val="auto"/>
        </w:rPr>
        <w:t>“Amendments to SEC Paragraphs Pursuant to SEC Staff Accounting Bulletin No. 118”</w:t>
      </w:r>
      <w:r>
        <w:rPr>
          <w:rFonts w:ascii="Arial" w:cs="Arial" w:eastAsia="Arial" w:hAnsi="Arial"/>
          <w:sz w:val="18"/>
          <w:szCs w:val="18"/>
          <w:color w:val="auto"/>
        </w:rPr>
        <w:t>, to add various SEC paragraphs pursuant to the issuance of SEC Staff Accounting Bulletin No. 118, or SAB 118, to ASC 740 “Income Taxes”. SAB 118 was issued by the SEC in December 2017 to provide immediate guidance for accounting implications of U.S. tax reform under the “</w:t>
      </w:r>
      <w:r>
        <w:rPr>
          <w:rFonts w:ascii="Arial" w:cs="Arial" w:eastAsia="Arial" w:hAnsi="Arial"/>
          <w:sz w:val="18"/>
          <w:szCs w:val="18"/>
          <w:i w:val="1"/>
          <w:iCs w:val="1"/>
          <w:color w:val="auto"/>
        </w:rPr>
        <w:t>Tax Cuts and Jobs Act</w:t>
      </w:r>
      <w:r>
        <w:rPr>
          <w:rFonts w:ascii="Arial" w:cs="Arial" w:eastAsia="Arial" w:hAnsi="Arial"/>
          <w:sz w:val="18"/>
          <w:szCs w:val="18"/>
          <w:color w:val="auto"/>
        </w:rPr>
        <w:t>”, or the Tax Act, which became effective for the Company on January 1, 2018. The Company has adopted ASU 2018-09 and adoption of this ASU has no significant impact on its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20" w:firstLine="456"/>
        <w:spacing w:after="0" w:line="267" w:lineRule="auto"/>
        <w:rPr>
          <w:sz w:val="20"/>
          <w:szCs w:val="20"/>
          <w:color w:val="auto"/>
        </w:rPr>
      </w:pPr>
      <w:r>
        <w:rPr>
          <w:rFonts w:ascii="Arial" w:cs="Arial" w:eastAsia="Arial" w:hAnsi="Arial"/>
          <w:sz w:val="17"/>
          <w:szCs w:val="17"/>
          <w:color w:val="auto"/>
        </w:rPr>
        <w:t>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or ASU 2014-09. ASU 2014-09 supersedes the revenue recognition requirements in ASC Topic 605, “Revenue Recognition” and some cost guidance included in ASC Subtopic 605-35,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 - Construction-Type and Production-Type Contracts</w:t>
      </w:r>
      <w:r>
        <w:rPr>
          <w:rFonts w:ascii="Arial" w:cs="Arial" w:eastAsia="Arial" w:hAnsi="Arial"/>
          <w:sz w:val="17"/>
          <w:szCs w:val="17"/>
          <w:color w:val="auto"/>
        </w:rPr>
        <w:t>.” The core principle of ASU 2014-09 is that revenue is recognized when the transfer of</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of goods or services to customers occurs in an amount that reflects the consideration to which the Company expects to be entitled in exchange for those goods or services. ASU 2014-09 requires the disclosure of sufficient information to enable readers of the Company’s financial statements to understand the nature, amount, timing and uncertainty of revenue and cash flows arising from customer contracts. ASU 2014-09 also requires disclosure of information regarding significant judgments and changes in judgments, and assets recognized from costs incurred to obtain or fulfill a contract. ASU 2014-09 provides two methods of retrospective application. The first method would require the Company to apply ASU 2014-09 to each prior reporting period presented. The second method would require the Company to retrospectively apply ASU 2014-09 with the cumulative effect recognized at the date of initial application. Since the Company is an emerging growth company and elected to use the extended transition period for complying with any new or revised financial accounting standards provided pursuant to Section 13(a) of the Exchange Act, this ASU 2014-09 will be effective for the Company beginning in fiscal 2019 as a result of ASU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which was issued by the FASB in August 2015 and extended the original effective date by one year. For other public entities the ASU is effective for annual reporting periods beginning after December 15, 2017. The Company is currently evaluating the impact of adopting the available methodologies of ASU 2014-09 and 2015-14 upon its consolidated financial statements in future reporting periods. The Company is also in the process of evaluating the new standard against its existing revenue recognition accounting policies to determine the effect the guidance will have on its condensed consolidated financial statements and what changes to systems and controls may be warranted.</w:t>
      </w:r>
    </w:p>
    <w:p>
      <w:pPr>
        <w:spacing w:after="0" w:line="12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provides new guidance that requires a lessee to recognize lease assets and lease liabilities on the balance sheet for most leases and provide enhanced disclosures. Most prominent is the recognition of assets and liabilities by lessees for those leases classified as operating leases under previous GAAP. Under the new standard, disclosures are required to meet the objective of enabling users of financial statements to assess the amount, timing, and uncertainty of cash flows arising from leases. Leases will continue to be classified as either finance or operating leases, and for both, the initial lease liabilities should be measured at the present value of the lease payments. ASU 2016-02 is effective for public entities with fiscal years beginning after December 15, 2018 and for all other entities for fiscal years beginning after December 15, 2019, and interim periods within fiscal years beginning after December 15, 2020. Since the Company is an emerging growth company and elected to use the extended transition period for complying with any new or revised financial accounting standards provided pursuant to Section 13(a) of the Exchange Act, ASU 2016-02 will be effective for the Company beginning in fiscal 2020, although early adoption is permitted. Companies are required to use a modified retrospective approach for leases that exist or are entered into after the beginning of the earliest comparative period in the financial statements and there are certain practical expedients that companies may elect, including an accounting policy election to not recognize lease assets and liabilities for leases with a term of twelve months or less. The Company is currently assessing the potential impact of adopting ASU 2016-02 on its condensed consolidated financial statements and related disclosures.</w:t>
      </w:r>
    </w:p>
    <w:p>
      <w:pPr>
        <w:spacing w:after="0" w:line="10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In July 2017, the FASB issued ASU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(ASU 2017-11). Part I of this update addresses the complexity of accounting for certain financial instruments with down round features. Down</w:t>
      </w:r>
      <w:r>
        <w:rPr>
          <w:rFonts w:ascii="Arial" w:cs="Arial" w:eastAsia="Arial" w:hAnsi="Arial"/>
          <w:sz w:val="16"/>
          <w:szCs w:val="16"/>
          <w:i w:val="1"/>
          <w:iCs w:val="1"/>
          <w:color w:val="auto"/>
        </w:rPr>
        <w:t xml:space="preserve"> </w:t>
      </w:r>
      <w:r>
        <w:rPr>
          <w:rFonts w:ascii="Arial" w:cs="Arial" w:eastAsia="Arial" w:hAnsi="Arial"/>
          <w:sz w:val="16"/>
          <w:szCs w:val="16"/>
          <w:color w:val="auto"/>
        </w:rPr>
        <w:t>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The amendments in Part I of ASU 2017-11 are effective for fiscal years, and interim periods within those fiscal years, beginning after December 15, 2018. For all other entities, the amendments in Part I are effective for fiscal years beginning after December 15, 2019, and interim periods within fiscal years beginning after December 15, 2020. Since the Company is an emerging growth company and elected to use the extended transition period for complying with any new or revised financial accounting standards provided pursuant to Section 13(a) of the Exchange Act, this ASU 2016-02 will be effective for the Company beginning in fiscal 2020, although early adoption is permitted. The Company is currently assessing the potential impact of adopting ASU 2017-11 on its condensed consolidated financial statements and related disclosures.</w:t>
      </w:r>
    </w:p>
    <w:p>
      <w:pPr>
        <w:spacing w:after="0" w:line="16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or ASU 2018-02, which allows a reclassification from accumulated other comprehensive income to</w:t>
      </w:r>
      <w:r>
        <w:rPr>
          <w:rFonts w:ascii="Arial" w:cs="Arial" w:eastAsia="Arial" w:hAnsi="Arial"/>
          <w:sz w:val="17"/>
          <w:szCs w:val="17"/>
          <w:i w:val="1"/>
          <w:iCs w:val="1"/>
          <w:color w:val="auto"/>
        </w:rPr>
        <w:t xml:space="preserve"> </w:t>
      </w:r>
      <w:r>
        <w:rPr>
          <w:rFonts w:ascii="Arial" w:cs="Arial" w:eastAsia="Arial" w:hAnsi="Arial"/>
          <w:sz w:val="17"/>
          <w:szCs w:val="17"/>
          <w:color w:val="auto"/>
        </w:rPr>
        <w:t>retained earnings for stranded tax effects resulting from the Tax Act and requires certain disclosures about stranded tax effects. ASU 2018-02 is effective for the Company beginning in 2019, with early adoption permitted, and shall be applied either in the period of adoption or retrospectively to each period (or periods) in which the effect of the change in the corporate income tax rate in the Tax Act is recognized. The Company is currently evaluating the potential impact of adopting this guidance on its condensed consolidated financial statements.</w:t>
      </w:r>
    </w:p>
    <w:p>
      <w:pPr>
        <w:spacing w:after="0" w:line="17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June 2018, the FASB issued ASU 2018-07, “</w:t>
      </w:r>
      <w:r>
        <w:rPr>
          <w:rFonts w:ascii="Arial" w:cs="Arial" w:eastAsia="Arial" w:hAnsi="Arial"/>
          <w:sz w:val="16"/>
          <w:szCs w:val="16"/>
          <w:i w:val="1"/>
          <w:iCs w:val="1"/>
          <w:color w:val="auto"/>
        </w:rPr>
        <w:t>Compensation – 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to simplify the accounting for share-based payments to nonemployees by aligning it with the accounting for share-based payments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with certain exceptions. Under the guidance, the measurement of equity-classified nonemployee awards will be fixed at the grant date, which may lower their cost and reduce volatility in the income statement. This ASU is effective for public business entities for fiscal years beginning after December 15, 2018, including interim periods within that fiscal year. For all other entities, the amendments are effective for fiscal years beginning after December 15, 2019, and interim periods within fiscal years beginning after December 15, 2020. Since the Company is an emerging growth company and elected to use the extended transition period for complying with any new or revised financial accounting standards provided pursuant to Section 13(a) of the Exchange Act, this ASU 2018-07 will be effective for the Company beginning in fiscal 2020. Early adoption is permitted, including in an interim period. The adoption of this ASU is not expected to have a material impact on the Company’s condensed consolidated financial statements.</w:t>
      </w:r>
    </w:p>
    <w:p>
      <w:pPr>
        <w:spacing w:after="0" w:line="16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June 2018, the FASB issued ASU 2018-08, “</w:t>
      </w:r>
      <w:r>
        <w:rPr>
          <w:rFonts w:ascii="Arial" w:cs="Arial" w:eastAsia="Arial" w:hAnsi="Arial"/>
          <w:sz w:val="17"/>
          <w:szCs w:val="17"/>
          <w:i w:val="1"/>
          <w:iCs w:val="1"/>
          <w:color w:val="auto"/>
        </w:rPr>
        <w:t>Not-for-Profit Entities (Topic 958): Clarifying the Scope and the Accounting Guidance for</w:t>
      </w:r>
      <w:r>
        <w:rPr>
          <w:rFonts w:ascii="Arial" w:cs="Arial" w:eastAsia="Arial" w:hAnsi="Arial"/>
          <w:sz w:val="17"/>
          <w:szCs w:val="17"/>
          <w:color w:val="auto"/>
        </w:rPr>
        <w:t xml:space="preserve"> </w:t>
      </w:r>
      <w:r>
        <w:rPr>
          <w:rFonts w:ascii="Arial" w:cs="Arial" w:eastAsia="Arial" w:hAnsi="Arial"/>
          <w:sz w:val="17"/>
          <w:szCs w:val="17"/>
          <w:i w:val="1"/>
          <w:iCs w:val="1"/>
          <w:color w:val="auto"/>
        </w:rPr>
        <w:t>Contributions Received and Contributions Made</w:t>
      </w:r>
      <w:r>
        <w:rPr>
          <w:rFonts w:ascii="Arial" w:cs="Arial" w:eastAsia="Arial" w:hAnsi="Arial"/>
          <w:sz w:val="17"/>
          <w:szCs w:val="17"/>
          <w:color w:val="auto"/>
        </w:rPr>
        <w:t>”. The ASU clarifies and enhances current guidance about whether a transfer of assets (or the reduction,</w:t>
      </w:r>
      <w:r>
        <w:rPr>
          <w:rFonts w:ascii="Arial" w:cs="Arial" w:eastAsia="Arial" w:hAnsi="Arial"/>
          <w:sz w:val="17"/>
          <w:szCs w:val="17"/>
          <w:i w:val="1"/>
          <w:iCs w:val="1"/>
          <w:color w:val="auto"/>
        </w:rPr>
        <w:t xml:space="preserve"> </w:t>
      </w:r>
      <w:r>
        <w:rPr>
          <w:rFonts w:ascii="Arial" w:cs="Arial" w:eastAsia="Arial" w:hAnsi="Arial"/>
          <w:sz w:val="17"/>
          <w:szCs w:val="17"/>
          <w:color w:val="auto"/>
        </w:rPr>
        <w:t>settlement, or cancellation of liabilities) is a contribution or an exchange transaction. In addition, the amendments clarify how an entity determines whether a resource provider is participating in an exchange transaction and improves the framework for determining whether a contribution is conditional or unconditional, and for distinguishing a donor-imposed condition from a donor-imposed restriction. ASU 2018-08 is effective for contributions received by public entities in annual periods beginning after June 15, 2018 and interim periods within those fiscal years. However, since the Company is an emerging growth company and elected to use the extended transition period for complying with any new or revised financial accounting standards provided pursuant to Section 13(a) of the Exchange Act, this ASU 2018-08 will be effective for contributions received beginning in fiscal 2019. The adoption of this ASU is not expected to have a material impact on the Company’s condensed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carrying value of the Company’s cash, restricted cash and accounts payable approximate fair value due to the short-term nature of these items.</w:t>
      </w:r>
    </w:p>
    <w:p>
      <w:pPr>
        <w:spacing w:after="0" w:line="248"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31" w:lineRule="exact"/>
        <w:rPr>
          <w:sz w:val="20"/>
          <w:szCs w:val="20"/>
          <w:color w:val="auto"/>
        </w:rPr>
      </w:pPr>
    </w:p>
    <w:p>
      <w:pPr>
        <w:ind w:left="5660" w:right="4380" w:hanging="5206"/>
        <w:spacing w:after="0" w:line="449" w:lineRule="auto"/>
        <w:tabs>
          <w:tab w:leader="none" w:pos="89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I—Unadjusted quoted prices in active markets for identical assets or liabilities; 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II—Inputs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III—Unobservable inputs that are supported by little or no market activity for the related assets or liabilities.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40" w:type="dxa"/>
            <w:vAlign w:val="bottom"/>
            <w:gridSpan w:val="13"/>
          </w:tcPr>
          <w:p>
            <w:pPr>
              <w:jc w:val="right"/>
              <w:ind w:right="520"/>
              <w:spacing w:after="0"/>
              <w:rPr>
                <w:sz w:val="20"/>
                <w:szCs w:val="20"/>
                <w:color w:val="auto"/>
              </w:rPr>
            </w:pPr>
            <w:r>
              <w:rPr>
                <w:rFonts w:ascii="Arial" w:cs="Arial" w:eastAsia="Arial" w:hAnsi="Arial"/>
                <w:sz w:val="14"/>
                <w:szCs w:val="14"/>
                <w:color w:val="auto"/>
              </w:rPr>
              <w:t>Fair Value Measurements at June 30, 2018</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Total</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color w:val="auto"/>
              </w:rPr>
              <w:t>Level 1</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7"/>
              </w:rPr>
              <w:t>Level 2</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97"/>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Money market fund</w:t>
            </w:r>
          </w:p>
        </w:tc>
        <w:tc>
          <w:tcPr>
            <w:tcW w:w="2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12,423</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12,423</w:t>
            </w: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1,015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1,015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 liability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2017 PIPE warrant liability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8,036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Essentialis purchase price contingency liability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w w:val="91"/>
              </w:rPr>
              <w:t>Total common stock warrant and contingent consideration liability</w:t>
            </w:r>
          </w:p>
        </w:tc>
        <w:tc>
          <w:tcPr>
            <w:tcW w:w="1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14,499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13"/>
          </w:tcPr>
          <w:p>
            <w:pPr>
              <w:jc w:val="right"/>
              <w:ind w:right="360"/>
              <w:spacing w:after="0"/>
              <w:rPr>
                <w:sz w:val="20"/>
                <w:szCs w:val="20"/>
                <w:color w:val="auto"/>
              </w:rPr>
            </w:pPr>
            <w:r>
              <w:rPr>
                <w:rFonts w:ascii="Arial" w:cs="Arial" w:eastAsia="Arial" w:hAnsi="Arial"/>
                <w:sz w:val="14"/>
                <w:szCs w:val="14"/>
                <w:color w:val="auto"/>
                <w:w w:val="97"/>
              </w:rPr>
              <w:t>Fair Value Measurements at December 31, 2017</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Total</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color w:val="auto"/>
              </w:rPr>
              <w:t>Level 1</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7"/>
              </w:rPr>
              <w:t>Level 2</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97"/>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Money market fund</w:t>
            </w:r>
          </w:p>
        </w:tc>
        <w:tc>
          <w:tcPr>
            <w:tcW w:w="2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16,790</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16,790</w:t>
            </w: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352</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 liability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2017 PIPE warrant liability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Essentialis purchase price contingency liability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w w:val="91"/>
              </w:rPr>
              <w:t>Total common stock warrant and contingent consideration liability</w:t>
            </w:r>
          </w:p>
        </w:tc>
        <w:tc>
          <w:tcPr>
            <w:tcW w:w="1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10,516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352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900" w:type="dxa"/>
            <w:vAlign w:val="bottom"/>
            <w:vMerge w:val="restart"/>
          </w:tcPr>
          <w:p>
            <w:pPr>
              <w:jc w:val="right"/>
              <w:ind w:right="1630"/>
              <w:spacing w:after="0"/>
              <w:rPr>
                <w:sz w:val="20"/>
                <w:szCs w:val="20"/>
                <w:color w:val="auto"/>
              </w:rPr>
            </w:pPr>
            <w:r>
              <w:rPr>
                <w:rFonts w:ascii="Arial" w:cs="Arial" w:eastAsia="Arial" w:hAnsi="Arial"/>
                <w:sz w:val="18"/>
                <w:szCs w:val="18"/>
                <w:color w:val="auto"/>
                <w:w w:val="79"/>
              </w:rPr>
              <w:t>10</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The Series A Warrant is a registered security that trades on the open market and the fair value of the Series A Warrant liability is based on the publicly quoted trading price of the warrants which is listed on and obtained from NASDAQ. Accordingly, the fair value of Series A Warrants is a Level 1 measurement. The fair value measurement of the Series C Warrants is based on significant inputs that are unobservable and thus represent Level 3 measurements. The Company’s estimated fair value of the Series C Warrant liability is calculated using the Black-Scholes valuation model, which is equivalent to fair value computed using the Binomial Lattice Option Model. Key assumptions include the volatility of the Company’s stock, the expected warrant term, expected dividend yield and risk-free interest rates. The Company’s estimated fair value of the 2017 PIPE Warrants was calculated using a Monte Carlo simulation of a geometric Brownian motion model. The Monte Carlo simulation pricing model requires the input of highly subjective assumptions including the expected stock price volatility, the expected term, the expected dividend yield and the risk-free interest rate. 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(see Note 10). The Level 3 estimates are based, in part, on subjective assumptions.</w:t>
      </w:r>
    </w:p>
    <w:p>
      <w:pPr>
        <w:spacing w:after="0" w:line="18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warrants, which are treated as liabilities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740" w:type="dxa"/>
            <w:vAlign w:val="bottom"/>
            <w:gridSpan w:val="6"/>
          </w:tcPr>
          <w:p>
            <w:pPr>
              <w:ind w:left="200"/>
              <w:spacing w:after="0"/>
              <w:rPr>
                <w:sz w:val="20"/>
                <w:szCs w:val="20"/>
                <w:color w:val="auto"/>
              </w:rPr>
            </w:pPr>
            <w:r>
              <w:rPr>
                <w:rFonts w:ascii="Arial" w:cs="Arial" w:eastAsia="Arial" w:hAnsi="Arial"/>
                <w:sz w:val="14"/>
                <w:szCs w:val="14"/>
                <w:b w:val="1"/>
                <w:bCs w:val="1"/>
                <w:color w:val="auto"/>
              </w:rPr>
              <w:t>Series A Warrant</w:t>
            </w:r>
          </w:p>
        </w:tc>
        <w:tc>
          <w:tcPr>
            <w:tcW w:w="1760" w:type="dxa"/>
            <w:vAlign w:val="bottom"/>
            <w:gridSpan w:val="5"/>
          </w:tcPr>
          <w:p>
            <w:pPr>
              <w:ind w:left="180"/>
              <w:spacing w:after="0"/>
              <w:rPr>
                <w:sz w:val="20"/>
                <w:szCs w:val="20"/>
                <w:color w:val="auto"/>
              </w:rPr>
            </w:pPr>
            <w:r>
              <w:rPr>
                <w:rFonts w:ascii="Arial" w:cs="Arial" w:eastAsia="Arial" w:hAnsi="Arial"/>
                <w:sz w:val="14"/>
                <w:szCs w:val="14"/>
                <w:b w:val="1"/>
                <w:bCs w:val="1"/>
                <w:color w:val="auto"/>
              </w:rPr>
              <w:t>Series C Warrant</w:t>
            </w:r>
          </w:p>
        </w:tc>
        <w:tc>
          <w:tcPr>
            <w:tcW w:w="1840" w:type="dxa"/>
            <w:vAlign w:val="bottom"/>
            <w:gridSpan w:val="4"/>
          </w:tcPr>
          <w:p>
            <w:pPr>
              <w:ind w:left="160"/>
              <w:spacing w:after="0"/>
              <w:rPr>
                <w:sz w:val="20"/>
                <w:szCs w:val="20"/>
                <w:color w:val="auto"/>
              </w:rPr>
            </w:pPr>
            <w:r>
              <w:rPr>
                <w:rFonts w:ascii="Arial" w:cs="Arial" w:eastAsia="Arial" w:hAnsi="Arial"/>
                <w:sz w:val="14"/>
                <w:szCs w:val="14"/>
                <w:b w:val="1"/>
                <w:bCs w:val="1"/>
                <w:color w:val="auto"/>
              </w:rPr>
              <w:t>2017 PIPE Warrants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3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top w:val="single" w:sz="8" w:color="auto"/>
            </w:tcBorders>
            <w:gridSpan w:val="2"/>
          </w:tcPr>
          <w:p>
            <w:pPr>
              <w:jc w:val="center"/>
              <w:spacing w:after="0" w:line="106" w:lineRule="exact"/>
              <w:rPr>
                <w:sz w:val="20"/>
                <w:szCs w:val="20"/>
                <w:color w:val="auto"/>
              </w:rPr>
            </w:pPr>
            <w:r>
              <w:rPr>
                <w:rFonts w:ascii="Arial" w:cs="Arial" w:eastAsia="Arial" w:hAnsi="Arial"/>
                <w:sz w:val="12"/>
                <w:szCs w:val="12"/>
                <w:b w:val="1"/>
                <w:bCs w:val="1"/>
                <w:color w:val="auto"/>
              </w:rPr>
              <w:t>Purchase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Liability</w:t>
            </w:r>
          </w:p>
        </w:tc>
        <w:tc>
          <w:tcPr>
            <w:tcW w:w="920" w:type="dxa"/>
            <w:vAlign w:val="bottom"/>
            <w:gridSpan w:val="2"/>
            <w:vMerge w:val="continue"/>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Liability</w:t>
            </w:r>
          </w:p>
        </w:tc>
        <w:tc>
          <w:tcPr>
            <w:tcW w:w="104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Liability</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Contingent</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Warrants</w:t>
            </w:r>
          </w:p>
        </w:tc>
        <w:tc>
          <w:tcPr>
            <w:tcW w:w="840" w:type="dxa"/>
            <w:vAlign w:val="bottom"/>
            <w:gridSpan w:val="3"/>
            <w:vMerge w:val="continue"/>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800" w:type="dxa"/>
            <w:vAlign w:val="bottom"/>
            <w:gridSpan w:val="2"/>
            <w:vMerge w:val="continue"/>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485,121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6"/>
              </w:rPr>
              <w:t>352</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118,083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6,024,425</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$ 5,076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5,082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Change in value of Series A Warrants</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663</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Series C Warrants</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Change in value of 2017 PIPE Warrants</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2,960</w:t>
            </w:r>
          </w:p>
        </w:tc>
        <w:tc>
          <w:tcPr>
            <w:tcW w:w="1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contingent liability</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361</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485,121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1,015</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118,083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6,024,425</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$ 8,036</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5,443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Discontinued Operations and Assets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Assets held for sale and discontinued operations</w:t>
      </w:r>
    </w:p>
    <w:p>
      <w:pPr>
        <w:spacing w:after="0" w:line="11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Subsequent to the Merger with Essentialis described in Note 1, the Company explored opportunities to divest, sell or dispose of the CoSense, NeoForce, and Serenz businesses.</w:t>
      </w:r>
    </w:p>
    <w:p>
      <w:pPr>
        <w:spacing w:after="0" w:line="170" w:lineRule="exact"/>
        <w:rPr>
          <w:sz w:val="20"/>
          <w:szCs w:val="20"/>
          <w:color w:val="auto"/>
        </w:rPr>
      </w:pPr>
    </w:p>
    <w:p>
      <w:pPr>
        <w:jc w:val="both"/>
        <w:ind w:right="220" w:firstLine="456"/>
        <w:spacing w:after="0" w:line="302" w:lineRule="auto"/>
        <w:rPr>
          <w:sz w:val="20"/>
          <w:szCs w:val="20"/>
          <w:color w:val="auto"/>
        </w:rPr>
      </w:pPr>
      <w:r>
        <w:rPr>
          <w:rFonts w:ascii="Arial" w:cs="Arial" w:eastAsia="Arial" w:hAnsi="Arial"/>
          <w:sz w:val="16"/>
          <w:szCs w:val="16"/>
          <w:color w:val="auto"/>
        </w:rPr>
        <w:t>Under ASC 205-20-45-10, during the period in which a component meets the assets held for sale and discontinued operations criteria, an entity must present the assets and liabilities of the discontinued operation separately in the asset and liability sections of the balance sheet for the comparative reporting periods. The prior period balance sheet should be reclassified for the held for sale items. For income statements, the current and prior periods should report the results of operations of the component in discontinued operations when comparative income statements are presented.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Balance Sheet accounts presented as assets and liabilities held for sale follow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2120" w:type="dxa"/>
            <w:vAlign w:val="bottom"/>
            <w:gridSpan w:val="4"/>
          </w:tcPr>
          <w:p>
            <w:pPr>
              <w:ind w:left="900"/>
              <w:spacing w:after="0"/>
              <w:rPr>
                <w:sz w:val="20"/>
                <w:szCs w:val="20"/>
                <w:color w:val="auto"/>
              </w:rPr>
            </w:pPr>
            <w:r>
              <w:rPr>
                <w:rFonts w:ascii="Arial" w:cs="Arial" w:eastAsia="Arial" w:hAnsi="Arial"/>
                <w:sz w:val="14"/>
                <w:szCs w:val="14"/>
                <w:b w:val="1"/>
                <w:bCs w:val="1"/>
                <w:color w:val="auto"/>
                <w:w w:val="95"/>
              </w:rPr>
              <w:t>December 31, 2017</w:t>
            </w: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8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r>
      <w:tr>
        <w:trPr>
          <w:trHeight w:val="223"/>
        </w:trPr>
        <w:tc>
          <w:tcPr>
            <w:tcW w:w="4860" w:type="dxa"/>
            <w:vAlign w:val="bottom"/>
          </w:tcPr>
          <w:p>
            <w:pPr>
              <w:ind w:left="720"/>
              <w:spacing w:after="0"/>
              <w:rPr>
                <w:sz w:val="20"/>
                <w:szCs w:val="20"/>
                <w:color w:val="auto"/>
              </w:rPr>
            </w:pPr>
            <w:r>
              <w:rPr>
                <w:rFonts w:ascii="Arial" w:cs="Arial" w:eastAsia="Arial" w:hAnsi="Arial"/>
                <w:sz w:val="18"/>
                <w:szCs w:val="18"/>
                <w:color w:val="auto"/>
              </w:rPr>
              <w:t>Total current assets held for sale</w:t>
            </w: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90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1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w:t>
            </w: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9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 w:type="dxa"/>
            <w:vAlign w:val="bottom"/>
            <w:shd w:val="clear" w:color="auto" w:fill="CCEEFF"/>
          </w:tcPr>
          <w:p>
            <w:pPr>
              <w:spacing w:after="0"/>
              <w:rPr>
                <w:sz w:val="18"/>
                <w:szCs w:val="18"/>
                <w:color w:val="auto"/>
              </w:rPr>
            </w:pPr>
          </w:p>
        </w:tc>
      </w:tr>
      <w:tr>
        <w:trPr>
          <w:trHeight w:val="223"/>
        </w:trPr>
        <w:tc>
          <w:tcPr>
            <w:tcW w:w="4860" w:type="dxa"/>
            <w:vAlign w:val="bottom"/>
          </w:tcPr>
          <w:p>
            <w:pPr>
              <w:ind w:left="720"/>
              <w:spacing w:after="0"/>
              <w:rPr>
                <w:sz w:val="20"/>
                <w:szCs w:val="20"/>
                <w:color w:val="auto"/>
              </w:rPr>
            </w:pPr>
            <w:r>
              <w:rPr>
                <w:rFonts w:ascii="Arial" w:cs="Arial" w:eastAsia="Arial" w:hAnsi="Arial"/>
                <w:sz w:val="18"/>
                <w:szCs w:val="18"/>
                <w:color w:val="auto"/>
              </w:rPr>
              <w:t>Total long-term assets held for sale</w:t>
            </w: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90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6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1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other current liabilities</w:t>
            </w: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9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r>
      <w:tr>
        <w:trPr>
          <w:trHeight w:val="223"/>
        </w:trPr>
        <w:tc>
          <w:tcPr>
            <w:tcW w:w="4860" w:type="dxa"/>
            <w:vAlign w:val="bottom"/>
          </w:tcPr>
          <w:p>
            <w:pPr>
              <w:ind w:left="720"/>
              <w:spacing w:after="0"/>
              <w:rPr>
                <w:sz w:val="20"/>
                <w:szCs w:val="20"/>
                <w:color w:val="auto"/>
              </w:rPr>
            </w:pPr>
            <w:r>
              <w:rPr>
                <w:rFonts w:ascii="Arial" w:cs="Arial" w:eastAsia="Arial" w:hAnsi="Arial"/>
                <w:sz w:val="18"/>
                <w:szCs w:val="18"/>
                <w:color w:val="auto"/>
              </w:rPr>
              <w:t>Total current liabilities for sale</w:t>
            </w: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90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11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1,050</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long-term liabilities held for sale</w:t>
            </w:r>
          </w:p>
        </w:tc>
        <w:tc>
          <w:tcPr>
            <w:tcW w:w="11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Statements of Operations presented as Discontinued Operations follow (in thousands).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4"/>
                <w:szCs w:val="14"/>
                <w:color w:val="auto"/>
              </w:rPr>
            </w:pPr>
          </w:p>
        </w:tc>
        <w:tc>
          <w:tcPr>
            <w:tcW w:w="19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r>
      <w:tr>
        <w:trPr>
          <w:trHeight w:val="230"/>
        </w:trPr>
        <w:tc>
          <w:tcPr>
            <w:tcW w:w="20" w:type="dxa"/>
            <w:vAlign w:val="bottom"/>
          </w:tcPr>
          <w:p>
            <w:pPr>
              <w:spacing w:after="0"/>
              <w:rPr>
                <w:sz w:val="20"/>
                <w:szCs w:val="20"/>
                <w:color w:val="auto"/>
              </w:rPr>
            </w:pPr>
          </w:p>
        </w:tc>
        <w:tc>
          <w:tcPr>
            <w:tcW w:w="596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(1,784)</w:t>
            </w: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(1,755)</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Stock-based compensation expense classified in discontinued operations was $19,000 and $38,000 for the three months ended June 30, 2018 and 2017, respectively, and was $38,000 and $83,000 for the six months ended June 30, 2018 and 2017,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 NFI Sale</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 September 2, 2015, the Company established NFI, a previously wholly owned subsidiary of the Company and through NFI, acquired substantially all of the assets of an unrelated privately held company, NeoForce Group, Inc., or NeoForce.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July 18, 2017, the Company completed the sale of stock of its 100% wholly-owned subsidiary, NFI, primarily related to the Company’s portfolio of neonatology resuscitation business pursuant to the NFI Purchase Agreement, with NFI Holdings, a 100% owned subsidiary of Flexicare Medical Limited, a privately held United Kingdom company, for $720,000 and adjustments for inventory and the current cash balances held at NFI. The Company will also receive the total outstanding accounts receivable and inventory held by NFI at the date of sale, as it is collected or sold, respectively. The transactions contemplated by the NFI Purchase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Agreement are a continuation of a process previously disclosed by the Company of evaluating strategic alternatives and focusing on the Company’s rare disease therapeutic business. The NFI Purchase Agreement includes customary terms and conditions, including an adjustment to the purchase price based on inventory and accounts receivables, and provisions that require the Company to indemnify NFI Holdings for certain losses that it incurs as a result of a breach by the Company of its representations and warranties in the NFI Purchase Agreement and certain other matters. Proceeds from the sale are payable to the Company as follows: (1) a $720,000 payment to the Company in cash on July 18, 2017, (2) the value of outstanding accounts receivable as it is collected by NFI following July 18, 2017, payable on a monthly basis, and (3) the value of inventory as it is sold following July 18, 2017, payable on a monthly basis. The NFI Purchase Agreement contains customary representations and warranties of each of the parties.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(iii) CoSense Joint Venture Agreement</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December 2017, the Company entered into a joint venture with OAHL with respect to its CoSense product by agreeing to sell common shares of Capnia, its wholly-owned subsidiary, to OAHL. CoSense was Soleno’s first Sensalyze Technology Platform product to receive 510(k) clearances from the U.S. Food and Drug Administration, or FDA, and CE Mark certification. CoSense measures CO, which can be elevated due to endogenous causes such as excessive breakdown of red blood cells, or hemolysis, or exogenous causes such as CO poisoning and smoke inhalation. The first target market for CoSense is for the use of ETCO measurements to aid in detection of hemolysis in neonates, a disorder in which CO and bilirubin are produced in excess as byproducts of the breakdown of red blood cells. The Company’s entry into the joint venture results from a comprehensive review of strategic alternatives for its legacy products and product candidates following its transition to a primarily therapeutic drug product company. The terms of the Joint Venture Agreement provide that OAHL will invest up to a total of $2.2 million for Capnia’s common shares on an incremental quarterly basis commencing in December 2017. Going forward, OAHL will be responsible for funding a portion of the Capnia operations. Through June 30, 2018, OAHL had made incremental investment in the cumulative amount of $1,050,000 to fund Capnia’s operations. Capnia will issue common shares to OAHL when the cumulative investment made by OAHL equals or exceeds $1,200,000, and, as of June 30, 2018, Capnia had issued no shares of common stock to OAHL.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terms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The Company has issued multiple warrant series, of which the Series A Warrants, Series C Warrants and 2017 PIPE Warrants (the “Warrants”) are considered liabilities pursuant to the guidance established by </w:t>
      </w:r>
      <w:r>
        <w:rPr>
          <w:rFonts w:ascii="Arial" w:cs="Arial" w:eastAsia="Arial" w:hAnsi="Arial"/>
          <w:sz w:val="18"/>
          <w:szCs w:val="18"/>
          <w:i w:val="1"/>
          <w:iCs w:val="1"/>
          <w:color w:val="auto"/>
        </w:rPr>
        <w:t>ASC 815 Derivatives and Hedging.</w:t>
      </w:r>
    </w:p>
    <w:p>
      <w:pPr>
        <w:spacing w:after="0" w:line="8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Warrants contain standard anti-dilution provisions for stock dividends, stock splits, subdivisions, combinations and similar types of recapitalization events. The Series A and Series C Warrants also contain a cashless exercise feature that provides for their net share settlement at the option of the holder in the event that there is no effective registration statement covering the continuous offer and sale of the Series A Warrants and shares underlying the Series A Warrants, or the shares underlying the Series C Warrants, respectively. The Company is required to comply with certain requirements to cause or maintain the effectiveness of a registration statement for the offer and sale of the shares underlying the Warrants and for the offer and sale of the Series C Warrants. The Series A and Series C Warrants contracts further provide for the payment of liquidated damages at an amount per month equal to 1% of the aggregate volume weighted average price, or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proceeds related to the warrant financings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w:t>
      </w:r>
      <w:r>
        <w:rPr>
          <w:rFonts w:ascii="Arial" w:cs="Arial" w:eastAsia="Arial" w:hAnsi="Arial"/>
          <w:sz w:val="18"/>
          <w:szCs w:val="18"/>
          <w:i w:val="1"/>
          <w:iCs w:val="1"/>
          <w:color w:val="auto"/>
        </w:rPr>
        <w:t>ASC 815</w:t>
      </w:r>
      <w:r>
        <w:rPr>
          <w:rFonts w:ascii="Arial" w:cs="Arial" w:eastAsia="Arial" w:hAnsi="Arial"/>
          <w:sz w:val="18"/>
          <w:szCs w:val="18"/>
          <w:color w:val="auto"/>
        </w:rPr>
        <w:t>. As indicated above, the Company may be obligated to settle Warrants in cash in the case of a Fundamental Transaction.</w:t>
      </w:r>
    </w:p>
    <w:p>
      <w:pPr>
        <w:spacing w:after="0" w:line="103"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Company classified the Warrants, with a term greater than one year,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has issued 489,921 Series A Warrants to purchase shares of its Common Stock at an exercise price of $32.50 per share in connection with the unit offering offered in the Company’s initial public offering, or the IPO, in November 2014. The Series A Warrants are exercisable at any time prior to the expiration of the five-year term on November 12, 2019.</w:t>
      </w:r>
    </w:p>
    <w:p>
      <w:pPr>
        <w:spacing w:after="0" w:line="114"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Upon the completion of the IPO, the Series A Warrants started trading on the NASDAQ under the symbol SLNOW. As the Series A Warrants are publicly traded, the Company uses the closing price on the measurement date to determine the fair value of the Series A Warrants.</w:t>
      </w:r>
    </w:p>
    <w:p>
      <w:pPr>
        <w:spacing w:after="0" w:line="79"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Since their issuance, a total of 4,800 Series A Warrants have been exercised. As of June 30, 2018, the fair value of the 485,121 outstanding Series A Warrants was $1,015,000, which represents an increase of $724,000 and $663,000 in fair value during the three and six months ended June 30, 2018, respectively, both of which were recorded as other expense in the condensed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March 5, 2015, the Company entered into separate agreements with certain Series B Warrant holders, who agreed to exercise their Series B Warrants to purchase an aggregate of 117,902 shares of the Company’s Common Stock at an exercise price of $32.50 per share, resulting in the de-recognition of $6.7 million of the previously issued Series B Warrant liability and gross proceeds to the Company of approximately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$31.25 per share and will expire on March 5, 2020.</w:t>
      </w:r>
    </w:p>
    <w:p>
      <w:pPr>
        <w:spacing w:after="0" w:line="11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 April 2015, the Company issued a tender offer to the remaining holders of Series B Warrants to induce the holders to cash exercise the outstanding Series B Warrants in exchange for new Series C Warrants with an exercise price of $31.25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181 shares of the Company’s Common Stock, the issuance of 181 Series C Warrants and proceeds to the Company of $5,882.</w:t>
      </w:r>
    </w:p>
    <w:p>
      <w:pPr>
        <w:spacing w:after="0" w:line="9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Series C Warrants are exercisable into 118,083 shares of the Company’s Common Stock. As of June 30, 2018, the fair value of the Series C Warrants was determined to be $5,000, which represents an increase of $1,000 and a decrease of $1,000 in fair value during the three and six months ended June 30, 2018, respectively, which was recorded as other expense and other income in the condensed consolidated statements of operations, respectively.</w:t>
      </w:r>
    </w:p>
    <w:p>
      <w:pPr>
        <w:spacing w:after="0" w:line="66"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The Company has calculated the fair value of the Series C Warrants using a Black-Scholes pricing model. The Black-Scholes pricing model requires the input of highly subjective assumptions including the expected stock price volatility. The Company used the following inputs.</w:t>
      </w:r>
    </w:p>
    <w:p>
      <w:pPr>
        <w:spacing w:after="0" w:line="7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3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June 30, 2018</w:t>
            </w:r>
          </w:p>
        </w:tc>
        <w:tc>
          <w:tcPr>
            <w:tcW w:w="1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18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w:t>
            </w:r>
          </w:p>
        </w:tc>
        <w:tc>
          <w:tcPr>
            <w:tcW w:w="46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Expected term (years)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6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Risk-free rate</w:t>
            </w:r>
          </w:p>
        </w:tc>
        <w:tc>
          <w:tcPr>
            <w:tcW w:w="3280" w:type="dxa"/>
            <w:vAlign w:val="bottom"/>
            <w:gridSpan w:val="3"/>
          </w:tcPr>
          <w:p>
            <w:pPr>
              <w:jc w:val="right"/>
              <w:ind w:right="460"/>
              <w:spacing w:after="0"/>
              <w:rPr>
                <w:sz w:val="20"/>
                <w:szCs w:val="20"/>
                <w:color w:val="auto"/>
              </w:rPr>
            </w:pPr>
            <w:r>
              <w:rPr>
                <w:rFonts w:ascii="Arial" w:cs="Arial" w:eastAsia="Arial" w:hAnsi="Arial"/>
                <w:sz w:val="18"/>
                <w:szCs w:val="18"/>
                <w:color w:val="auto"/>
              </w:rPr>
              <w:t>2.46%</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2017 PIPE Offering</w:t>
      </w:r>
    </w:p>
    <w:p>
      <w:pPr>
        <w:spacing w:after="0" w:line="117" w:lineRule="exact"/>
        <w:rPr>
          <w:sz w:val="20"/>
          <w:szCs w:val="20"/>
          <w:color w:val="auto"/>
        </w:rPr>
      </w:pPr>
    </w:p>
    <w:p>
      <w:pPr>
        <w:jc w:val="both"/>
        <w:ind w:right="80" w:firstLine="456"/>
        <w:spacing w:after="0" w:line="279" w:lineRule="auto"/>
        <w:rPr>
          <w:sz w:val="20"/>
          <w:szCs w:val="20"/>
          <w:color w:val="auto"/>
        </w:rPr>
      </w:pPr>
      <w:r>
        <w:rPr>
          <w:rFonts w:ascii="Arial" w:cs="Arial" w:eastAsia="Arial" w:hAnsi="Arial"/>
          <w:sz w:val="17"/>
          <w:szCs w:val="17"/>
          <w:color w:val="auto"/>
        </w:rPr>
        <w:t>The 2017 PIPE Warrants were issued on December 15, 2017 in the 2017 PIPE Offering, pursuant to a Warrant Agreement with each of the investors in the 2017 PIPE Offering, and entitle the holder to purchase one share of the Company’s common stock at an exercise price equal to $2.00 per share, subject to adjustment as discussed below, at any time commencing upon issuance of the 2017 PIPE Warrants and terminating at the earlier of December 15, 2020 or 30 days following positive Phase III results for Diazoxide Choline Controlled-Release (DCCR) tablet in PWS.</w:t>
      </w:r>
    </w:p>
    <w:p>
      <w:pPr>
        <w:spacing w:after="0" w:line="10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2017 PIPE Warrants may be adjusted in certain circumstances, including in the event of a stock split, stock dividend, extraordinary dividend, or recapitalization, reorganization, merger or consolidation. However, the exercise price of the 2017 PIPE Warrants will not be reduced below $1.72.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June 30, 2018, the fair value of the PIPE Warrants was determined to be approximately $8.0 million, which represents an increase of $3.1 million and $3.0 million in fair value during the three and six months ended June 30, 2018, respectively, both of which were recorded as other expense in the condensed consolidated statements of operations.</w:t>
      </w:r>
    </w:p>
    <w:p>
      <w:pPr>
        <w:spacing w:after="0" w:line="7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Company has calculated the fair value of the 2017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4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0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Expected term (years)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Risk-free rate</w:t>
            </w:r>
          </w:p>
        </w:tc>
        <w:tc>
          <w:tcPr>
            <w:tcW w:w="3280" w:type="dxa"/>
            <w:vAlign w:val="bottom"/>
            <w:gridSpan w:val="3"/>
          </w:tcPr>
          <w:p>
            <w:pPr>
              <w:jc w:val="right"/>
              <w:ind w:right="360"/>
              <w:spacing w:after="0"/>
              <w:rPr>
                <w:sz w:val="20"/>
                <w:szCs w:val="20"/>
                <w:color w:val="auto"/>
              </w:rPr>
            </w:pPr>
            <w:r>
              <w:rPr>
                <w:rFonts w:ascii="Arial" w:cs="Arial" w:eastAsia="Arial" w:hAnsi="Arial"/>
                <w:sz w:val="18"/>
                <w:szCs w:val="18"/>
                <w:color w:val="auto"/>
              </w:rPr>
              <w:t>2.33%</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1.76%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July 1, 2015 the Company executed a new four-year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 and in December 2017 the Company subleased this additional space to a third party through the end of the lease term.</w:t>
      </w:r>
    </w:p>
    <w:p>
      <w:pPr>
        <w:spacing w:after="0" w:line="7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Company also leases office space under a non-cancelable operating lease agreement that was set to expire in May 2015, and in February 2015 the Company signed an amendment to its lease agreement, extending the lease through June 2018. The amendment provides for monthly lease payments of $22,000 beginning in June 2015, with increases in the following two years. The Company subleased this facility in January 2016.</w:t>
      </w:r>
    </w:p>
    <w:p>
      <w:pPr>
        <w:spacing w:after="0" w:line="5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Rent expense was $83,000 and $208,000 for the three months ended June 30, 2018 and 2017, respectively, and was $168,000 and $343,000 for the six months ended June 30,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issued a total of 13,780 shares of Series B Convertible Preferred Stock under the 2016 Sabby Purchase Agreement, with a par value of $0.001 and a stated value of $1,000 per share. The Series B Convertible Preferred Stock is convertible to Common Stock of the Company at the rate of 200 shares of Common Stock for each converted share of Series B Convertible Preferred Stock.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The Series B Convertible Preferred Stock do not have an expiration date and are not redeemable at the option of the holders. In connection with each close of the Series B Convertible Preferred Stock, the Company was obligated to repurchase the remaining outstanding Series A Convertible Preferred Stock at the original issuance price. In addition, the exercise price of the existing Series D Warrants originally issued in conjunction with the 2015 Sabby Purchase Agreement was reduced from $12.30 to $8.75 per share on the effective date of the 2016 Sabby Purchase Agreement. Sabby converted 1,000 shares of Series B Convertible Preferred Stock into 200,000 shares of Common Stock during 2016.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During the six months ended June 30, 2018 and 2017 Sabby converted 4,571 and 601 shares of Series B Convertible Preferred stock into 914,200 and 120,200 shares of Common Stock, respectively. As of June 30, 2018, there were no shares of Series B Convertible Preferred Stock outstanding.</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December 22, 2016, the Company entered into the Merger Agreement with Essentialis. Consummation of the Merger was subject to various closing conditions, including the Company’s consummation of a financing of at least $8 million at, or substantially contemporaneous with, the closing of the Merger, which occurred on March 7, 2017 and the receipt of stockholder approval of the Merger at a special meeting of stockholders, which the Company received on March 6, 2017.</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March 7, 2017, the Company completed the Merger with Essentialis and issued 3,783,388 shares of common stock to shareholders of Essentialis. Pursuant to the terms of the Merger Agreement, the Company held back shares of common stock as partial recourse to satisfy indemnification claims. Effective March 7, 2018, on the 1-year anniversary of the closing of the merger, the Company issued 180,667 shares for the previously held back amount. In the second quarter of 2018 there were 903,367 additional shares of common stock issued upon the achievement of a development milestone. In total, 4,867,422 shares of common stock were issued to Essentialis stockholders. Additionally, upon the achievement of certain commercial milestones associated with the sale of Essentialis’ product in accordance with the terms of the Merger Agreement, the Company is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18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January 27, 2017, the Company entered into the 2017 Aspire Purchase Agreement with Aspire Capital, which provides that, upon the terms and subject to the conditions and limitations set forth therein, Aspire Capital is committed to purchase up to an aggregate of $17.0 million in value of shares of the Company’s common stock over the 30-month term of the purchase agreement. Further, on the date of the closing of the financing, as defined in the Merger Agreement, the Company shall sell to Aspire Capital, and Aspire Capital shall purchase from the Company an aggregate of $2.0 million of the Company’s common stock.</w:t>
      </w:r>
    </w:p>
    <w:p>
      <w:pPr>
        <w:spacing w:after="0" w:line="18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December 2017, the Company entered into a Securities Purchase Agreement, or the Unit Purchase Agreement, with purchasers of the Company’s securities pursuant to which the Company sold and issued 8,141,116 immediately separable units at a price per unit of $1.84 for aggregate gross proceeds of approximately $15.0 million. Each unit consisted of one share of the Company’s common stock and a warrant to purchase 0.74 of a share of the Company’s common stock at an exercise price of $2.00 per share, for an aggregate of 8,141,116 shares of common stock, and corresponding warrants, or the 2017 PIPE Warrants, to purchase 6,024,425 shares of common stock. Soleno refers to the Shares and the Warrant Shares collectively as the Resale Shares. The Company also granted certain registration rights to the investors pursuant to the Unit Purchase Agreement pursuant to which, among other things, the Company prepared and filed a registration statement with the SEC to register for resale the Resale Shares. The registration statement was declared effective in February 2018.</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11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Company has adopted the 1999 Incentive Stock Plan, the 2010 Equity Incentive Plan, and the 2014 Equity Incentive Plan, or the 2014 Plan, and together, the Plans. The 1999 Incentive Stock Plan expired in 2009, and the 2010 Equity Incentive Plan has been closed to new issuances.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of Directors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There have been no grants of stock appreciation rights, performance units or performance shares as of June 30, 2018. As of June 30, 2018, a total of 1,150,218 shares are available for future grant under the 2014 Plan.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The Company recognized stock-based compensation expense related to options and restricted stock units granted to employees, directors and consultants for the three months ended June 30, 2018 and 2017 of $198,000 and $443,000, respectively of which $19,000 and $38,000 was recorded in discontinued operations during the three months ended June 30, 2018 and 2017, respectively. Stock-based compensation expense related to options and restricted stock units granted to employees, directors and consultants for the six months ended June 30, 2018 and 2017 of $558,000 and $628,000, respectively of which $38,000 and $83,000 was recorded in discontinued operations during the six months ended June 30, 2018 and 2017, respectively. The compensation expense is allocated on a departmental basis, based on the classification of the option holder.</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compensation expense was allocated between departments in continuing operations as follows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4"/>
                <w:szCs w:val="14"/>
                <w:color w:val="auto"/>
              </w:rPr>
            </w:pPr>
          </w:p>
        </w:tc>
        <w:tc>
          <w:tcPr>
            <w:tcW w:w="194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84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140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380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r>
      <w:tr>
        <w:trPr>
          <w:trHeight w:val="27"/>
        </w:trPr>
        <w:tc>
          <w:tcPr>
            <w:tcW w:w="3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520</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w:t>
            </w:r>
          </w:p>
        </w:tc>
      </w:tr>
      <w:tr>
        <w:trPr>
          <w:trHeight w:val="20"/>
        </w:trPr>
        <w:tc>
          <w:tcPr>
            <w:tcW w:w="3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Company granted options to purchase 119,586 and 610,755 shares of the Company’s common stock during the three months ended June 30, 2018 and 2017, respectively, and granted options to purchase 736,086 and 622,755 shares of the Company’s common stock during the six months ended June 30, 2018 and 2017, respectively. The fair value of each award granted was estimated on the date of grant using the Black-Scholes option pricing model with the following assumptions.</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14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71"/>
        </w:trPr>
        <w:tc>
          <w:tcPr>
            <w:tcW w:w="65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5.78-6.08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5.5-6.02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5.5-6.08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2.8%</w:t>
            </w: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1.9%-2.1%</w:t>
            </w:r>
          </w:p>
        </w:tc>
        <w:tc>
          <w:tcPr>
            <w:tcW w:w="20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w w:val="96"/>
              </w:rPr>
              <w:t>2.7%-2.8%  1.9%-2.2%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61%-69%</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Dividend rate</w:t>
            </w:r>
          </w:p>
        </w:tc>
        <w:tc>
          <w:tcPr>
            <w:tcW w:w="780" w:type="dxa"/>
            <w:vAlign w:val="bottom"/>
            <w:gridSpan w:val="2"/>
          </w:tcPr>
          <w:p>
            <w:pPr>
              <w:jc w:val="center"/>
              <w:ind w:right="20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 %</w:t>
            </w:r>
          </w:p>
        </w:tc>
        <w:tc>
          <w:tcPr>
            <w:tcW w:w="800" w:type="dxa"/>
            <w:vAlign w:val="bottom"/>
          </w:tcPr>
          <w:p>
            <w:pPr>
              <w:jc w:val="center"/>
              <w:spacing w:after="0"/>
              <w:rPr>
                <w:sz w:val="20"/>
                <w:szCs w:val="20"/>
                <w:color w:val="auto"/>
              </w:rPr>
            </w:pPr>
            <w:r>
              <w:rPr>
                <w:rFonts w:ascii="Arial" w:cs="Arial" w:eastAsia="Arial" w:hAnsi="Arial"/>
                <w:sz w:val="18"/>
                <w:szCs w:val="18"/>
                <w:color w:val="auto"/>
              </w:rPr>
              <w:t>— %</w:t>
            </w:r>
          </w:p>
        </w:tc>
      </w:tr>
    </w:tbl>
    <w:p>
      <w:pPr>
        <w:spacing w:after="0" w:line="147" w:lineRule="exact"/>
        <w:rPr>
          <w:sz w:val="20"/>
          <w:szCs w:val="20"/>
          <w:color w:val="auto"/>
        </w:rPr>
      </w:pPr>
    </w:p>
    <w:p>
      <w:pPr>
        <w:jc w:val="both"/>
        <w:ind w:right="420" w:firstLine="456"/>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w:t>
      </w:r>
    </w:p>
    <w:p>
      <w:pPr>
        <w:spacing w:after="0" w:line="7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estimated volatility rate based on a peer index of common stock of comparable companies in the Company’s industry.</w:t>
      </w:r>
    </w:p>
    <w:p>
      <w:pPr>
        <w:spacing w:after="0" w:line="153" w:lineRule="exact"/>
        <w:rPr>
          <w:rFonts w:ascii="Arial" w:cs="Arial" w:eastAsia="Arial" w:hAnsi="Arial"/>
          <w:sz w:val="16"/>
          <w:szCs w:val="16"/>
          <w:color w:val="auto"/>
        </w:rPr>
      </w:pPr>
    </w:p>
    <w:p>
      <w:pPr>
        <w:jc w:val="both"/>
        <w:ind w:left="900" w:right="8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life of stock options represents the average of the contractual term of the options and the weighted-average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as permitted under the simplified method. The Company has elected to use the simplified method, as the Company does not have enough historical exercise experience to provide a reasonable basis upon which to estimate the expected term and the stock option grants are considered “plain vanilla” options.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Risk-free rate: </w:t>
      </w:r>
      <w:r>
        <w:rPr>
          <w:rFonts w:ascii="Arial" w:cs="Arial" w:eastAsia="Arial" w:hAnsi="Arial"/>
          <w:sz w:val="16"/>
          <w:szCs w:val="16"/>
          <w:color w:val="auto"/>
        </w:rPr>
        <w:t>The risk-free interest rate is based on the yields of U.S. Treasury securities with maturities similar to the expected time to liquidity.</w:t>
      </w:r>
    </w:p>
    <w:p>
      <w:pPr>
        <w:spacing w:after="0" w:line="153" w:lineRule="exact"/>
        <w:rPr>
          <w:rFonts w:ascii="Arial" w:cs="Arial" w:eastAsia="Arial" w:hAnsi="Arial"/>
          <w:sz w:val="16"/>
          <w:szCs w:val="16"/>
          <w:color w:val="auto"/>
        </w:rPr>
      </w:pPr>
    </w:p>
    <w:p>
      <w:pPr>
        <w:ind w:left="900" w:right="2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does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transactions for the six months ended June 30, 2018 as issued under the Plans: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58"/>
        </w:trPr>
        <w:tc>
          <w:tcPr>
            <w:tcW w:w="4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w w:val="94"/>
              </w:rPr>
              <w:t>Number of</w:t>
            </w:r>
          </w:p>
        </w:tc>
        <w:tc>
          <w:tcPr>
            <w:tcW w:w="1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Weighted-Average</w:t>
            </w:r>
          </w:p>
        </w:tc>
        <w:tc>
          <w:tcPr>
            <w:tcW w:w="11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Options</w:t>
            </w:r>
          </w:p>
        </w:tc>
        <w:tc>
          <w:tcPr>
            <w:tcW w:w="1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 per</w:t>
            </w: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76"/>
        </w:trPr>
        <w:tc>
          <w:tcPr>
            <w:tcW w:w="4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5"/>
                <w:szCs w:val="15"/>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w:t>
            </w: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1,026,987</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9.99</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6"/>
              </w:rPr>
              <w:t>7.94</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736,086</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1.68</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6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Options canceled/forfeited</w:t>
            </w:r>
          </w:p>
        </w:tc>
        <w:tc>
          <w:tcPr>
            <w:tcW w:w="66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(95,177)</w:t>
            </w:r>
          </w:p>
        </w:tc>
        <w:tc>
          <w:tcPr>
            <w:tcW w:w="24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14.63</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1,667,896</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6"/>
              </w:rPr>
              <w:t>8.75</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Options vested at June 30, 2018</w:t>
            </w: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656,360</w:t>
            </w:r>
          </w:p>
        </w:tc>
        <w:tc>
          <w:tcPr>
            <w:tcW w:w="8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740" w:type="dxa"/>
            <w:vAlign w:val="bottom"/>
          </w:tcPr>
          <w:p>
            <w:pPr>
              <w:spacing w:after="0"/>
              <w:rPr>
                <w:sz w:val="18"/>
                <w:szCs w:val="18"/>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79"/>
              </w:rPr>
              <w:t>7.91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8"/>
              </w:rPr>
              <w:t>Options vested and expected to vest at June 30, 2018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1,667,896</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6.06</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6"/>
              </w:rPr>
              <w:t>8.75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weighted-average grant date fair value of employee options granted was $1.09 and $3.05 per share for the six months ended June 30, 2018 and 2017, respectively. At June 30, 2018, total unrecognized employee stock-based compensation was $1.6 million, which is expected to be recognized over the weighted-average remaining vesting period of 2.9 years. As of June 30, 2018, the outstanding stock options had an intrinsic value of $0.5 million.</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Stock-based compensation related to its grant of options to non-employees has not been material to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There were 99,217 restricted stock units granted by the Company during the six months ended June 30, 2018 to employees and nonemployees. The shares were 100% vested on the grant date and were valued based on the Company’s common stock price on the grant date, with all of the related stock-based compensation expense recognized at that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Soleno’s board of directors and stockholders have adopted the 2014 Employee Stock Purchase Plan, or the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60" w:lineRule="exact"/>
        <w:rPr>
          <w:sz w:val="20"/>
          <w:szCs w:val="20"/>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of the outstanding shares of the Company’s Common Stock on the first day of such year; 55,936 shares;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amount as determined by the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2018, there were no purchases by employees under the ESPP.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issued 256,064 Series D Warrants in October 2015, which are exercisable into 586,182 shares of the company’s Common Stock, with an exercise price of $12.30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requirements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 indicated above, the Company is not required under any circumstance to settle any Series D Warrant exercise for cash. The Company has therefore classified the value of the Series D Warrants as permanent equity.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As of June 30, 2018, the Company had 102,070 Common Stock warrants outstanding from the 2010/2012 convertible notes, with an exercise price of $24.35 and a term of 10 years expiring in November 2024. The Company also had outstanding 1,851 Common Stock warrants issued in 2009, with an exercise price of $108.00 and a term of 10 years, expiring in January 2019 and 16,500 Common Stock warrants issued to the underwriter in the Company’s IPO, with an exercise price of $35.70 and a term of 10 years, expiring in November 2024.</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loss per share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warrants and options. For the three and six months ended June 30, 2018 and 2017, the effect of issuing the potential Common Stock is anti-dilutive due to the net losses in those periods and the number of shares used to compute basic and diluted earnings per share are the same in each of those periods.</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940" w:type="dxa"/>
            <w:vAlign w:val="bottom"/>
            <w:gridSpan w:val="4"/>
          </w:tcPr>
          <w:p>
            <w:pPr>
              <w:ind w:left="520"/>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6740" w:type="dxa"/>
            <w:vAlign w:val="bottom"/>
          </w:tcPr>
          <w:p>
            <w:pPr>
              <w:spacing w:after="0"/>
              <w:rPr>
                <w:sz w:val="12"/>
                <w:szCs w:val="12"/>
                <w:color w:val="auto"/>
              </w:rPr>
            </w:pPr>
          </w:p>
        </w:tc>
        <w:tc>
          <w:tcPr>
            <w:tcW w:w="7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2,435,800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Warrants issued to 2010/2012 convertible note holders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102,070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102,070</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1,667,896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1,182,803</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Warrants issued in 2009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1,851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1,851</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to underwriter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Series A warrants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485,121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485,121</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118,083</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Series D warrants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586,182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586,162</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2017 PIPE 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6,024,425</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9,002,128</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4,928,390</w:t>
            </w:r>
          </w:p>
        </w:tc>
        <w:tc>
          <w:tcPr>
            <w:tcW w:w="6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Contingent Consideration</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On March 7, 2017, the Company acquired Essentialis through the Merger of the Company’s wholly-owned subsidiary, Company E Merger Sub, Inc., a Delaware corporation, or the Merger Sub, whereby Merger Sub merged into Essentialis, with Essentialis surviving the merger as a wholly owned subsidiary of the Company.</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transaction has been accounted for as an asset acquisition under the acquisition method of accounting. The amendments in ASU 2017-01 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of assets and activities is not a business.</w:t>
      </w:r>
    </w:p>
    <w:p>
      <w:pPr>
        <w:spacing w:after="0" w:line="14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Upon the achievement of certain commercial milestones associated with the sale of Essentialis’ product in accordance with the terms of the Merger Agreement, the Company is obligated to make cash earnout payments of up to a maximum of $30 million to Essentialis stockholders. The agreement to pay cash upon the achievement of the commercial milestones results in the recognition of a contingent consideration. The fair value of the contingent cash consideration is based on the Company’s analysis of the likelihood of the drug indication moving from phase II through approval in the Federal Drug Administration approval process and then reaching the cumulative revenue milestones.</w:t>
      </w:r>
    </w:p>
    <w:p>
      <w:pPr>
        <w:spacing w:after="0" w:line="17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Management engaged independent professional assistance and advice in order to assess the fair value of the contingent stock and cash consideration as of March 7, 2017 and December 31, 2017. During the process of determining the fair value of the contingent consideration at December 31, 2017, the Company became aware that certain of the subjective assumptions made at the time of the initial valuation should be modified based upon management’s increased understanding of the commercial capabilities of the DCCR drug. Accordingly, the Company determined that it was appropriate to adjust the provisional valuation amounts recorded for the contingent stock and cash consideration made at the inception in March 2017. As a result, the value of the contingent cash consideration to be paid upon completing successive sales milestones increased and the value of the contingent stock consideration payable upon timing milestones was reduced; the resulting combined change to the total contingent consideration was not material. The initial valuation of the contingent consideration determined the fair value of the contingent stock consideration to be $4.2 million and the fair value of the contingent cash consideration to be $1.1 million, for the combined value of $5.3 million. The revision of the initial valuation of the contingent consideration, made within the measurement period, determined the fair value of the contingent stock consideration to be $2.7 million and the fair value of the contingent cash consideration to be $2.6 million, for the combined value of $5.3 million.</w:t>
      </w:r>
    </w:p>
    <w:p>
      <w:pPr>
        <w:spacing w:after="0" w:line="18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Also subsequent to March 7, 2017 and prior to December 31, 2017, the Company completed its assessment of the tax effect on the net assets acquired by obtaining the independent study and report regarding the change in control in the previously outstanding stock of Essentialis. As a result of completing the study, the Company determined that, pursuant to Section 382 of the Internal Revenue Code, the utilization of Essentialis’s federal and state operating loss carryforwards were limited, which required the Company to record a net deferred tax liability in the amount of $1.7 million, deferred to future periods, as an element of the assets acquired. As a consequence of recording the net deferred tax liability, the Company’s valuation allowance was reduced by $1.7 million, which resulted in the provision for income tax benefit and an increase in the value of the intangible asset acquired.</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probability weighted milestone payments were discounted to determine the present value of future cash payments. The analysis utilized the weighted average cost of capital, or WACC, discount rate which was estimated to be 20%.</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fair value of the liability for the contingent consideration payable by the Company achieving the commercial sales milestones of $100 million and $200 million was initially established as approximately $2.6 million at the time of the merger and approximately $5.4 million at June 30, 2018, based on the Company’s assessment that it could reach the commercial sales milestones in 2024 and 2026, respectively.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Compensation Plan for Board Members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2017, the Compensation Committee of the Board of Directors recommended, and the Board approved a revised compensation plan pursuant to which all board fees are paid in Common Stock of the Company. Payment to the Board of Directors in shares of the Company’s Common Stock is made after the close of the quarter in which the compensation is earned. During the six months ended June 30, 2018 and 2017, the Company issued 77,444 and 31,550 shares, respectively, of Common Stock to its Board members for fees earned.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2017, and the related Management’s Discussion and Analysis of Financial Condition and Results of Operations, contained in the Company’s Form 10-K for the year ended December 31, 2017.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were incorporated in the State of Delaware on August 25, 1999, and are located in Redwood City, California. On May 8, 2017, we received stockholder approval to amend our Amended and Restated Certificate of Incorporation to change our name from “Capnia, Inc.” to “Soleno Therapeutics, Inc.” We were initially established as a diversified healthcare company that developed and commercialized innovative diagnostics, devices and therapeutics addressing unmet medical needs, which consisted of: precision metering of gas flow technology marketed as Serenz </w:t>
      </w:r>
      <w:r>
        <w:rPr>
          <w:rFonts w:ascii="Arial" w:cs="Arial" w:eastAsia="Arial" w:hAnsi="Arial"/>
          <w:sz w:val="15"/>
          <w:szCs w:val="15"/>
          <w:color w:val="auto"/>
        </w:rPr>
        <w:t>®</w:t>
      </w:r>
      <w:r>
        <w:rPr>
          <w:rFonts w:ascii="Arial" w:cs="Arial" w:eastAsia="Arial" w:hAnsi="Arial"/>
          <w:sz w:val="18"/>
          <w:szCs w:val="18"/>
          <w:color w:val="auto"/>
        </w:rPr>
        <w:t xml:space="preserve"> Allergy Relief, or Serenz; CoSense </w:t>
      </w:r>
      <w:r>
        <w:rPr>
          <w:rFonts w:ascii="Arial" w:cs="Arial" w:eastAsia="Arial" w:hAnsi="Arial"/>
          <w:sz w:val="15"/>
          <w:szCs w:val="15"/>
          <w:color w:val="auto"/>
        </w:rPr>
        <w:t>®</w:t>
      </w:r>
      <w:r>
        <w:rPr>
          <w:rFonts w:ascii="Arial" w:cs="Arial" w:eastAsia="Arial" w:hAnsi="Arial"/>
          <w:sz w:val="18"/>
          <w:szCs w:val="18"/>
          <w:color w:val="auto"/>
        </w:rPr>
        <w:t xml:space="preserv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8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previously wholly-owned subsidiary NFI also marketed innovative pulmonary resuscitation solutions for the inpatient and ambulatory neonatal markets.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December 22, 2016, we entered into the Merger Agreement with Essentialis. Essentialis’s efforts prior to the Merger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DCCR as a treatment for PWS, a complex metabolic/neurobehavioral disorder. DCCR has orphan designation for the treatment of PWS in the U.S. as well as in the E.U. Consummation of the Merger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was held on March 6, 2017.</w:t>
      </w:r>
    </w:p>
    <w:p>
      <w:pPr>
        <w:spacing w:after="0" w:line="18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subsequently explored opportunities, and made a decision to divest, sell or otherwise dispose of the CoSense, NeoForce and Serenz businesses. Accordingly, and pursuant to ASC 205-20-45-10, the assets and liabilities related to the discontinued operations of CoSense, NeoForce and Serenz businesses are presented separately in the Balance Sheet as held for sale items, and the related operations reported herein for the CoSense, NeoForce and Serenz businesses are reported as discontinued operations in the Statement of Operations.</w:t>
      </w:r>
    </w:p>
    <w:p>
      <w:pPr>
        <w:spacing w:after="0" w:line="18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We now focus on the development and commercialization of novel therapeutics for the treatment of rare diseases. Our current research and development efforts are primarily focused on advancing our lead candidate, DCCR tablets for the treatment of PWS, into late-stage clinical development.</w:t>
      </w:r>
    </w:p>
    <w:p>
      <w:pPr>
        <w:spacing w:after="0" w:line="12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sold NFI in a stock transaction that was completed on July 18, 2017, pursuant to the NFI Purchase Agreement with Neoforce Holdings, a wholly-owned subsidiary of Flexicare Medical Limited, a privately-held United Kingdom company, for $720,000 and adjustments for inventory and the current cash balances held at NFI (see Note 5).</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December 4, 2017, we, and our wholly-owned subsidiary, Capnia, entered into a joint venture with OAHL with the purpose of developing and commercializing CoSense.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continue to separately evaluate alternatives for our Serenz portfolio.</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July 27, 2018 the FDA has granted Fast Track designation to DCCR for the treatment of PWS. Soleno is currently conducting a Phase III clinical trial of DCCR for the treatment of PWS.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 from continuing operations</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5"/>
          </w:tcPr>
          <w:p>
            <w:pPr>
              <w:jc w:val="center"/>
              <w:ind w:left="376"/>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98"/>
              </w:rPr>
              <w:t>Amount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Borders>
              <w:top w:val="single" w:sz="8" w:color="auto"/>
            </w:tcBorders>
            <w:gridSpan w:val="6"/>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$ 1,714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941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720"/>
              <w:spacing w:after="0"/>
              <w:rPr>
                <w:sz w:val="20"/>
                <w:szCs w:val="20"/>
                <w:color w:val="auto"/>
              </w:rPr>
            </w:pPr>
            <w:r>
              <w:rPr>
                <w:rFonts w:ascii="Arial" w:cs="Arial" w:eastAsia="Arial" w:hAnsi="Arial"/>
                <w:sz w:val="18"/>
                <w:szCs w:val="18"/>
                <w:color w:val="auto"/>
              </w:rPr>
              <w:t>Operating loss</w:t>
            </w: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(3,413)</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7"/>
              </w:rPr>
              <w:t>(2,968)</w:t>
            </w:r>
          </w:p>
        </w:tc>
        <w:tc>
          <w:tcPr>
            <w:tcW w:w="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(445)</w:t>
            </w:r>
          </w:p>
        </w:tc>
        <w:tc>
          <w:tcPr>
            <w:tcW w:w="48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Cease-use income</w:t>
            </w:r>
          </w:p>
        </w:tc>
        <w:tc>
          <w:tcPr>
            <w:tcW w:w="840" w:type="dxa"/>
            <w:vAlign w:val="bottom"/>
            <w:gridSpan w:val="4"/>
          </w:tcPr>
          <w:p>
            <w:pPr>
              <w:jc w:val="right"/>
              <w:ind w:right="2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warrants liabilities</w:t>
            </w: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(3,834)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(3,743)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(3,713)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Loss from continuing operations</w:t>
            </w: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(7,214)</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7"/>
              </w:rPr>
              <w:t>(3,056)</w:t>
            </w:r>
          </w:p>
        </w:tc>
        <w:tc>
          <w:tcPr>
            <w:tcW w:w="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7"/>
              </w:rPr>
              <w:t>(4,158)</w:t>
            </w:r>
          </w:p>
        </w:tc>
        <w:tc>
          <w:tcPr>
            <w:tcW w:w="48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340"/>
              <w:spacing w:after="0"/>
              <w:rPr>
                <w:sz w:val="20"/>
                <w:szCs w:val="20"/>
                <w:color w:val="auto"/>
              </w:rPr>
            </w:pPr>
            <w:r>
              <w:rPr>
                <w:rFonts w:ascii="Arial" w:cs="Arial" w:eastAsia="Arial" w:hAnsi="Arial"/>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(7,637</w:t>
            </w:r>
          </w:p>
        </w:tc>
        <w:tc>
          <w:tcPr>
            <w:tcW w:w="26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6"/>
              </w:rPr>
              <w:t>(3,969</w:t>
            </w:r>
          </w:p>
        </w:tc>
        <w:tc>
          <w:tcPr>
            <w:tcW w:w="2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6"/>
              </w:rPr>
              <w:t>(3,668</w:t>
            </w:r>
          </w:p>
        </w:tc>
        <w:tc>
          <w:tcPr>
            <w:tcW w:w="48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have yet not commenced commercialization of DCCR, our current sole novel therapeutic product, and accordingly, through June 30, 2018, have generated no revenue in continuing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 of $1.7 million for the three months ended June 30, 2018 increased by $941,000 over the three months ended</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June 30, 2017, resulting primarily from expenditures for the Phase III trial of DCCR that the Company commenced in May 2018 in its efforts directed toward development of DCCR which we acquired with the Essentialis acquisition in March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 of $1.8 million for the three months ended June 30, 2018 decreased $429,000 from the three months ended June 30,</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2017. The decrease was primarily a result of a decrease in personnel related costs of $281,000 due to planned headcount reductions as well as a $156,000 decrease in spending for professional fees as the Company continues to curb and monitor spending for only DCCR.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$67,000 for the three months ended June 30, 2018 represents the change in the fair value of the additional consideration that we expect to pay Essentialis stockholders based on an expected likelihood of achieving commercial sales milestones of $100 million and $200 million. There was no change in the fair value of this contingent consideration during the three months ended June 30,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Net other expense of $3.8 million in the three months ended June 30, 2018, increased by $3.7 million from net other expense of $88,000 in the three months ended June 30, 2017. This increase was primarily due to a $3.7 million increase in the fair value for the Company’s outstanding warrants during the three months ended June 30, 2018, primarily for the 2017 PIPE warrants, and to a lesser extent, the Series A warrants.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 from continuing operations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Six Months Ended</w:t>
            </w:r>
          </w:p>
        </w:tc>
        <w:tc>
          <w:tcPr>
            <w:tcW w:w="220" w:type="dxa"/>
            <w:vAlign w:val="bottom"/>
          </w:tcPr>
          <w:p>
            <w:pPr>
              <w:spacing w:after="0"/>
              <w:rPr>
                <w:sz w:val="14"/>
                <w:szCs w:val="14"/>
                <w:color w:val="auto"/>
              </w:rPr>
            </w:pPr>
          </w:p>
        </w:tc>
        <w:tc>
          <w:tcPr>
            <w:tcW w:w="194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left="414"/>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Amount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right="10"/>
              <w:spacing w:after="0" w:line="142" w:lineRule="exact"/>
              <w:rPr>
                <w:sz w:val="20"/>
                <w:szCs w:val="20"/>
                <w:color w:val="auto"/>
              </w:rPr>
            </w:pPr>
            <w:r>
              <w:rPr>
                <w:rFonts w:ascii="Arial" w:cs="Arial" w:eastAsia="Arial" w:hAnsi="Arial"/>
                <w:sz w:val="14"/>
                <w:szCs w:val="14"/>
                <w:color w:val="auto"/>
                <w:w w:val="92"/>
              </w:rPr>
              <w:t>(in 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2,894</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w w:val="96"/>
              </w:rPr>
              <w:t>$ 1,100</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$ 1,794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3,633</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3,214</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419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361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10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6,888</w:t>
            </w:r>
          </w:p>
        </w:tc>
        <w:tc>
          <w:tcPr>
            <w:tcW w:w="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4,341</w:t>
            </w:r>
          </w:p>
        </w:tc>
        <w:tc>
          <w:tcPr>
            <w:tcW w:w="2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2,547</w:t>
            </w:r>
          </w:p>
        </w:tc>
        <w:tc>
          <w:tcPr>
            <w:tcW w:w="48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(6,888)</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(4,341)</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(2,547)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Cease-use income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Change in fair value of warrants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(3,622)</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(160)</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(3,462)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income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(598)</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647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34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(3,567)</w:t>
            </w:r>
          </w:p>
        </w:tc>
        <w:tc>
          <w:tcPr>
            <w:tcW w:w="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(760)</w:t>
            </w:r>
          </w:p>
        </w:tc>
        <w:tc>
          <w:tcPr>
            <w:tcW w:w="2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(2,807)</w:t>
            </w:r>
          </w:p>
        </w:tc>
        <w:tc>
          <w:tcPr>
            <w:tcW w:w="48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(10,455)</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(5,101)</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(5,354)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(937)</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(1,755)</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818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(11,392)</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(6,856)</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(4,536)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have yet not commenced commercialization of DCCR, our current sole novel therapeutic product, and accordingly, through June 30, 2018, have generated no revenue in continuing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 of $2.9 million for the six months ended June 30, 2018 increased by $1.8 million over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2017, resulting primarily from efforts directed toward development of DCCR which we acquired with the Essentialis acquisition on March 7, 2017.</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Sales and marketing expense of $27,000 for the six months ended June 30, 2017 consisted of expense incurred to revise our website. We have not yet commenced commercialization of DCCR, its current sole novel therapeutic product, and accordingly, through June 30, 2018, have incurred no sales and marketing activities in continuing operations.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 of $3.6 million for the six months ended June 30, 2018 increased $419,000 over the six months ended June 30,</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2017. The increase was primarily from a $380,000 increase in the amortization expense of the patent intangible acquired in the March 7, 2017 Merger with Essentialis, as 2017 only had amortization for a portion of the six months compared to the entire period in 2018. In addition, during the three months ended March 31, 2017, $267,000 of legal fees that had been previously recorded as expense in an earlier quarter were reclassified as transaction costs to increase the cost of the intangible asset acquired with the Merger with Essentialis. Professional fees and investor costs also increased by $425,000 between the two periods, primarily related to financing activities and regulatory filings required in 2018. These increases were offset by a decrease in personnel related costs of $529,000 due to planned headcount reductions, and $127,000 of general planned cost reductions including the sublease of excess facility space during 2018.</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$361,000 for the six months ended June 30, 2018 represents the change in the fair value of the additional consideration that we expect to pay Essentialis stockholders based on an expected likelihood of achieving commercial sales milestones of $100 million and $200 million. There was no change in the fair value of this contingent consideration during the six months ended June 30,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Net other expense of $3.6 million in the six months ended June 30, 2018, increased by $2.8 million from net other expense of $760,000 in the six months ended June 30, 2017. This increase was primarily due to a $3.6 million increase in the fair value for the Company’s outstanding warrants during the six months ended June 30, 2018, primarily for the 2017 PIPE warrants, and to a lesser extent, the Series A warrants. This amount was offset by a $647,000 decrease in expense due to primarily to the fact that during the six months ended June 30, 2017 there were commitment shares issued to Aspire Capital with a value of approximately $600,000.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Discontinued operations consist of our activities previously dedicated to the development and commercialization of innovative diagnostics, devices and therapeutics addressing unmet medical needs, which consisted of: precision metering of gas flow technology marketed as Serenz </w:t>
      </w:r>
      <w:r>
        <w:rPr>
          <w:rFonts w:ascii="Arial" w:cs="Arial" w:eastAsia="Arial" w:hAnsi="Arial"/>
          <w:sz w:val="14"/>
          <w:szCs w:val="14"/>
          <w:color w:val="auto"/>
        </w:rPr>
        <w:t>®</w:t>
      </w:r>
      <w:r>
        <w:rPr>
          <w:rFonts w:ascii="Arial" w:cs="Arial" w:eastAsia="Arial" w:hAnsi="Arial"/>
          <w:sz w:val="17"/>
          <w:szCs w:val="17"/>
          <w:color w:val="auto"/>
        </w:rPr>
        <w:t xml:space="preserve"> Allergy Relief, or Serenz; CoSense </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products that included temperature probes, scales, surgical tables and patient surfaces. In March 2017, we determined to divest, sell or otherwise dispose of the CoSense, NFI, and Serenz businesses in order to focus on the development and commercialization of novel therapeutics for the treatment of rare diseases. The discontinued operations for the development and commercialization of innovative diagnostic devices and therapeutics are summarized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 from discontinued operations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74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2017</w:t>
            </w:r>
          </w:p>
        </w:tc>
        <w:tc>
          <w:tcPr>
            <w:tcW w:w="46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5"/>
          </w:tcPr>
          <w:p>
            <w:pPr>
              <w:jc w:val="center"/>
              <w:ind w:right="12"/>
              <w:spacing w:after="0" w:line="142" w:lineRule="exact"/>
              <w:rPr>
                <w:sz w:val="20"/>
                <w:szCs w:val="20"/>
                <w:color w:val="auto"/>
              </w:rPr>
            </w:pPr>
            <w:r>
              <w:rPr>
                <w:rFonts w:ascii="Arial" w:cs="Arial" w:eastAsia="Arial" w:hAnsi="Arial"/>
                <w:sz w:val="14"/>
                <w:szCs w:val="14"/>
                <w:color w:val="auto"/>
                <w:w w:val="92"/>
              </w:rPr>
              <w:t>(in thousands)</w:t>
            </w: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(373)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8"/>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(346)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(345)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(83)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(123)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tcPr>
          <w:p>
            <w:pPr>
              <w:ind w:left="1060"/>
              <w:spacing w:after="0"/>
              <w:rPr>
                <w:sz w:val="20"/>
                <w:szCs w:val="20"/>
                <w:color w:val="auto"/>
              </w:rPr>
            </w:pPr>
            <w:r>
              <w:rPr>
                <w:rFonts w:ascii="Arial" w:cs="Arial" w:eastAsia="Arial" w:hAnsi="Arial"/>
                <w:sz w:val="18"/>
                <w:szCs w:val="18"/>
                <w:color w:val="auto"/>
              </w:rPr>
              <w:t>Total operating expenses</w:t>
            </w:r>
          </w:p>
        </w:tc>
        <w:tc>
          <w:tcPr>
            <w:tcW w:w="2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vMerge w:val="continue"/>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449</w:t>
            </w:r>
          </w:p>
        </w:tc>
        <w:tc>
          <w:tcPr>
            <w:tcW w:w="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(551)</w:t>
            </w:r>
          </w:p>
        </w:tc>
        <w:tc>
          <w:tcPr>
            <w:tcW w:w="4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loss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(423)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560" w:type="dxa"/>
            <w:vAlign w:val="bottom"/>
            <w:vMerge w:val="restart"/>
          </w:tcPr>
          <w:p>
            <w:pPr>
              <w:jc w:val="right"/>
              <w:ind w:right="1150"/>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Revenue related to our discontinued operations was $3,000 during the three months ended June 30, 2018, a $373,000 decrease from the three months ended June 30, 2017, resulting primarily from the sale of the NeoForce business in July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Cost of product revenue related to our discontinued operations has declined in relation to the decrease in sales activity, resulting from the sale of the NeoForce business in July 2017. The negative amount during the three months ended June 30, 2018 was the result of returned product during the period.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Research and development expense related to our discontinued operations decreased by $345,000 from the three months ended June 30, 2017 to the same period of 2018. The decrease primarily resulted from the sale of NFI in July 2017, and the curtailment of spending towards the development of the Serenz product during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Sales and marketing expense during the three months ended June 30, 2018 was $13,000, representing a $83,000 decrease from the three months ended June 30, 2017. The decrease is largely attributed to our stopping the promotion and sales of the Serenz product in the second quarter of 2017. The sales and marketing expenses relating to our discontinued operations during the three months ended June 30, 2018 relate only to Capnia’s marketing of its products.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General and administrative expense associated with our discontinued operations was $134,000 during the three months ended June 30, 2018, a decrease of $123,000 from the three months ended June 30, 2017. The decrease was primarily due to the sale of the NeoForce business in July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and expense associated with discontinued operations has been nominal in the periods reported.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 from discontinued operations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7"/>
              </w:rPr>
              <w:t>Six Months Ended</w:t>
            </w:r>
          </w:p>
        </w:tc>
        <w:tc>
          <w:tcPr>
            <w:tcW w:w="140" w:type="dxa"/>
            <w:vAlign w:val="bottom"/>
          </w:tcPr>
          <w:p>
            <w:pPr>
              <w:spacing w:after="0"/>
              <w:rPr>
                <w:sz w:val="14"/>
                <w:szCs w:val="14"/>
                <w:color w:val="auto"/>
              </w:rPr>
            </w:pPr>
          </w:p>
        </w:tc>
        <w:tc>
          <w:tcPr>
            <w:tcW w:w="174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June 30,</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5"/>
          </w:tcPr>
          <w:p>
            <w:pPr>
              <w:jc w:val="right"/>
              <w:ind w:right="252"/>
              <w:spacing w:after="0" w:line="142" w:lineRule="exact"/>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(587)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(504)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(611)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8"/>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(159)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(160)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1060"/>
              <w:spacing w:after="0"/>
              <w:rPr>
                <w:sz w:val="20"/>
                <w:szCs w:val="20"/>
                <w:color w:val="auto"/>
              </w:rPr>
            </w:pPr>
            <w:r>
              <w:rPr>
                <w:rFonts w:ascii="Arial" w:cs="Arial" w:eastAsia="Arial" w:hAnsi="Arial"/>
                <w:sz w:val="18"/>
                <w:szCs w:val="18"/>
                <w:color w:val="auto"/>
              </w:rPr>
              <w:t>Total operating expenses</w:t>
            </w: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963</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1,893</w:t>
            </w:r>
          </w:p>
        </w:tc>
        <w:tc>
          <w:tcPr>
            <w:tcW w:w="4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(930)</w:t>
            </w:r>
          </w:p>
        </w:tc>
        <w:tc>
          <w:tcPr>
            <w:tcW w:w="4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loss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0"/>
              </w:rPr>
              <w:t>(937)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(1,784)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(29)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0"/>
              </w:rPr>
              <w:t>(937)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(1,755)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Revenue related to our discontinued operations was $54,000 during the six months ended June 30, 2018, a $587,000 decrease from the six months ended June 30, 2017, resulting primarily from the sale of the NFI business in July 2017.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Cost of product revenue related to our discontinued operations has declined in relation to the decrease in sales activity, resulting from the sale of the NFI business in July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7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Research and development expense related to our discontinued operations decreased by $611,000 from the six months ended June 30, 2017 to the same period of 2018. The decrease primarily resulted from the sale of NFI in July 2017, and the curtailment of spending towards the development of the Serenz product during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7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Sales and marketing expense during the six months ended June 30, 2018 was $24,000, representing a $159,000 decrease from the six months ended June 30, 2017. The decrease is largely attributed to our stopping the promotion and sales of the Serenz product in the second quarter of 2017. The sales and marketing expenses relating to our discontinued operations during the six months ended June 30, 2018 relate only to Capnia’s marketing of its products.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9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General and administrative expense associated with our discontinued operations was $236,000 during the six months ended June 30, 2018, a decrease of $160,000 from the six months ended June 30, 2017. The decrease was primarily due to the sale of NFI in July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and expense associated with discontinued operations has been nominal in the periods reported.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We had a net loss of $11.4 million for the six months ended June 30, 2018 and an accumulated deficit of $125.4 million at June 30, 2018 from having incurred losses since our inception. We had $11.4 million of working capital at June 30, 2018 and used $5.3 million of cash in operating activities during the six months ended June 30, 2018. We have financed our operations principally through issuances of equity securities.</w:t>
      </w:r>
    </w:p>
    <w:p>
      <w:pPr>
        <w:spacing w:after="0" w:line="57"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We have continued to focus on expense control, including reducing our workforce, eliminating outside consultants, reducing legal fees and implementing a plan to allow Board members to receive common stock, in lieu of cash payments.</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11, 2017, we entered into the Unit Purchase Agreement with certain stockholders, pursuant to which we sold and issued 8,141,116 immediately separable units at a price per unit of $1.84, for aggregate gross proceeds of $15.0 million. Each unit consisted of one share of our common stock and a warrant to purchase 0.74 shares of our common stock at an exercise price of $2.00 a share, for an aggregate of 8,141,116 shares and corresponding warrants to purchase an aggregate of 6,024,425 warrant shares. We also granted certain registration rights to these stockholders, pursuant to which, among other things, we prepared and filed a registration statement with the SEC to register for resale the Resale Shares. The registration statement was declared effective in February 2018.</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under the assumption we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pacing w:after="0" w:line="7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expect to continue incurring losses for the foreseeable future and may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quarterly report. The condensed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5"/>
          </w:tcPr>
          <w:p>
            <w:pPr>
              <w:jc w:val="right"/>
              <w:ind w:right="351"/>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continuing operating activities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cash used in discontinued operating activities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continuing investing activities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discontinued investing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continuing financing activities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cash provided by discontinued financing activities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Continuing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Discontinued operations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During the six months ended June 30, 2018, operating activities used net cash of $4.5 million, which was primarily due to the loss from continuing operations of $10.5 million, adjusted for non-cash expenses of $983,000 for depreciation and amortization, $656,000 of expenses paid with common stock or equity awards, and $4.0 million for the change in fair value of stock warrants and contingent consideration. Additionally, an increase in accounts payable and a decrease in prepaid expenses and accrued compensation and other current liabilities offset the cash usage by $332,000.</w:t>
      </w:r>
    </w:p>
    <w:p>
      <w:pPr>
        <w:spacing w:after="0" w:line="17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During the six months ended June 30, 2017, operating activities used net cash of $3.4 million, which was primarily due to the loss from continuing operations of $5.0 million, adjusted for non-cash expenses of $570,000 for depreciation and amortization, $658,000 of non-cash expenses paid with common stock or equity awards, $165,000 for the change in fair value of stock warrants and contingent consideration, and $602,000 for issuing shares to Aspire Capital. There were also decreases in prepaid expenses and other current assets, accounts payable, accrued compensation and other current liabilities and other long-term liabilities that contributed to the cash usage by $334,000.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used in investing activities in the six months ended June 30, 2018 and June 30, 2017 represents the costs of acquiring property and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There were no financing activities related to continued operations during the six months ended June 30, 2018. During the six months ended June 30, 2017, we received $10.0 million as a result of the completion of the concurrent financing associated with the Essentialis Merger.</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2018, we had cash, cash equivalents and restricted cash of approximately $12.6 million.</w:t>
      </w:r>
    </w:p>
    <w:p>
      <w:pPr>
        <w:spacing w:after="0" w:line="15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do not believe that we have sufficient capital resources to sustain operations through at least the next twelve months from the date of this filing. We expect to continue incurring losses for the foreseeable future and may be required to raise additional capital to pursue its therapeutic product development initiatives. These conditions raise substantial doubt about our ability to continue as a going concern for a period of one year from the date of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six months ended June 30, 2018 we used net cash of $769,000 for discontinued operating activities, resulting primarily from the loss from discontinued operations of $937,000 partially offset by $51,000 of non-cash expenses associated with stock compensation and depreciation and amortization. Changes in the discontinued operations working capital accounts also offset the cash used by $117,000, primarily from the decrease in various asset balances. During the six months ended June 30, 2017, we used net cash of $1.7 million for discontinued operating activities, resulting primarily from the loss from discontinued operations of $1.8 million, partially offset by $150,000 of non-cash expenses associated with stock compensation and depreciation and amortization Changes in the discontinued operations working capital accounts contributed $129,000 to the cash used. The decrease from the six months ended June 30, 2017 to June 30, 2018 was primarily due to the lower comparative level of operating activities for the discontinued operating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There were no investing activities related to discontinued operations during the six months ended June 30, 2018. During the six months ended June 30, 2017, we used $1,000 of cash in investing activities related to discontinued operations for the purchase of property and equipment.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Net cash provided by financing activities related to discontinued operations was $825,000 during the six months ended June 30, 2018, representing the cash received during the period from our joint venture partner. There were no financing activities related to discontinued operations during the six months ended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 xml:space="preserve">There have not been any material changes to our exposure to market risk during the six months ended June 30, 2018. For additional information regarding market risk, refer to the </w:t>
      </w:r>
      <w:r>
        <w:rPr>
          <w:rFonts w:ascii="Arial" w:cs="Arial" w:eastAsia="Arial" w:hAnsi="Arial"/>
          <w:sz w:val="17"/>
          <w:szCs w:val="17"/>
          <w:i w:val="1"/>
          <w:iCs w:val="1"/>
          <w:color w:val="auto"/>
        </w:rPr>
        <w:t>Qualitative and Quantitative Disclosures About Market Risk</w:t>
      </w:r>
      <w:r>
        <w:rPr>
          <w:rFonts w:ascii="Arial" w:cs="Arial" w:eastAsia="Arial" w:hAnsi="Arial"/>
          <w:sz w:val="17"/>
          <w:szCs w:val="17"/>
          <w:color w:val="auto"/>
        </w:rPr>
        <w:t xml:space="preserve"> section of the Form 10-K.</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9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There have been no changes to our internal control over financial reporting that occurred during the second fiscal quarter ended June 30, 2018, that have materially affected, or are reasonably likely to materially affect, our internal control over financial reporting.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investment in our securities has a high degree of risk. Before you invest you should carefully consider the risks and uncertainties. A description of factors that could materially affect our business, financial condition, or operating results is included under “Risk Factors” in Item 1A of Part I of our 2017 Annual Report on Form 10-K and is incorporated herein by reference. There have been no material changes to the risk factor disclosure since our 2017 Annual Report on Form 10-K. The risk factors described in our Form 10-K are not the only risks facing our company.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3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Incorporated by Reference from</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20" w:type="dxa"/>
            <w:vAlign w:val="bottom"/>
            <w:gridSpan w:val="24"/>
            <w:vMerge w:val="restart"/>
          </w:tcPr>
          <w:p>
            <w:pPr>
              <w:ind w:left="20"/>
              <w:spacing w:after="0"/>
              <w:rPr>
                <w:sz w:val="20"/>
                <w:szCs w:val="20"/>
                <w:color w:val="auto"/>
              </w:rPr>
            </w:pPr>
            <w:r>
              <w:rPr>
                <w:rFonts w:ascii="Arial" w:cs="Arial" w:eastAsia="Arial" w:hAnsi="Arial"/>
                <w:sz w:val="14"/>
                <w:szCs w:val="14"/>
                <w:b w:val="1"/>
                <w:bCs w:val="1"/>
                <w:color w:val="auto"/>
              </w:rPr>
              <w:t>Description of Document</w:t>
            </w:r>
          </w:p>
        </w:tc>
        <w:tc>
          <w:tcPr>
            <w:tcW w:w="100" w:type="dxa"/>
            <w:vAlign w:val="bottom"/>
            <w:vMerge w:val="restart"/>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Registrant’s</w:t>
            </w:r>
          </w:p>
        </w:tc>
        <w:tc>
          <w:tcPr>
            <w:tcW w:w="1700" w:type="dxa"/>
            <w:vAlign w:val="bottom"/>
            <w:gridSpan w:val="2"/>
          </w:tcPr>
          <w:p>
            <w:pPr>
              <w:ind w:left="480"/>
              <w:spacing w:after="0" w:line="119" w:lineRule="exact"/>
              <w:rPr>
                <w:sz w:val="20"/>
                <w:szCs w:val="20"/>
                <w:color w:val="auto"/>
              </w:rPr>
            </w:pPr>
            <w:r>
              <w:rPr>
                <w:rFonts w:ascii="Arial" w:cs="Arial" w:eastAsia="Arial" w:hAnsi="Arial"/>
                <w:sz w:val="13"/>
                <w:szCs w:val="13"/>
                <w:b w:val="1"/>
                <w:bCs w:val="1"/>
                <w:color w:val="auto"/>
              </w:rPr>
              <w:t>Date Filed</w:t>
            </w:r>
          </w:p>
        </w:tc>
        <w:tc>
          <w:tcPr>
            <w:tcW w:w="6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gridSpan w:val="2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5"/>
                <w:szCs w:val="15"/>
                <w:color w:val="auto"/>
              </w:rPr>
            </w:pPr>
          </w:p>
        </w:tc>
        <w:tc>
          <w:tcPr>
            <w:tcW w:w="15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with the SEC</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3"/>
                <w:szCs w:val="23"/>
                <w:color w:val="auto"/>
              </w:rPr>
            </w:pPr>
          </w:p>
        </w:tc>
        <w:tc>
          <w:tcPr>
            <w:tcW w:w="6820" w:type="dxa"/>
            <w:vAlign w:val="bottom"/>
            <w:tcBorders>
              <w:bottom w:val="single" w:sz="8" w:color="0000EE"/>
            </w:tcBorders>
            <w:gridSpan w:val="29"/>
          </w:tcPr>
          <w:p>
            <w:pPr>
              <w:spacing w:after="0"/>
              <w:rPr>
                <w:rFonts w:ascii="Arial" w:cs="Arial" w:eastAsia="Arial" w:hAnsi="Arial"/>
                <w:sz w:val="18"/>
                <w:szCs w:val="18"/>
                <w:color w:val="0000EE"/>
                <w:w w:val="89"/>
              </w:rPr>
            </w:pPr>
            <w:hyperlink r:id="rId50">
              <w:r>
                <w:rPr>
                  <w:rFonts w:ascii="Arial" w:cs="Arial" w:eastAsia="Arial" w:hAnsi="Arial"/>
                  <w:sz w:val="18"/>
                  <w:szCs w:val="18"/>
                  <w:color w:val="0000EE"/>
                  <w:w w:val="89"/>
                </w:rPr>
                <w:t>Stock Purchase Agreement, dated as of July 18, 2017, and between Soleno Therapeutics, Inc.,</w:t>
              </w:r>
            </w:hyperlink>
          </w:p>
        </w:tc>
        <w:tc>
          <w:tcPr>
            <w:tcW w:w="120" w:type="dxa"/>
            <w:vAlign w:val="bottom"/>
            <w:gridSpan w:val="2"/>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a Delaware corporation, and NeoForce Holdings, Inc. a Delaware corporation</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July 24, 2017</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18"/>
                <w:szCs w:val="18"/>
                <w:color w:val="0000EE"/>
                <w:w w:val="92"/>
              </w:rPr>
            </w:pPr>
            <w:hyperlink r:id="rId51">
              <w:r>
                <w:rPr>
                  <w:rFonts w:ascii="Arial" w:cs="Arial" w:eastAsia="Arial" w:hAnsi="Arial"/>
                  <w:sz w:val="18"/>
                  <w:szCs w:val="18"/>
                  <w:color w:val="0000EE"/>
                  <w:w w:val="92"/>
                </w:rPr>
                <w:t>Joint Venture Agreement, dated as of December 4, 2017, by and among Soleno Therapeutics,</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Inc., Capnia, Inc., and OptAsia Healthcare Limited</w:t>
              </w:r>
            </w:hyperlink>
          </w:p>
        </w:tc>
        <w:tc>
          <w:tcPr>
            <w:tcW w:w="3080" w:type="dxa"/>
            <w:vAlign w:val="bottom"/>
            <w:tcBorders>
              <w:top w:val="single" w:sz="8" w:color="0000EE"/>
            </w:tcBorders>
            <w:gridSpan w:val="15"/>
          </w:tcPr>
          <w:p>
            <w:pPr>
              <w:spacing w:after="0"/>
              <w:rPr>
                <w:sz w:val="17"/>
                <w:szCs w:val="17"/>
                <w:color w:val="auto"/>
              </w:rPr>
            </w:pPr>
          </w:p>
        </w:tc>
        <w:tc>
          <w:tcPr>
            <w:tcW w:w="180" w:type="dxa"/>
            <w:vAlign w:val="bottom"/>
            <w:gridSpan w:val="3"/>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December 8, 2017</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6200" w:type="dxa"/>
            <w:vAlign w:val="bottom"/>
            <w:tcBorders>
              <w:bottom w:val="single" w:sz="8" w:color="0000EE"/>
            </w:tcBorders>
            <w:gridSpan w:val="20"/>
          </w:tcPr>
          <w:p>
            <w:pPr>
              <w:spacing w:after="0"/>
              <w:rPr>
                <w:rFonts w:ascii="Arial" w:cs="Arial" w:eastAsia="Arial" w:hAnsi="Arial"/>
                <w:sz w:val="18"/>
                <w:szCs w:val="18"/>
                <w:color w:val="0000EE"/>
                <w:w w:val="89"/>
              </w:rPr>
            </w:pPr>
            <w:hyperlink r:id="rId52">
              <w:r>
                <w:rPr>
                  <w:rFonts w:ascii="Arial" w:cs="Arial" w:eastAsia="Arial" w:hAnsi="Arial"/>
                  <w:sz w:val="18"/>
                  <w:szCs w:val="18"/>
                  <w:color w:val="0000EE"/>
                  <w:w w:val="89"/>
                </w:rPr>
                <w:t>PRC IP Purchase Agreement, dated as of December 4, 2017, by and between OptAsia</w:t>
              </w:r>
            </w:hyperlink>
          </w:p>
        </w:tc>
        <w:tc>
          <w:tcPr>
            <w:tcW w:w="740" w:type="dxa"/>
            <w:vAlign w:val="bottom"/>
            <w:gridSpan w:val="11"/>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Healthcare Limited and Capnia, Inc.</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December 8, 2017</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6180" w:type="dxa"/>
            <w:vAlign w:val="bottom"/>
            <w:tcBorders>
              <w:bottom w:val="single" w:sz="8" w:color="0000EE"/>
            </w:tcBorders>
            <w:gridSpan w:val="19"/>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Transition Services Agreement, dated as of December 4, 2017, by and among Soleno</w:t>
              </w:r>
            </w:hyperlink>
          </w:p>
        </w:tc>
        <w:tc>
          <w:tcPr>
            <w:tcW w:w="760" w:type="dxa"/>
            <w:vAlign w:val="bottom"/>
            <w:gridSpan w:val="12"/>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Therapeutics, Inc., a Delaware corporation, Capnia, Inc. and OptAsia Healthcare, Ltd., a Hong</w:t>
              </w:r>
            </w:hyperlink>
          </w:p>
        </w:tc>
        <w:tc>
          <w:tcPr>
            <w:tcW w:w="12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Kong company</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December 8, 2017</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5780" w:type="dxa"/>
            <w:vAlign w:val="bottom"/>
            <w:tcBorders>
              <w:bottom w:val="single" w:sz="8" w:color="0000EE"/>
            </w:tcBorders>
            <w:gridSpan w:val="18"/>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Amended and Restated Certificate of Incorporation of Soleno Therapeutics, Inc.</w:t>
              </w:r>
            </w:hyperlink>
          </w:p>
        </w:tc>
        <w:tc>
          <w:tcPr>
            <w:tcW w:w="1160" w:type="dxa"/>
            <w:vAlign w:val="bottom"/>
            <w:gridSpan w:val="13"/>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August 7, 2014</w:t>
            </w:r>
          </w:p>
        </w:tc>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4340" w:type="dxa"/>
            <w:vAlign w:val="bottom"/>
            <w:tcBorders>
              <w:bottom w:val="single" w:sz="8" w:color="0000EE"/>
            </w:tcBorders>
            <w:gridSpan w:val="15"/>
          </w:tcPr>
          <w:p>
            <w:pPr>
              <w:spacing w:after="0"/>
              <w:rPr>
                <w:rFonts w:ascii="Arial" w:cs="Arial" w:eastAsia="Arial" w:hAnsi="Arial"/>
                <w:sz w:val="18"/>
                <w:szCs w:val="18"/>
                <w:color w:val="0000EE"/>
                <w:w w:val="89"/>
              </w:rPr>
            </w:pPr>
            <w:hyperlink r:id="rId55">
              <w:r>
                <w:rPr>
                  <w:rFonts w:ascii="Arial" w:cs="Arial" w:eastAsia="Arial" w:hAnsi="Arial"/>
                  <w:sz w:val="18"/>
                  <w:szCs w:val="18"/>
                  <w:color w:val="0000EE"/>
                  <w:w w:val="89"/>
                </w:rPr>
                <w:t>Amended and Restated Bylaws of Soleno Therapeutics, Inc.</w:t>
              </w:r>
            </w:hyperlink>
          </w:p>
        </w:tc>
        <w:tc>
          <w:tcPr>
            <w:tcW w:w="2600" w:type="dxa"/>
            <w:vAlign w:val="bottom"/>
            <w:gridSpan w:val="16"/>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July 1, 2014</w:t>
            </w:r>
          </w:p>
        </w:tc>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6440" w:type="dxa"/>
            <w:vAlign w:val="bottom"/>
            <w:tcBorders>
              <w:bottom w:val="single" w:sz="8" w:color="0000EE"/>
            </w:tcBorders>
            <w:gridSpan w:val="22"/>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Certificate of Designation of Preferences, Rights and Limitations of Series A Convertible</w:t>
              </w:r>
            </w:hyperlink>
          </w:p>
        </w:tc>
        <w:tc>
          <w:tcPr>
            <w:tcW w:w="500" w:type="dxa"/>
            <w:vAlign w:val="bottom"/>
            <w:gridSpan w:val="9"/>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56">
              <w:r>
                <w:rPr>
                  <w:rFonts w:ascii="Arial" w:cs="Arial" w:eastAsia="Arial" w:hAnsi="Arial"/>
                  <w:sz w:val="18"/>
                  <w:szCs w:val="18"/>
                  <w:color w:val="0000EE"/>
                  <w:w w:val="89"/>
                </w:rPr>
                <w:t>Preferred Stock.</w:t>
              </w:r>
            </w:hyperlink>
          </w:p>
        </w:tc>
        <w:tc>
          <w:tcPr>
            <w:tcW w:w="5760" w:type="dxa"/>
            <w:vAlign w:val="bottom"/>
            <w:gridSpan w:val="28"/>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October 15, 2015</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6440" w:type="dxa"/>
            <w:vAlign w:val="bottom"/>
            <w:tcBorders>
              <w:bottom w:val="single" w:sz="8" w:color="0000EE"/>
            </w:tcBorders>
            <w:gridSpan w:val="22"/>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Certificate of Designation of Preferences, Rights and Limitations of Series B Convertible</w:t>
              </w:r>
            </w:hyperlink>
          </w:p>
        </w:tc>
        <w:tc>
          <w:tcPr>
            <w:tcW w:w="500" w:type="dxa"/>
            <w:vAlign w:val="bottom"/>
            <w:gridSpan w:val="9"/>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Preferred Stock</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July 6, 2016</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1900" w:type="dxa"/>
            <w:vAlign w:val="bottom"/>
            <w:tcBorders>
              <w:bottom w:val="single" w:sz="8" w:color="0000EE"/>
            </w:tcBorders>
            <w:gridSpan w:val="4"/>
          </w:tcPr>
          <w:p>
            <w:pPr>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Certificate of Amendment</w:t>
              </w:r>
            </w:hyperlink>
          </w:p>
        </w:tc>
        <w:tc>
          <w:tcPr>
            <w:tcW w:w="5040" w:type="dxa"/>
            <w:vAlign w:val="bottom"/>
            <w:gridSpan w:val="27"/>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May 11, 2017</w:t>
            </w:r>
          </w:p>
        </w:tc>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18"/>
                <w:szCs w:val="18"/>
                <w:color w:val="0000EE"/>
              </w:rPr>
            </w:pPr>
            <w:hyperlink r:id="rId59">
              <w:r>
                <w:rPr>
                  <w:rFonts w:ascii="Arial" w:cs="Arial" w:eastAsia="Arial" w:hAnsi="Arial"/>
                  <w:sz w:val="18"/>
                  <w:szCs w:val="18"/>
                  <w:color w:val="0000EE"/>
                </w:rPr>
                <w:t>Certificate of Amendment to the Certificate of Incorporation</w:t>
              </w:r>
            </w:hyperlink>
          </w:p>
        </w:tc>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October 6, 2017</w:t>
            </w:r>
          </w:p>
        </w:tc>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2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Form of the common stock certificate.</w:t>
              </w:r>
            </w:hyperlink>
          </w:p>
        </w:tc>
        <w:tc>
          <w:tcPr>
            <w:tcW w:w="1580" w:type="dxa"/>
            <w:vAlign w:val="bottom"/>
            <w:tcBorders>
              <w:top w:val="single" w:sz="8" w:color="0000EE"/>
            </w:tcBorders>
            <w:gridSpan w:val="8"/>
          </w:tcPr>
          <w:p>
            <w:pPr>
              <w:spacing w:after="0"/>
              <w:rPr>
                <w:sz w:val="24"/>
                <w:szCs w:val="24"/>
                <w:color w:val="auto"/>
              </w:rPr>
            </w:pPr>
          </w:p>
        </w:tc>
        <w:tc>
          <w:tcPr>
            <w:tcW w:w="2580" w:type="dxa"/>
            <w:vAlign w:val="bottom"/>
            <w:gridSpan w:val="15"/>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6680" w:type="dxa"/>
            <w:vAlign w:val="bottom"/>
            <w:tcBorders>
              <w:bottom w:val="single" w:sz="8" w:color="0000EE"/>
            </w:tcBorders>
            <w:gridSpan w:val="27"/>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Amended And Restated Investors’ Rights Agreement, dated March 20, 2008, by and among</w:t>
              </w:r>
            </w:hyperlink>
          </w:p>
        </w:tc>
        <w:tc>
          <w:tcPr>
            <w:tcW w:w="26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Soleno Therapeutics, Inc. and certain holders of the Soleno Therapeutics, Inc.’s capital stock</w:t>
              </w:r>
            </w:hyperlink>
          </w:p>
        </w:tc>
        <w:tc>
          <w:tcPr>
            <w:tcW w:w="26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61">
              <w:r>
                <w:rPr>
                  <w:rFonts w:ascii="Arial" w:cs="Arial" w:eastAsia="Arial" w:hAnsi="Arial"/>
                  <w:sz w:val="18"/>
                  <w:szCs w:val="18"/>
                  <w:color w:val="0000EE"/>
                  <w:w w:val="88"/>
                </w:rPr>
                <w:t>named therein.</w:t>
              </w:r>
            </w:hyperlink>
          </w:p>
        </w:tc>
        <w:tc>
          <w:tcPr>
            <w:tcW w:w="5840" w:type="dxa"/>
            <w:vAlign w:val="bottom"/>
            <w:gridSpan w:val="29"/>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July 1, 2014</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2760" w:type="dxa"/>
            <w:vAlign w:val="bottom"/>
            <w:tcBorders>
              <w:bottom w:val="single" w:sz="8" w:color="0000EE"/>
            </w:tcBorders>
            <w:gridSpan w:val="7"/>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Form of Series A Warrant Agreement.</w:t>
              </w:r>
            </w:hyperlink>
          </w:p>
        </w:tc>
        <w:tc>
          <w:tcPr>
            <w:tcW w:w="4180" w:type="dxa"/>
            <w:vAlign w:val="bottom"/>
            <w:gridSpan w:val="24"/>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18"/>
                <w:szCs w:val="18"/>
                <w:color w:val="0000EE"/>
              </w:rPr>
            </w:pPr>
            <w:hyperlink r:id="rId63">
              <w:r>
                <w:rPr>
                  <w:rFonts w:ascii="Arial" w:cs="Arial" w:eastAsia="Arial" w:hAnsi="Arial"/>
                  <w:sz w:val="18"/>
                  <w:szCs w:val="18"/>
                  <w:color w:val="0000EE"/>
                </w:rPr>
                <w:t>Form of the Series A Warrant certificate.</w:t>
              </w:r>
            </w:hyperlink>
          </w:p>
        </w:tc>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3400" w:type="dxa"/>
            <w:vAlign w:val="bottom"/>
            <w:tcBorders>
              <w:bottom w:val="single" w:sz="8" w:color="0000EE"/>
            </w:tcBorders>
            <w:gridSpan w:val="12"/>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Form of Underwriters’ Compensation Warrant.</w:t>
              </w:r>
            </w:hyperlink>
          </w:p>
        </w:tc>
        <w:tc>
          <w:tcPr>
            <w:tcW w:w="3540" w:type="dxa"/>
            <w:vAlign w:val="bottom"/>
            <w:gridSpan w:val="19"/>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18"/>
                <w:szCs w:val="18"/>
                <w:color w:val="0000EE"/>
                <w:w w:val="93"/>
              </w:rPr>
            </w:pPr>
            <w:hyperlink r:id="rId65">
              <w:r>
                <w:rPr>
                  <w:rFonts w:ascii="Arial" w:cs="Arial" w:eastAsia="Arial" w:hAnsi="Arial"/>
                  <w:sz w:val="18"/>
                  <w:szCs w:val="18"/>
                  <w:color w:val="0000EE"/>
                  <w:w w:val="93"/>
                </w:rPr>
                <w:t>Form of Convertible Promissory Note issued in February 2010 and March 2010 in connection</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with the 2010 convertible note financing.</w:t>
              </w:r>
            </w:hyperlink>
          </w:p>
        </w:tc>
        <w:tc>
          <w:tcPr>
            <w:tcW w:w="3760" w:type="dxa"/>
            <w:vAlign w:val="bottom"/>
            <w:tcBorders>
              <w:top w:val="single" w:sz="8" w:color="0000EE"/>
            </w:tcBorders>
            <w:gridSpan w:val="17"/>
          </w:tcPr>
          <w:p>
            <w:pPr>
              <w:spacing w:after="0"/>
              <w:rPr>
                <w:sz w:val="17"/>
                <w:szCs w:val="17"/>
                <w:color w:val="auto"/>
              </w:rPr>
            </w:pPr>
          </w:p>
        </w:tc>
        <w:tc>
          <w:tcPr>
            <w:tcW w:w="180" w:type="dxa"/>
            <w:vAlign w:val="bottom"/>
            <w:gridSpan w:val="3"/>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6640" w:type="dxa"/>
            <w:vAlign w:val="bottom"/>
            <w:tcBorders>
              <w:bottom w:val="single" w:sz="8" w:color="0000EE"/>
            </w:tcBorders>
            <w:gridSpan w:val="26"/>
          </w:tcPr>
          <w:p>
            <w:pPr>
              <w:spacing w:after="0"/>
              <w:rPr>
                <w:rFonts w:ascii="Arial" w:cs="Arial" w:eastAsia="Arial" w:hAnsi="Arial"/>
                <w:sz w:val="18"/>
                <w:szCs w:val="18"/>
                <w:color w:val="0000EE"/>
                <w:w w:val="89"/>
              </w:rPr>
            </w:pPr>
            <w:hyperlink r:id="rId66">
              <w:r>
                <w:rPr>
                  <w:rFonts w:ascii="Arial" w:cs="Arial" w:eastAsia="Arial" w:hAnsi="Arial"/>
                  <w:sz w:val="18"/>
                  <w:szCs w:val="18"/>
                  <w:color w:val="0000EE"/>
                  <w:w w:val="89"/>
                </w:rPr>
                <w:t>Form of Warrant to Purchase Shares issued in February 2010 and March 2010 in connection</w:t>
              </w:r>
            </w:hyperlink>
          </w:p>
        </w:tc>
        <w:tc>
          <w:tcPr>
            <w:tcW w:w="30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with the 2010 convertible note financing.</w:t>
              </w:r>
            </w:hyperlink>
          </w:p>
        </w:tc>
        <w:tc>
          <w:tcPr>
            <w:tcW w:w="3940" w:type="dxa"/>
            <w:vAlign w:val="bottom"/>
            <w:gridSpan w:val="20"/>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18"/>
                <w:szCs w:val="18"/>
                <w:color w:val="0000EE"/>
                <w:w w:val="95"/>
              </w:rPr>
            </w:pPr>
            <w:hyperlink r:id="rId67">
              <w:r>
                <w:rPr>
                  <w:rFonts w:ascii="Arial" w:cs="Arial" w:eastAsia="Arial" w:hAnsi="Arial"/>
                  <w:sz w:val="18"/>
                  <w:szCs w:val="18"/>
                  <w:color w:val="0000EE"/>
                  <w:w w:val="95"/>
                </w:rPr>
                <w:t>Form of Convertible Promissory Note issued in November 2010 in connection with the 2010</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convertible note financing.</w:t>
              </w:r>
            </w:hyperlink>
          </w:p>
        </w:tc>
        <w:tc>
          <w:tcPr>
            <w:tcW w:w="4740" w:type="dxa"/>
            <w:vAlign w:val="bottom"/>
            <w:tcBorders>
              <w:top w:val="single" w:sz="8" w:color="0000EE"/>
            </w:tcBorders>
            <w:gridSpan w:val="22"/>
          </w:tcPr>
          <w:p>
            <w:pPr>
              <w:spacing w:after="0"/>
              <w:rPr>
                <w:sz w:val="17"/>
                <w:szCs w:val="17"/>
                <w:color w:val="auto"/>
              </w:rPr>
            </w:pPr>
          </w:p>
        </w:tc>
        <w:tc>
          <w:tcPr>
            <w:tcW w:w="260" w:type="dxa"/>
            <w:vAlign w:val="bottom"/>
            <w:gridSpan w:val="4"/>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6560" w:type="dxa"/>
            <w:vAlign w:val="bottom"/>
            <w:tcBorders>
              <w:bottom w:val="single" w:sz="8" w:color="0000EE"/>
            </w:tcBorders>
            <w:gridSpan w:val="25"/>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Form of Warrant to Purchase Shares issued in November 2010 in connection with the 2010</w:t>
              </w:r>
            </w:hyperlink>
          </w:p>
        </w:tc>
        <w:tc>
          <w:tcPr>
            <w:tcW w:w="38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convertible note financing.</w:t>
              </w:r>
            </w:hyperlink>
          </w:p>
        </w:tc>
        <w:tc>
          <w:tcPr>
            <w:tcW w:w="5000" w:type="dxa"/>
            <w:vAlign w:val="bottom"/>
            <w:gridSpan w:val="26"/>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18"/>
                <w:szCs w:val="18"/>
                <w:color w:val="0000EE"/>
                <w:w w:val="97"/>
              </w:rPr>
            </w:pPr>
            <w:hyperlink r:id="rId69">
              <w:r>
                <w:rPr>
                  <w:rFonts w:ascii="Arial" w:cs="Arial" w:eastAsia="Arial" w:hAnsi="Arial"/>
                  <w:sz w:val="18"/>
                  <w:szCs w:val="18"/>
                  <w:color w:val="0000EE"/>
                  <w:w w:val="97"/>
                </w:rPr>
                <w:t>Form of Convertible Promissory Note issued in January 2012 in connection with the 2012</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convertible note financing.</w:t>
              </w:r>
            </w:hyperlink>
          </w:p>
        </w:tc>
        <w:tc>
          <w:tcPr>
            <w:tcW w:w="4540" w:type="dxa"/>
            <w:vAlign w:val="bottom"/>
            <w:tcBorders>
              <w:top w:val="single" w:sz="8" w:color="0000EE"/>
            </w:tcBorders>
            <w:gridSpan w:val="19"/>
          </w:tcPr>
          <w:p>
            <w:pPr>
              <w:spacing w:after="0"/>
              <w:rPr>
                <w:sz w:val="17"/>
                <w:szCs w:val="17"/>
                <w:color w:val="auto"/>
              </w:rPr>
            </w:pPr>
          </w:p>
        </w:tc>
        <w:tc>
          <w:tcPr>
            <w:tcW w:w="460" w:type="dxa"/>
            <w:vAlign w:val="bottom"/>
            <w:gridSpan w:val="7"/>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4.10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24"/>
                <w:szCs w:val="24"/>
                <w:color w:val="auto"/>
              </w:rPr>
            </w:pPr>
          </w:p>
        </w:tc>
        <w:tc>
          <w:tcPr>
            <w:tcW w:w="6240" w:type="dxa"/>
            <w:vAlign w:val="bottom"/>
            <w:tcBorders>
              <w:bottom w:val="single" w:sz="8" w:color="0000EE"/>
            </w:tcBorders>
            <w:gridSpan w:val="21"/>
          </w:tcPr>
          <w:p>
            <w:pP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Form of Warrant to Purchase Shares issued in January 2012 in connection with Soleno</w:t>
              </w:r>
            </w:hyperlink>
          </w:p>
        </w:tc>
        <w:tc>
          <w:tcPr>
            <w:tcW w:w="700" w:type="dxa"/>
            <w:vAlign w:val="bottom"/>
            <w:gridSpan w:val="10"/>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Therapeutics, Inc.’s 2012 convertible note financing.</w:t>
              </w:r>
            </w:hyperlink>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4.11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gridSpan w:val="10"/>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18"/>
                <w:szCs w:val="18"/>
                <w:color w:val="0000EE"/>
                <w:w w:val="97"/>
              </w:rPr>
            </w:pPr>
            <w:hyperlink r:id="rId71">
              <w:r>
                <w:rPr>
                  <w:rFonts w:ascii="Arial" w:cs="Arial" w:eastAsia="Arial" w:hAnsi="Arial"/>
                  <w:sz w:val="18"/>
                  <w:szCs w:val="18"/>
                  <w:color w:val="0000EE"/>
                  <w:w w:val="97"/>
                </w:rPr>
                <w:t>Form of Convertible Promissory Note issued in July 2012 and August 2012 in connection</w:t>
              </w:r>
            </w:hyperlink>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with the 2012 convertible note financing.</w:t>
              </w:r>
            </w:hyperlink>
          </w:p>
        </w:tc>
        <w:tc>
          <w:tcPr>
            <w:tcW w:w="480" w:type="dxa"/>
            <w:vAlign w:val="bottom"/>
            <w:gridSpan w:val="8"/>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line="196" w:lineRule="exact"/>
              <w:rPr>
                <w:sz w:val="20"/>
                <w:szCs w:val="20"/>
                <w:color w:val="auto"/>
              </w:rPr>
            </w:pPr>
            <w:r>
              <w:rPr>
                <w:rFonts w:ascii="Arial" w:cs="Arial" w:eastAsia="Arial" w:hAnsi="Arial"/>
                <w:sz w:val="18"/>
                <w:szCs w:val="18"/>
                <w:color w:val="auto"/>
              </w:rPr>
              <w:t>June 10, 2014</w:t>
            </w:r>
          </w:p>
        </w:tc>
        <w:tc>
          <w:tcPr>
            <w:tcW w:w="520" w:type="dxa"/>
            <w:vAlign w:val="bottom"/>
          </w:tcPr>
          <w:p>
            <w:pPr>
              <w:spacing w:after="0" w:line="196" w:lineRule="exact"/>
              <w:rPr>
                <w:sz w:val="20"/>
                <w:szCs w:val="20"/>
                <w:color w:val="auto"/>
              </w:rPr>
            </w:pPr>
            <w:r>
              <w:rPr>
                <w:rFonts w:ascii="Arial" w:cs="Arial" w:eastAsia="Arial" w:hAnsi="Arial"/>
                <w:sz w:val="18"/>
                <w:szCs w:val="18"/>
                <w:color w:val="auto"/>
              </w:rPr>
              <w:t>4.12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2960" w:type="dxa"/>
            <w:vAlign w:val="bottom"/>
            <w:tcBorders>
              <w:top w:val="single" w:sz="8" w:color="0000EE"/>
            </w:tcBorders>
            <w:gridSpan w:val="9"/>
          </w:tcPr>
          <w:p>
            <w:pPr>
              <w:spacing w:after="0"/>
              <w:rPr>
                <w:sz w:val="24"/>
                <w:szCs w:val="24"/>
                <w:color w:val="auto"/>
              </w:rPr>
            </w:pPr>
          </w:p>
        </w:tc>
        <w:tc>
          <w:tcPr>
            <w:tcW w:w="2620" w:type="dxa"/>
            <w:vAlign w:val="bottom"/>
            <w:gridSpan w:val="7"/>
          </w:tcPr>
          <w:p>
            <w:pPr>
              <w:jc w:val="right"/>
              <w:ind w:right="5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20" w:type="dxa"/>
            <w:vAlign w:val="bottom"/>
            <w:gridSpan w:val="24"/>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9"/>
                <w:szCs w:val="19"/>
                <w:color w:val="auto"/>
              </w:rPr>
            </w:pPr>
          </w:p>
        </w:tc>
        <w:tc>
          <w:tcPr>
            <w:tcW w:w="6720" w:type="dxa"/>
            <w:vAlign w:val="bottom"/>
            <w:tcBorders>
              <w:bottom w:val="single" w:sz="8" w:color="0000EE"/>
            </w:tcBorders>
            <w:gridSpan w:val="30"/>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Form of Warrant to Purchase Shares issued in July 2012 and August 2012 in connection with</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gridSpan w:val="31"/>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the 2012 convertible note financing.</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22"/>
                <w:szCs w:val="22"/>
                <w:color w:val="auto"/>
              </w:rPr>
            </w:pPr>
          </w:p>
        </w:tc>
        <w:tc>
          <w:tcPr>
            <w:tcW w:w="6820" w:type="dxa"/>
            <w:vAlign w:val="bottom"/>
            <w:tcBorders>
              <w:bottom w:val="single" w:sz="8" w:color="0000EE"/>
            </w:tcBorders>
            <w:gridSpan w:val="31"/>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Form of Convertible Promissory Note issued in April, August and October 2014 in connection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with the 2014 convertible note financing.</w:t>
              </w:r>
            </w:hyperlink>
          </w:p>
        </w:tc>
        <w:tc>
          <w:tcPr>
            <w:tcW w:w="38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22"/>
                <w:szCs w:val="22"/>
                <w:color w:val="auto"/>
              </w:rPr>
            </w:pPr>
          </w:p>
        </w:tc>
        <w:tc>
          <w:tcPr>
            <w:tcW w:w="6700" w:type="dxa"/>
            <w:vAlign w:val="bottom"/>
            <w:tcBorders>
              <w:bottom w:val="single" w:sz="8" w:color="0000EE"/>
            </w:tcBorders>
            <w:gridSpan w:val="29"/>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Form of Warrant to Purchase Shares issued in April, August and October 2014 in connection</w:t>
              </w:r>
            </w:hyperlink>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with the 2014 convertible note financing.</w:t>
              </w:r>
            </w:hyperlink>
          </w:p>
        </w:tc>
        <w:tc>
          <w:tcPr>
            <w:tcW w:w="38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22"/>
                <w:szCs w:val="22"/>
                <w:color w:val="auto"/>
              </w:rPr>
            </w:pPr>
          </w:p>
        </w:tc>
        <w:tc>
          <w:tcPr>
            <w:tcW w:w="6820" w:type="dxa"/>
            <w:vAlign w:val="bottom"/>
            <w:gridSpan w:val="31"/>
          </w:tcPr>
          <w:p>
            <w:pPr>
              <w:spacing w:after="0"/>
              <w:rPr>
                <w:rFonts w:ascii="Arial" w:cs="Arial" w:eastAsia="Arial" w:hAnsi="Arial"/>
                <w:sz w:val="18"/>
                <w:szCs w:val="18"/>
                <w:color w:val="0000EE"/>
              </w:rPr>
            </w:pPr>
            <w:hyperlink r:id="rId76">
              <w:r>
                <w:rPr>
                  <w:rFonts w:ascii="Arial" w:cs="Arial" w:eastAsia="Arial" w:hAnsi="Arial"/>
                  <w:sz w:val="18"/>
                  <w:szCs w:val="18"/>
                  <w:color w:val="0000EE"/>
                </w:rPr>
                <w:t>Form of unit certificate.</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22"/>
                <w:szCs w:val="22"/>
                <w:color w:val="auto"/>
              </w:rPr>
            </w:pPr>
          </w:p>
        </w:tc>
        <w:tc>
          <w:tcPr>
            <w:tcW w:w="6820" w:type="dxa"/>
            <w:vAlign w:val="bottom"/>
            <w:gridSpan w:val="31"/>
          </w:tcPr>
          <w:p>
            <w:pPr>
              <w:spacing w:after="0"/>
              <w:rPr>
                <w:rFonts w:ascii="Arial" w:cs="Arial" w:eastAsia="Arial" w:hAnsi="Arial"/>
                <w:sz w:val="18"/>
                <w:szCs w:val="18"/>
                <w:color w:val="0000EE"/>
              </w:rPr>
            </w:pPr>
            <w:hyperlink r:id="rId77">
              <w:r>
                <w:rPr>
                  <w:rFonts w:ascii="Arial" w:cs="Arial" w:eastAsia="Arial" w:hAnsi="Arial"/>
                  <w:sz w:val="18"/>
                  <w:szCs w:val="18"/>
                  <w:color w:val="0000EE"/>
                </w:rPr>
                <w:t>Form of Series B Warrant Agreement.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22"/>
                <w:szCs w:val="22"/>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Form of the Series B Warrant certificate.</w:t>
              </w:r>
            </w:hyperlink>
          </w:p>
        </w:tc>
        <w:tc>
          <w:tcPr>
            <w:tcW w:w="3880" w:type="dxa"/>
            <w:vAlign w:val="bottom"/>
            <w:gridSpan w:val="2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22"/>
                <w:szCs w:val="22"/>
                <w:color w:val="auto"/>
              </w:rPr>
            </w:pPr>
          </w:p>
        </w:tc>
        <w:tc>
          <w:tcPr>
            <w:tcW w:w="3020" w:type="dxa"/>
            <w:vAlign w:val="bottom"/>
            <w:tcBorders>
              <w:bottom w:val="single" w:sz="8" w:color="0000EE"/>
            </w:tcBorders>
            <w:gridSpan w:val="13"/>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Form of the Series C Warrant Agreement.</w:t>
              </w:r>
            </w:hyperlink>
          </w:p>
        </w:tc>
        <w:tc>
          <w:tcPr>
            <w:tcW w:w="380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22"/>
                <w:szCs w:val="22"/>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Form of the Series C Warrant certificate.</w:t>
              </w:r>
            </w:hyperlink>
          </w:p>
        </w:tc>
        <w:tc>
          <w:tcPr>
            <w:tcW w:w="3880" w:type="dxa"/>
            <w:vAlign w:val="bottom"/>
            <w:gridSpan w:val="2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22"/>
                <w:szCs w:val="22"/>
                <w:color w:val="auto"/>
              </w:rPr>
            </w:pPr>
          </w:p>
        </w:tc>
        <w:tc>
          <w:tcPr>
            <w:tcW w:w="3780" w:type="dxa"/>
            <w:vAlign w:val="bottom"/>
            <w:tcBorders>
              <w:bottom w:val="single" w:sz="8" w:color="0000EE"/>
            </w:tcBorders>
            <w:gridSpan w:val="15"/>
          </w:tcPr>
          <w:p>
            <w:pPr>
              <w:spacing w:after="0"/>
              <w:rPr>
                <w:rFonts w:ascii="Arial" w:cs="Arial" w:eastAsia="Arial" w:hAnsi="Arial"/>
                <w:sz w:val="18"/>
                <w:szCs w:val="18"/>
                <w:color w:val="0000EE"/>
                <w:w w:val="89"/>
              </w:rPr>
            </w:pPr>
            <w:hyperlink r:id="rId81">
              <w:r>
                <w:rPr>
                  <w:rFonts w:ascii="Arial" w:cs="Arial" w:eastAsia="Arial" w:hAnsi="Arial"/>
                  <w:sz w:val="18"/>
                  <w:szCs w:val="18"/>
                  <w:color w:val="0000EE"/>
                  <w:w w:val="89"/>
                </w:rPr>
                <w:t>Form of Series D Common Stock Purchase Warrant.</w:t>
              </w:r>
            </w:hyperlink>
          </w:p>
        </w:tc>
        <w:tc>
          <w:tcPr>
            <w:tcW w:w="304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22"/>
                <w:szCs w:val="22"/>
                <w:color w:val="auto"/>
              </w:rPr>
            </w:pPr>
          </w:p>
        </w:tc>
        <w:tc>
          <w:tcPr>
            <w:tcW w:w="2600" w:type="dxa"/>
            <w:vAlign w:val="bottom"/>
            <w:tcBorders>
              <w:bottom w:val="single" w:sz="8" w:color="0000EE"/>
            </w:tcBorders>
            <w:gridSpan w:val="7"/>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Form of Placement Agent Warrant.</w:t>
              </w:r>
            </w:hyperlink>
          </w:p>
        </w:tc>
        <w:tc>
          <w:tcPr>
            <w:tcW w:w="4220" w:type="dxa"/>
            <w:vAlign w:val="bottom"/>
            <w:gridSpan w:val="2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22"/>
                <w:szCs w:val="22"/>
                <w:color w:val="auto"/>
              </w:rPr>
            </w:pPr>
          </w:p>
        </w:tc>
        <w:tc>
          <w:tcPr>
            <w:tcW w:w="3820" w:type="dxa"/>
            <w:vAlign w:val="bottom"/>
            <w:tcBorders>
              <w:bottom w:val="single" w:sz="8" w:color="0000EE"/>
            </w:tcBorders>
            <w:gridSpan w:val="16"/>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Form of Series D common stock Warrant Certificate.</w:t>
              </w:r>
            </w:hyperlink>
          </w:p>
        </w:tc>
        <w:tc>
          <w:tcPr>
            <w:tcW w:w="300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22"/>
                <w:szCs w:val="22"/>
                <w:color w:val="auto"/>
              </w:rPr>
            </w:pPr>
          </w:p>
        </w:tc>
        <w:tc>
          <w:tcPr>
            <w:tcW w:w="4180" w:type="dxa"/>
            <w:vAlign w:val="bottom"/>
            <w:tcBorders>
              <w:bottom w:val="single" w:sz="8" w:color="0000EE"/>
            </w:tcBorders>
            <w:gridSpan w:val="18"/>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Form of Series A Convertible Preferred Stock Certificate.</w:t>
              </w:r>
            </w:hyperlink>
          </w:p>
        </w:tc>
        <w:tc>
          <w:tcPr>
            <w:tcW w:w="264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22"/>
                <w:szCs w:val="22"/>
                <w:color w:val="auto"/>
              </w:rPr>
            </w:pPr>
          </w:p>
        </w:tc>
        <w:tc>
          <w:tcPr>
            <w:tcW w:w="2600" w:type="dxa"/>
            <w:vAlign w:val="bottom"/>
            <w:tcBorders>
              <w:bottom w:val="single" w:sz="8" w:color="0000EE"/>
            </w:tcBorders>
            <w:gridSpan w:val="7"/>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Form of Placement Agent Warrant.</w:t>
              </w:r>
            </w:hyperlink>
          </w:p>
        </w:tc>
        <w:tc>
          <w:tcPr>
            <w:tcW w:w="4220" w:type="dxa"/>
            <w:vAlign w:val="bottom"/>
            <w:gridSpan w:val="2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22"/>
                <w:szCs w:val="22"/>
                <w:color w:val="auto"/>
              </w:rPr>
            </w:pPr>
          </w:p>
        </w:tc>
        <w:tc>
          <w:tcPr>
            <w:tcW w:w="4160" w:type="dxa"/>
            <w:vAlign w:val="bottom"/>
            <w:tcBorders>
              <w:bottom w:val="single" w:sz="8" w:color="0000EE"/>
            </w:tcBorders>
            <w:gridSpan w:val="17"/>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Form of Series B Convertible Preferred Stock Certificate.</w:t>
              </w:r>
            </w:hyperlink>
          </w:p>
        </w:tc>
        <w:tc>
          <w:tcPr>
            <w:tcW w:w="266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22"/>
                <w:szCs w:val="22"/>
                <w:color w:val="auto"/>
              </w:rPr>
            </w:pPr>
          </w:p>
        </w:tc>
        <w:tc>
          <w:tcPr>
            <w:tcW w:w="3080" w:type="dxa"/>
            <w:vAlign w:val="bottom"/>
            <w:tcBorders>
              <w:bottom w:val="single" w:sz="8" w:color="0000EE"/>
            </w:tcBorders>
            <w:gridSpan w:val="14"/>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Form of Common Stock Purchase Warrant</w:t>
              </w:r>
            </w:hyperlink>
          </w:p>
        </w:tc>
        <w:tc>
          <w:tcPr>
            <w:tcW w:w="374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9.10</w:t>
            </w:r>
          </w:p>
        </w:tc>
        <w:tc>
          <w:tcPr>
            <w:tcW w:w="200" w:type="dxa"/>
            <w:vAlign w:val="bottom"/>
          </w:tcPr>
          <w:p>
            <w:pPr>
              <w:spacing w:after="0"/>
              <w:rPr>
                <w:sz w:val="22"/>
                <w:szCs w:val="22"/>
                <w:color w:val="auto"/>
              </w:rPr>
            </w:pPr>
          </w:p>
        </w:tc>
        <w:tc>
          <w:tcPr>
            <w:tcW w:w="6820" w:type="dxa"/>
            <w:vAlign w:val="bottom"/>
            <w:gridSpan w:val="31"/>
          </w:tcPr>
          <w:p>
            <w:pPr>
              <w:spacing w:after="0"/>
              <w:rPr>
                <w:rFonts w:ascii="Arial" w:cs="Arial" w:eastAsia="Arial" w:hAnsi="Arial"/>
                <w:sz w:val="18"/>
                <w:szCs w:val="18"/>
                <w:color w:val="0000EE"/>
              </w:rPr>
            </w:pPr>
            <w:hyperlink r:id="rId88">
              <w:r>
                <w:rPr>
                  <w:rFonts w:ascii="Arial" w:cs="Arial" w:eastAsia="Arial" w:hAnsi="Arial"/>
                  <w:sz w:val="18"/>
                  <w:szCs w:val="18"/>
                  <w:color w:val="0000EE"/>
                </w:rPr>
                <w:t>Form of Voting Agreement.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22"/>
                <w:szCs w:val="22"/>
                <w:color w:val="auto"/>
              </w:rPr>
            </w:pPr>
          </w:p>
        </w:tc>
        <w:tc>
          <w:tcPr>
            <w:tcW w:w="6820" w:type="dxa"/>
            <w:vAlign w:val="bottom"/>
            <w:gridSpan w:val="31"/>
          </w:tcPr>
          <w:p>
            <w:pPr>
              <w:spacing w:after="0"/>
              <w:rPr>
                <w:rFonts w:ascii="Arial" w:cs="Arial" w:eastAsia="Arial" w:hAnsi="Arial"/>
                <w:sz w:val="18"/>
                <w:szCs w:val="18"/>
                <w:color w:val="0000EE"/>
              </w:rPr>
            </w:pPr>
            <w:hyperlink r:id="rId89">
              <w:r>
                <w:rPr>
                  <w:rFonts w:ascii="Arial" w:cs="Arial" w:eastAsia="Arial" w:hAnsi="Arial"/>
                  <w:sz w:val="18"/>
                  <w:szCs w:val="18"/>
                  <w:color w:val="0000EE"/>
                </w:rPr>
                <w:t>Form of Voting Agreement.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9.30</w:t>
            </w:r>
          </w:p>
        </w:tc>
        <w:tc>
          <w:tcPr>
            <w:tcW w:w="200" w:type="dxa"/>
            <w:vAlign w:val="bottom"/>
          </w:tcPr>
          <w:p>
            <w:pPr>
              <w:spacing w:after="0"/>
              <w:rPr>
                <w:sz w:val="22"/>
                <w:szCs w:val="22"/>
                <w:color w:val="auto"/>
              </w:rPr>
            </w:pPr>
          </w:p>
        </w:tc>
        <w:tc>
          <w:tcPr>
            <w:tcW w:w="6820" w:type="dxa"/>
            <w:vAlign w:val="bottom"/>
            <w:gridSpan w:val="31"/>
          </w:tcPr>
          <w:p>
            <w:pPr>
              <w:spacing w:after="0"/>
              <w:rPr>
                <w:rFonts w:ascii="Arial" w:cs="Arial" w:eastAsia="Arial" w:hAnsi="Arial"/>
                <w:sz w:val="18"/>
                <w:szCs w:val="18"/>
                <w:color w:val="0000EE"/>
              </w:rPr>
            </w:pPr>
            <w:hyperlink r:id="rId90">
              <w:r>
                <w:rPr>
                  <w:rFonts w:ascii="Arial" w:cs="Arial" w:eastAsia="Arial" w:hAnsi="Arial"/>
                  <w:sz w:val="18"/>
                  <w:szCs w:val="18"/>
                  <w:color w:val="0000EE"/>
                </w:rPr>
                <w:t>Form of Voting Agreement.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2"/>
                <w:szCs w:val="22"/>
                <w:color w:val="auto"/>
              </w:rPr>
            </w:pPr>
          </w:p>
        </w:tc>
        <w:tc>
          <w:tcPr>
            <w:tcW w:w="6400" w:type="dxa"/>
            <w:vAlign w:val="bottom"/>
            <w:tcBorders>
              <w:bottom w:val="single" w:sz="8" w:color="0000EE"/>
            </w:tcBorders>
            <w:gridSpan w:val="24"/>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Form of Indemnification Agreement between the Registrant and each of its directors and</w:t>
              </w:r>
            </w:hyperlink>
          </w:p>
        </w:tc>
        <w:tc>
          <w:tcPr>
            <w:tcW w:w="42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gridSpan w:val="31"/>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executive officers.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2"/>
                <w:szCs w:val="22"/>
                <w:color w:val="auto"/>
              </w:rPr>
            </w:pPr>
          </w:p>
        </w:tc>
        <w:tc>
          <w:tcPr>
            <w:tcW w:w="4580" w:type="dxa"/>
            <w:vAlign w:val="bottom"/>
            <w:tcBorders>
              <w:bottom w:val="single" w:sz="8" w:color="0000EE"/>
            </w:tcBorders>
            <w:gridSpan w:val="20"/>
          </w:tcPr>
          <w:p>
            <w:pPr>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1999 Incentive Stock Plan and forms of agreements thereunder.</w:t>
              </w:r>
            </w:hyperlink>
          </w:p>
        </w:tc>
        <w:tc>
          <w:tcPr>
            <w:tcW w:w="224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2"/>
                <w:szCs w:val="22"/>
                <w:color w:val="auto"/>
              </w:rPr>
            </w:pPr>
          </w:p>
        </w:tc>
        <w:tc>
          <w:tcPr>
            <w:tcW w:w="6820" w:type="dxa"/>
            <w:vAlign w:val="bottom"/>
            <w:gridSpan w:val="31"/>
          </w:tcPr>
          <w:p>
            <w:pPr>
              <w:spacing w:after="0"/>
              <w:rPr>
                <w:rFonts w:ascii="Arial" w:cs="Arial" w:eastAsia="Arial" w:hAnsi="Arial"/>
                <w:sz w:val="18"/>
                <w:szCs w:val="18"/>
                <w:color w:val="0000EE"/>
              </w:rPr>
            </w:pPr>
            <w:hyperlink r:id="rId93">
              <w:r>
                <w:rPr>
                  <w:rFonts w:ascii="Arial" w:cs="Arial" w:eastAsia="Arial" w:hAnsi="Arial"/>
                  <w:sz w:val="18"/>
                  <w:szCs w:val="18"/>
                  <w:color w:val="0000EE"/>
                </w:rPr>
                <w:t>2010 Equity Incentive Plan and forms of agreements thereunder.</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320" w:type="dxa"/>
            <w:vAlign w:val="bottom"/>
            <w:gridSpan w:val="10"/>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2"/>
                <w:szCs w:val="22"/>
                <w:color w:val="auto"/>
              </w:rPr>
            </w:pPr>
          </w:p>
        </w:tc>
        <w:tc>
          <w:tcPr>
            <w:tcW w:w="6820" w:type="dxa"/>
            <w:vAlign w:val="bottom"/>
            <w:gridSpan w:val="31"/>
          </w:tcPr>
          <w:p>
            <w:pPr>
              <w:spacing w:after="0"/>
              <w:rPr>
                <w:rFonts w:ascii="Arial" w:cs="Arial" w:eastAsia="Arial" w:hAnsi="Arial"/>
                <w:sz w:val="18"/>
                <w:szCs w:val="18"/>
                <w:color w:val="0000EE"/>
              </w:rPr>
            </w:pPr>
            <w:hyperlink r:id="rId94">
              <w:r>
                <w:rPr>
                  <w:rFonts w:ascii="Arial" w:cs="Arial" w:eastAsia="Arial" w:hAnsi="Arial"/>
                  <w:sz w:val="18"/>
                  <w:szCs w:val="18"/>
                  <w:color w:val="0000EE"/>
                </w:rPr>
                <w:t>2014 Equity Incentive Plan and forms of agreements thereunder.</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320" w:type="dxa"/>
            <w:vAlign w:val="bottom"/>
            <w:gridSpan w:val="10"/>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2"/>
                <w:szCs w:val="22"/>
                <w:color w:val="auto"/>
              </w:rPr>
            </w:pPr>
          </w:p>
        </w:tc>
        <w:tc>
          <w:tcPr>
            <w:tcW w:w="5340" w:type="dxa"/>
            <w:vAlign w:val="bottom"/>
            <w:tcBorders>
              <w:bottom w:val="single" w:sz="8" w:color="0000EE"/>
            </w:tcBorders>
            <w:gridSpan w:val="22"/>
          </w:tcPr>
          <w:p>
            <w:pPr>
              <w:spacing w:after="0"/>
              <w:rPr>
                <w:rFonts w:ascii="Arial" w:cs="Arial" w:eastAsia="Arial" w:hAnsi="Arial"/>
                <w:sz w:val="18"/>
                <w:szCs w:val="18"/>
                <w:color w:val="0000EE"/>
                <w:w w:val="88"/>
              </w:rPr>
            </w:pPr>
            <w:hyperlink r:id="rId95">
              <w:r>
                <w:rPr>
                  <w:rFonts w:ascii="Arial" w:cs="Arial" w:eastAsia="Arial" w:hAnsi="Arial"/>
                  <w:sz w:val="18"/>
                  <w:szCs w:val="18"/>
                  <w:color w:val="0000EE"/>
                  <w:w w:val="88"/>
                </w:rPr>
                <w:t>2014 Employee Stock Purchase Plan and forms of agreements thereunder.</w:t>
              </w:r>
            </w:hyperlink>
          </w:p>
        </w:tc>
        <w:tc>
          <w:tcPr>
            <w:tcW w:w="14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2"/>
                <w:szCs w:val="22"/>
                <w:color w:val="auto"/>
              </w:rPr>
            </w:pPr>
          </w:p>
        </w:tc>
        <w:tc>
          <w:tcPr>
            <w:tcW w:w="6820" w:type="dxa"/>
            <w:vAlign w:val="bottom"/>
            <w:gridSpan w:val="31"/>
          </w:tcPr>
          <w:p>
            <w:pPr>
              <w:spacing w:after="0"/>
              <w:rPr>
                <w:rFonts w:ascii="Arial" w:cs="Arial" w:eastAsia="Arial" w:hAnsi="Arial"/>
                <w:sz w:val="18"/>
                <w:szCs w:val="18"/>
                <w:color w:val="0000EE"/>
                <w:w w:val="96"/>
              </w:rPr>
            </w:pPr>
            <w:hyperlink r:id="rId96">
              <w:r>
                <w:rPr>
                  <w:rFonts w:ascii="Arial" w:cs="Arial" w:eastAsia="Arial" w:hAnsi="Arial"/>
                  <w:sz w:val="18"/>
                  <w:szCs w:val="18"/>
                  <w:color w:val="0000EE"/>
                  <w:w w:val="96"/>
                </w:rPr>
                <w:t>Offer Letter, dated June 22, 2007, by and between Soleno Therapeutics, Inc. and Ernest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Mario, Ph.D.</w:t>
              </w:r>
            </w:hyperlink>
          </w:p>
        </w:tc>
        <w:tc>
          <w:tcPr>
            <w:tcW w:w="5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2"/>
                <w:szCs w:val="22"/>
                <w:color w:val="auto"/>
              </w:rPr>
            </w:pPr>
          </w:p>
        </w:tc>
        <w:tc>
          <w:tcPr>
            <w:tcW w:w="6680" w:type="dxa"/>
            <w:vAlign w:val="bottom"/>
            <w:tcBorders>
              <w:bottom w:val="single" w:sz="8" w:color="0000EE"/>
            </w:tcBorders>
            <w:gridSpan w:val="28"/>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Employment Agreement, dated April 6, 2010, by and between Soleno Therapeutics, Inc. and</w:t>
              </w:r>
            </w:hyperlink>
          </w:p>
        </w:tc>
        <w:tc>
          <w:tcPr>
            <w:tcW w:w="1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Anish Bhatnagar.</w:t>
              </w:r>
            </w:hyperlink>
          </w:p>
        </w:tc>
        <w:tc>
          <w:tcPr>
            <w:tcW w:w="55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2"/>
                <w:szCs w:val="22"/>
                <w:color w:val="auto"/>
              </w:rPr>
            </w:pPr>
          </w:p>
        </w:tc>
        <w:tc>
          <w:tcPr>
            <w:tcW w:w="6820" w:type="dxa"/>
            <w:vAlign w:val="bottom"/>
            <w:gridSpan w:val="31"/>
          </w:tcPr>
          <w:p>
            <w:pPr>
              <w:spacing w:after="0"/>
              <w:rPr>
                <w:rFonts w:ascii="Arial" w:cs="Arial" w:eastAsia="Arial" w:hAnsi="Arial"/>
                <w:sz w:val="18"/>
                <w:szCs w:val="18"/>
                <w:color w:val="0000EE"/>
                <w:w w:val="93"/>
              </w:rPr>
            </w:pPr>
            <w:hyperlink r:id="rId98">
              <w:r>
                <w:rPr>
                  <w:rFonts w:ascii="Arial" w:cs="Arial" w:eastAsia="Arial" w:hAnsi="Arial"/>
                  <w:sz w:val="18"/>
                  <w:szCs w:val="18"/>
                  <w:color w:val="0000EE"/>
                  <w:w w:val="93"/>
                </w:rPr>
                <w:t>Offer Letter, dated May 29, 2013, between Soleno Therapeutics, Inc. and Anthony Wondka.</w:t>
              </w:r>
            </w:hyperlink>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2"/>
                <w:szCs w:val="22"/>
                <w:color w:val="auto"/>
              </w:rPr>
            </w:pPr>
          </w:p>
        </w:tc>
        <w:tc>
          <w:tcPr>
            <w:tcW w:w="6440" w:type="dxa"/>
            <w:vAlign w:val="bottom"/>
            <w:tcBorders>
              <w:top w:val="single" w:sz="8" w:color="0000EE"/>
              <w:bottom w:val="single" w:sz="8" w:color="0000EE"/>
            </w:tcBorders>
            <w:gridSpan w:val="25"/>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Offer Letter, dated April 17, 2014, by and between Soleno Therapeutics, Inc. and Antoun</w:t>
              </w:r>
            </w:hyperlink>
          </w:p>
        </w:tc>
        <w:tc>
          <w:tcPr>
            <w:tcW w:w="180" w:type="dxa"/>
            <w:vAlign w:val="bottom"/>
            <w:tcBorders>
              <w:top w:val="single" w:sz="8" w:color="0000EE"/>
            </w:tcBorders>
            <w:gridSpan w:val="2"/>
          </w:tcPr>
          <w:p>
            <w:pPr>
              <w:spacing w:after="0"/>
              <w:rPr>
                <w:sz w:val="22"/>
                <w:szCs w:val="22"/>
                <w:color w:val="auto"/>
              </w:rPr>
            </w:pPr>
          </w:p>
        </w:tc>
        <w:tc>
          <w:tcPr>
            <w:tcW w:w="2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gridSpan w:val="31"/>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Nabhan.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2"/>
                <w:szCs w:val="22"/>
                <w:color w:val="auto"/>
              </w:rPr>
            </w:pPr>
          </w:p>
        </w:tc>
        <w:tc>
          <w:tcPr>
            <w:tcW w:w="6820" w:type="dxa"/>
            <w:vAlign w:val="bottom"/>
            <w:gridSpan w:val="31"/>
          </w:tcPr>
          <w:p>
            <w:pPr>
              <w:spacing w:after="0"/>
              <w:rPr>
                <w:rFonts w:ascii="Arial" w:cs="Arial" w:eastAsia="Arial" w:hAnsi="Arial"/>
                <w:sz w:val="18"/>
                <w:szCs w:val="18"/>
                <w:color w:val="0000EE"/>
                <w:w w:val="93"/>
              </w:rPr>
            </w:pPr>
            <w:hyperlink r:id="rId100">
              <w:r>
                <w:rPr>
                  <w:rFonts w:ascii="Arial" w:cs="Arial" w:eastAsia="Arial" w:hAnsi="Arial"/>
                  <w:sz w:val="18"/>
                  <w:szCs w:val="18"/>
                  <w:color w:val="0000EE"/>
                  <w:w w:val="93"/>
                </w:rPr>
                <w:t>Asset Purchase Agreement dated May 11, 2010, by and between Soleno Therapeutics, Inc.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and BioMedical Drug Development Inc.</w:t>
              </w:r>
            </w:hyperlink>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gridSpan w:val="9"/>
            <w:shd w:val="clear" w:color="auto" w:fill="0000EE"/>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250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2"/>
                <w:szCs w:val="22"/>
                <w:color w:val="auto"/>
              </w:rPr>
            </w:pPr>
          </w:p>
        </w:tc>
        <w:tc>
          <w:tcPr>
            <w:tcW w:w="6720" w:type="dxa"/>
            <w:vAlign w:val="bottom"/>
            <w:tcBorders>
              <w:bottom w:val="single" w:sz="8" w:color="0000EE"/>
            </w:tcBorders>
            <w:gridSpan w:val="30"/>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Convertible Note and Warrant Purchase Agreement, dated February 10, 2010, by and among</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gridSpan w:val="31"/>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Soleno Therapeutics, Inc. and the investors named therein.</w:t>
              </w:r>
            </w:hyperlink>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4200" w:type="dxa"/>
            <w:vAlign w:val="bottom"/>
            <w:tcBorders>
              <w:top w:val="single" w:sz="8" w:color="0000EE"/>
            </w:tcBorders>
            <w:gridSpan w:val="18"/>
          </w:tcPr>
          <w:p>
            <w:pPr>
              <w:spacing w:after="0"/>
              <w:rPr>
                <w:sz w:val="24"/>
                <w:szCs w:val="2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34</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Registrant’s</w:t>
            </w:r>
          </w:p>
        </w:tc>
        <w:tc>
          <w:tcPr>
            <w:tcW w:w="1700" w:type="dxa"/>
            <w:vAlign w:val="bottom"/>
            <w:tcBorders>
              <w:top w:val="single" w:sz="8" w:color="auto"/>
            </w:tcBorders>
            <w:gridSpan w:val="2"/>
          </w:tcPr>
          <w:p>
            <w:pPr>
              <w:ind w:left="480"/>
              <w:spacing w:after="0" w:line="119" w:lineRule="exact"/>
              <w:rPr>
                <w:sz w:val="20"/>
                <w:szCs w:val="20"/>
                <w:color w:val="auto"/>
              </w:rPr>
            </w:pPr>
            <w:r>
              <w:rPr>
                <w:rFonts w:ascii="Arial" w:cs="Arial" w:eastAsia="Arial" w:hAnsi="Arial"/>
                <w:sz w:val="13"/>
                <w:szCs w:val="13"/>
                <w:b w:val="1"/>
                <w:bCs w:val="1"/>
                <w:color w:val="auto"/>
              </w:rPr>
              <w:t>Date Filed</w:t>
            </w:r>
          </w:p>
        </w:tc>
        <w:tc>
          <w:tcPr>
            <w:tcW w:w="6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r>
      <w:tr>
        <w:trPr>
          <w:trHeight w:val="185"/>
        </w:trPr>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5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with the SEC</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48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520" w:type="dxa"/>
            <w:vAlign w:val="bottom"/>
          </w:tcPr>
          <w:p>
            <w:pPr>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520" w:type="dxa"/>
            <w:vAlign w:val="bottom"/>
          </w:tcPr>
          <w:p>
            <w:pPr>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520" w:type="dxa"/>
            <w:vAlign w:val="bottom"/>
          </w:tcPr>
          <w:p>
            <w:pPr>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S-4</w:t>
            </w:r>
          </w:p>
        </w:tc>
        <w:tc>
          <w:tcPr>
            <w:tcW w:w="170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520" w:type="dxa"/>
            <w:vAlign w:val="bottom"/>
          </w:tcPr>
          <w:p>
            <w:pPr>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S-4</w:t>
            </w:r>
          </w:p>
        </w:tc>
        <w:tc>
          <w:tcPr>
            <w:tcW w:w="170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520" w:type="dxa"/>
            <w:vAlign w:val="bottom"/>
          </w:tcPr>
          <w:p>
            <w:pPr>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December 13, 2017</w:t>
            </w:r>
          </w:p>
        </w:tc>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520" w:type="dxa"/>
            <w:vAlign w:val="bottom"/>
          </w:tcPr>
          <w:p>
            <w:pPr>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520" w:type="dxa"/>
            <w:vAlign w:val="bottom"/>
          </w:tcPr>
          <w:p>
            <w:pPr>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December 27, 2016</w:t>
            </w:r>
          </w:p>
        </w:tc>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July 1, 2014</w:t>
            </w:r>
          </w:p>
        </w:tc>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July 1, 2014</w:t>
            </w:r>
          </w:p>
        </w:tc>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2">
            <w:col w:w="7540" w:space="120"/>
            <w:col w:w="3760"/>
          </w:cols>
          <w:pgMar w:left="240" w:top="459" w:right="23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80" w:type="dxa"/>
            <w:vAlign w:val="bottom"/>
            <w:gridSpan w:val="22"/>
            <w:vMerge w:val="restart"/>
          </w:tcPr>
          <w:p>
            <w:pPr>
              <w:ind w:left="1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80" w:type="dxa"/>
            <w:vAlign w:val="bottom"/>
            <w:tcBorders>
              <w:bottom w:val="single" w:sz="8" w:color="auto"/>
            </w:tcBorders>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9"/>
                <w:szCs w:val="19"/>
                <w:color w:val="auto"/>
              </w:rPr>
            </w:pPr>
          </w:p>
        </w:tc>
        <w:tc>
          <w:tcPr>
            <w:tcW w:w="6820" w:type="dxa"/>
            <w:vAlign w:val="bottom"/>
            <w:gridSpan w:val="32"/>
          </w:tcPr>
          <w:p>
            <w:pPr>
              <w:spacing w:after="0"/>
              <w:rPr>
                <w:rFonts w:ascii="Arial" w:cs="Arial" w:eastAsia="Arial" w:hAnsi="Arial"/>
                <w:sz w:val="18"/>
                <w:szCs w:val="18"/>
                <w:color w:val="0000EE"/>
                <w:w w:val="99"/>
              </w:rPr>
            </w:pPr>
            <w:hyperlink r:id="rId103">
              <w:r>
                <w:rPr>
                  <w:rFonts w:ascii="Arial" w:cs="Arial" w:eastAsia="Arial" w:hAnsi="Arial"/>
                  <w:sz w:val="18"/>
                  <w:szCs w:val="18"/>
                  <w:color w:val="0000EE"/>
                  <w:w w:val="99"/>
                </w:rPr>
                <w:t>Amendment No. 1 to Convertible Note and Warrant Purchase Agreement, Convertible</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6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r:id="rId103">
              <w:r>
                <w:rPr>
                  <w:rFonts w:ascii="Arial" w:cs="Arial" w:eastAsia="Arial" w:hAnsi="Arial"/>
                  <w:sz w:val="18"/>
                  <w:szCs w:val="18"/>
                  <w:color w:val="0000EE"/>
                  <w:w w:val="88"/>
                </w:rPr>
                <w:t>Promissory Notes and Warrants to Purchase Shares, dated November 10, 2010, by and among</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Soleno Therapeutics, Inc. and the investors named therein.</w:t>
              </w:r>
            </w:hyperlink>
          </w:p>
        </w:tc>
        <w:tc>
          <w:tcPr>
            <w:tcW w:w="25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2"/>
                <w:szCs w:val="22"/>
                <w:color w:val="auto"/>
              </w:rPr>
            </w:pPr>
          </w:p>
        </w:tc>
        <w:tc>
          <w:tcPr>
            <w:tcW w:w="6820" w:type="dxa"/>
            <w:vAlign w:val="bottom"/>
            <w:gridSpan w:val="32"/>
          </w:tcPr>
          <w:p>
            <w:pPr>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Amendment No. 2 to Convertible Note and Warrant Purchase Agreement, Convertible</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6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Promissory Notes and Warrants to Purchase Shares, dated January 17, 2012, by and among</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gridSpan w:val="32"/>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Soleno Therapeutics, Inc. and the investors named therein.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2"/>
                <w:szCs w:val="22"/>
                <w:color w:val="auto"/>
              </w:rPr>
            </w:pPr>
          </w:p>
        </w:tc>
        <w:tc>
          <w:tcPr>
            <w:tcW w:w="6640" w:type="dxa"/>
            <w:vAlign w:val="bottom"/>
            <w:tcBorders>
              <w:bottom w:val="single" w:sz="8" w:color="0000EE"/>
            </w:tcBorders>
            <w:gridSpan w:val="27"/>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Convertible Note and Warrant Purchase Agreement, dated January 16, 2012, by and among</w:t>
              </w:r>
            </w:hyperlink>
          </w:p>
        </w:tc>
        <w:tc>
          <w:tcPr>
            <w:tcW w:w="18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Soleno Therapeutics, Inc. and the investors named therein.</w:t>
              </w:r>
            </w:hyperlink>
          </w:p>
        </w:tc>
        <w:tc>
          <w:tcPr>
            <w:tcW w:w="25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2"/>
                <w:szCs w:val="22"/>
                <w:color w:val="auto"/>
              </w:rPr>
            </w:pPr>
          </w:p>
        </w:tc>
        <w:tc>
          <w:tcPr>
            <w:tcW w:w="6480" w:type="dxa"/>
            <w:vAlign w:val="bottom"/>
            <w:tcBorders>
              <w:bottom w:val="single" w:sz="8" w:color="0000EE"/>
            </w:tcBorders>
            <w:gridSpan w:val="21"/>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Omnibus Amendment to Convertible Note and Warrant Purchase Agreement, Convertible</w:t>
              </w:r>
            </w:hyperlink>
          </w:p>
        </w:tc>
        <w:tc>
          <w:tcPr>
            <w:tcW w:w="34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06">
              <w:r>
                <w:rPr>
                  <w:rFonts w:ascii="Arial" w:cs="Arial" w:eastAsia="Arial" w:hAnsi="Arial"/>
                  <w:sz w:val="18"/>
                  <w:szCs w:val="18"/>
                  <w:color w:val="0000EE"/>
                  <w:w w:val="88"/>
                </w:rPr>
                <w:t>Promissory Notes and Warrants to Purchase Shares, dated July 31, 2012, by and among</w:t>
              </w:r>
            </w:hyperlink>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Soleno Therapeutics, Inc. and the investors named therein.</w:t>
              </w:r>
            </w:hyperlink>
          </w:p>
        </w:tc>
        <w:tc>
          <w:tcPr>
            <w:tcW w:w="25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2"/>
                <w:szCs w:val="22"/>
                <w:color w:val="auto"/>
              </w:rPr>
            </w:pPr>
          </w:p>
        </w:tc>
        <w:tc>
          <w:tcPr>
            <w:tcW w:w="6460" w:type="dxa"/>
            <w:vAlign w:val="bottom"/>
            <w:tcBorders>
              <w:bottom w:val="single" w:sz="8" w:color="0000EE"/>
            </w:tcBorders>
            <w:gridSpan w:val="20"/>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Omnibus Amendment to Convertible Promissory Notes and Warrants to Purchase Shares,</w:t>
              </w:r>
            </w:hyperlink>
          </w:p>
        </w:tc>
        <w:tc>
          <w:tcPr>
            <w:tcW w:w="36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gridSpan w:val="32"/>
          </w:tcPr>
          <w:p>
            <w:pPr>
              <w:spacing w:after="0" w:line="196" w:lineRule="exact"/>
              <w:rPr>
                <w:rFonts w:ascii="Arial" w:cs="Arial" w:eastAsia="Arial" w:hAnsi="Arial"/>
                <w:sz w:val="18"/>
                <w:szCs w:val="18"/>
                <w:color w:val="0000EE"/>
                <w:w w:val="97"/>
              </w:rPr>
            </w:pPr>
            <w:hyperlink r:id="rId107">
              <w:r>
                <w:rPr>
                  <w:rFonts w:ascii="Arial" w:cs="Arial" w:eastAsia="Arial" w:hAnsi="Arial"/>
                  <w:sz w:val="18"/>
                  <w:szCs w:val="18"/>
                  <w:color w:val="0000EE"/>
                  <w:w w:val="97"/>
                </w:rPr>
                <w:t>dated April 28, 2014, by and among Soleno Therapeutics, Inc. and the investors named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therein.</w:t>
              </w:r>
            </w:hyperlink>
          </w:p>
        </w:tc>
        <w:tc>
          <w:tcPr>
            <w:tcW w:w="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2"/>
                <w:szCs w:val="22"/>
                <w:color w:val="auto"/>
              </w:rPr>
            </w:pPr>
          </w:p>
        </w:tc>
        <w:tc>
          <w:tcPr>
            <w:tcW w:w="6820" w:type="dxa"/>
            <w:vAlign w:val="bottom"/>
            <w:gridSpan w:val="32"/>
          </w:tcPr>
          <w:p>
            <w:pPr>
              <w:spacing w:after="0"/>
              <w:rPr>
                <w:rFonts w:ascii="Arial" w:cs="Arial" w:eastAsia="Arial" w:hAnsi="Arial"/>
                <w:sz w:val="18"/>
                <w:szCs w:val="18"/>
                <w:color w:val="0000EE"/>
                <w:w w:val="96"/>
              </w:rPr>
            </w:pPr>
            <w:hyperlink r:id="rId108">
              <w:r>
                <w:rPr>
                  <w:rFonts w:ascii="Arial" w:cs="Arial" w:eastAsia="Arial" w:hAnsi="Arial"/>
                  <w:sz w:val="18"/>
                  <w:szCs w:val="18"/>
                  <w:color w:val="0000EE"/>
                  <w:w w:val="96"/>
                </w:rPr>
                <w:t>Convertible Note and Warrant Purchase Agreement, dated April 28, 2014, by and among</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Soleno Therapeutics, Inc. and the investors named therein.</w:t>
              </w:r>
            </w:hyperlink>
          </w:p>
        </w:tc>
        <w:tc>
          <w:tcPr>
            <w:tcW w:w="2200" w:type="dxa"/>
            <w:vAlign w:val="bottom"/>
            <w:tcBorders>
              <w:top w:val="single" w:sz="8" w:color="0000EE"/>
            </w:tcBorders>
            <w:gridSpan w:val="4"/>
          </w:tcPr>
          <w:p>
            <w:pPr>
              <w:spacing w:after="0"/>
              <w:rPr>
                <w:sz w:val="17"/>
                <w:szCs w:val="17"/>
                <w:color w:val="auto"/>
              </w:rPr>
            </w:pPr>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2"/>
                <w:szCs w:val="22"/>
                <w:color w:val="auto"/>
              </w:rPr>
            </w:pPr>
          </w:p>
        </w:tc>
        <w:tc>
          <w:tcPr>
            <w:tcW w:w="6480" w:type="dxa"/>
            <w:vAlign w:val="bottom"/>
            <w:tcBorders>
              <w:bottom w:val="single" w:sz="8" w:color="0000EE"/>
            </w:tcBorders>
            <w:gridSpan w:val="21"/>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Omnibus Amendment to Convertible Note and Warrant Purchase Agreement, Convertible</w:t>
              </w:r>
            </w:hyperlink>
          </w:p>
        </w:tc>
        <w:tc>
          <w:tcPr>
            <w:tcW w:w="34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gridSpan w:val="32"/>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Promissory Notes and Warrants to Purchase Shares, dated May 5, 2014, by and among Soleno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Therapeutics, Inc. and the investors named therein.</w:t>
              </w:r>
            </w:hyperlink>
          </w:p>
        </w:tc>
        <w:tc>
          <w:tcPr>
            <w:tcW w:w="3100" w:type="dxa"/>
            <w:vAlign w:val="bottom"/>
            <w:tcBorders>
              <w:top w:val="single" w:sz="8" w:color="0000EE"/>
            </w:tcBorders>
            <w:gridSpan w:val="1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2"/>
                <w:szCs w:val="22"/>
                <w:color w:val="auto"/>
              </w:rPr>
            </w:pPr>
          </w:p>
        </w:tc>
        <w:tc>
          <w:tcPr>
            <w:tcW w:w="6540" w:type="dxa"/>
            <w:vAlign w:val="bottom"/>
            <w:tcBorders>
              <w:bottom w:val="single" w:sz="8" w:color="0000EE"/>
            </w:tcBorders>
            <w:gridSpan w:val="23"/>
          </w:tcPr>
          <w:p>
            <w:pPr>
              <w:spacing w:after="0"/>
              <w:rPr>
                <w:rFonts w:ascii="Arial" w:cs="Arial" w:eastAsia="Arial" w:hAnsi="Arial"/>
                <w:sz w:val="18"/>
                <w:szCs w:val="18"/>
                <w:color w:val="0000EE"/>
                <w:w w:val="89"/>
              </w:rPr>
            </w:pPr>
            <w:hyperlink r:id="rId110">
              <w:r>
                <w:rPr>
                  <w:rFonts w:ascii="Arial" w:cs="Arial" w:eastAsia="Arial" w:hAnsi="Arial"/>
                  <w:sz w:val="18"/>
                  <w:szCs w:val="18"/>
                  <w:color w:val="0000EE"/>
                  <w:w w:val="89"/>
                </w:rPr>
                <w:t>Sublease, dated May 20, 2014, by and among Soleno Therapeutics, Inc. and Silicon Valley</w:t>
              </w:r>
            </w:hyperlink>
          </w:p>
        </w:tc>
        <w:tc>
          <w:tcPr>
            <w:tcW w:w="2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gridSpan w:val="32"/>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Finance Group.</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22"/>
                <w:szCs w:val="22"/>
                <w:color w:val="auto"/>
              </w:rPr>
            </w:pPr>
          </w:p>
        </w:tc>
        <w:tc>
          <w:tcPr>
            <w:tcW w:w="6820" w:type="dxa"/>
            <w:vAlign w:val="bottom"/>
            <w:gridSpan w:val="32"/>
          </w:tcPr>
          <w:p>
            <w:pPr>
              <w:spacing w:after="0"/>
              <w:rPr>
                <w:rFonts w:ascii="Arial" w:cs="Arial" w:eastAsia="Arial" w:hAnsi="Arial"/>
                <w:sz w:val="18"/>
                <w:szCs w:val="18"/>
                <w:color w:val="0000EE"/>
                <w:w w:val="94"/>
              </w:rPr>
            </w:pPr>
            <w:hyperlink r:id="rId111">
              <w:r>
                <w:rPr>
                  <w:rFonts w:ascii="Arial" w:cs="Arial" w:eastAsia="Arial" w:hAnsi="Arial"/>
                  <w:sz w:val="18"/>
                  <w:szCs w:val="18"/>
                  <w:color w:val="0000EE"/>
                  <w:w w:val="94"/>
                </w:rPr>
                <w:t>Offer Letter, dated June 24, 2014, by and between Soleno Therapeutics, Inc. and David 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O’Toole.</w:t>
              </w:r>
            </w:hyperlink>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22"/>
                <w:szCs w:val="22"/>
                <w:color w:val="auto"/>
              </w:rPr>
            </w:pPr>
          </w:p>
        </w:tc>
        <w:tc>
          <w:tcPr>
            <w:tcW w:w="6660" w:type="dxa"/>
            <w:vAlign w:val="bottom"/>
            <w:tcBorders>
              <w:bottom w:val="single" w:sz="8" w:color="0000EE"/>
            </w:tcBorders>
            <w:gridSpan w:val="28"/>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Loan Agreement by and between Soleno Therapeutics, Inc. and the investors named therein,</w:t>
              </w:r>
            </w:hyperlink>
          </w:p>
        </w:tc>
        <w:tc>
          <w:tcPr>
            <w:tcW w:w="1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gridSpan w:val="32"/>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dated September 29, 2014.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2"/>
                <w:szCs w:val="22"/>
                <w:color w:val="auto"/>
              </w:rPr>
            </w:pPr>
          </w:p>
        </w:tc>
        <w:tc>
          <w:tcPr>
            <w:tcW w:w="6820" w:type="dxa"/>
            <w:vAlign w:val="bottom"/>
            <w:gridSpan w:val="32"/>
          </w:tcPr>
          <w:p>
            <w:pPr>
              <w:spacing w:after="0"/>
              <w:rPr>
                <w:rFonts w:ascii="Arial" w:cs="Arial" w:eastAsia="Arial" w:hAnsi="Arial"/>
                <w:sz w:val="18"/>
                <w:szCs w:val="18"/>
                <w:color w:val="0000EE"/>
                <w:w w:val="97"/>
              </w:rPr>
            </w:pPr>
            <w:hyperlink r:id="rId113">
              <w:r>
                <w:rPr>
                  <w:rFonts w:ascii="Arial" w:cs="Arial" w:eastAsia="Arial" w:hAnsi="Arial"/>
                  <w:sz w:val="18"/>
                  <w:szCs w:val="18"/>
                  <w:color w:val="0000EE"/>
                  <w:w w:val="97"/>
                </w:rPr>
                <w:t>Revised Second Tranche Closing Notice and Letter Amendment dated August 18, 2014</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relating to the August 2014 Notes.</w:t>
              </w:r>
            </w:hyperlink>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10.23</w:t>
            </w:r>
          </w:p>
        </w:tc>
        <w:tc>
          <w:tcPr>
            <w:tcW w:w="200" w:type="dxa"/>
            <w:vAlign w:val="bottom"/>
          </w:tcPr>
          <w:p>
            <w:pPr>
              <w:spacing w:after="0"/>
              <w:rPr>
                <w:sz w:val="22"/>
                <w:szCs w:val="22"/>
                <w:color w:val="auto"/>
              </w:rPr>
            </w:pPr>
          </w:p>
        </w:tc>
        <w:tc>
          <w:tcPr>
            <w:tcW w:w="6620" w:type="dxa"/>
            <w:vAlign w:val="bottom"/>
            <w:tcBorders>
              <w:bottom w:val="single" w:sz="8" w:color="0000EE"/>
            </w:tcBorders>
            <w:gridSpan w:val="26"/>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Second Tranche Subsequent Closing Notice and Letter Amendment dated October 22, 2014</w:t>
              </w:r>
            </w:hyperlink>
          </w:p>
        </w:tc>
        <w:tc>
          <w:tcPr>
            <w:tcW w:w="2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gridSpan w:val="32"/>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relating to the October 2014 Notes.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22"/>
                <w:szCs w:val="22"/>
                <w:color w:val="auto"/>
              </w:rPr>
            </w:pPr>
          </w:p>
        </w:tc>
        <w:tc>
          <w:tcPr>
            <w:tcW w:w="6820" w:type="dxa"/>
            <w:vAlign w:val="bottom"/>
            <w:gridSpan w:val="32"/>
          </w:tcPr>
          <w:p>
            <w:pPr>
              <w:spacing w:after="0"/>
              <w:rPr>
                <w:rFonts w:ascii="Arial" w:cs="Arial" w:eastAsia="Arial" w:hAnsi="Arial"/>
                <w:sz w:val="18"/>
                <w:szCs w:val="18"/>
                <w:color w:val="0000EE"/>
              </w:rPr>
            </w:pPr>
            <w:hyperlink r:id="rId115">
              <w:r>
                <w:rPr>
                  <w:rFonts w:ascii="Arial" w:cs="Arial" w:eastAsia="Arial" w:hAnsi="Arial"/>
                  <w:sz w:val="18"/>
                  <w:szCs w:val="18"/>
                  <w:color w:val="0000EE"/>
                </w:rPr>
                <w:t>Form of Warrant Exercise Agreement.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22"/>
                <w:szCs w:val="22"/>
                <w:color w:val="auto"/>
              </w:rPr>
            </w:pPr>
          </w:p>
        </w:tc>
        <w:tc>
          <w:tcPr>
            <w:tcW w:w="6820" w:type="dxa"/>
            <w:vAlign w:val="bottom"/>
            <w:tcBorders>
              <w:bottom w:val="single" w:sz="8" w:color="0000EE"/>
            </w:tcBorders>
            <w:gridSpan w:val="32"/>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Advisory Agreement by and between Soleno Therapeutics, Inc. and Maxim Group LLC, dated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gridSpan w:val="32"/>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March 4, 2015.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22"/>
                <w:szCs w:val="22"/>
                <w:color w:val="auto"/>
              </w:rPr>
            </w:pPr>
          </w:p>
        </w:tc>
        <w:tc>
          <w:tcPr>
            <w:tcW w:w="6820" w:type="dxa"/>
            <w:vAlign w:val="bottom"/>
            <w:gridSpan w:val="32"/>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Agreement and First Amendment to Asset Purchase Agreement between the Company, BDDI</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and affiliate of BDDI, dated June 30, 2015.</w:t>
              </w:r>
            </w:hyperlink>
          </w:p>
        </w:tc>
        <w:tc>
          <w:tcPr>
            <w:tcW w:w="3640" w:type="dxa"/>
            <w:vAlign w:val="bottom"/>
            <w:tcBorders>
              <w:top w:val="single" w:sz="8" w:color="0000EE"/>
            </w:tcBorders>
            <w:gridSpan w:val="18"/>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22"/>
                <w:szCs w:val="22"/>
                <w:color w:val="auto"/>
              </w:rPr>
            </w:pPr>
          </w:p>
        </w:tc>
        <w:tc>
          <w:tcPr>
            <w:tcW w:w="6820" w:type="dxa"/>
            <w:vAlign w:val="bottom"/>
            <w:gridSpan w:val="32"/>
          </w:tcPr>
          <w:p>
            <w:pPr>
              <w:spacing w:after="0"/>
              <w:rPr>
                <w:rFonts w:ascii="Arial" w:cs="Arial" w:eastAsia="Arial" w:hAnsi="Arial"/>
                <w:sz w:val="18"/>
                <w:szCs w:val="18"/>
                <w:color w:val="0000EE"/>
                <w:w w:val="93"/>
              </w:rPr>
            </w:pPr>
            <w:hyperlink r:id="rId118">
              <w:r>
                <w:rPr>
                  <w:rFonts w:ascii="Arial" w:cs="Arial" w:eastAsia="Arial" w:hAnsi="Arial"/>
                  <w:sz w:val="18"/>
                  <w:szCs w:val="18"/>
                  <w:color w:val="0000EE"/>
                  <w:w w:val="93"/>
                </w:rPr>
                <w:t>Common Stock Purchase Agreement between the Company and an affiliate of BDDI, dated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118">
              <w:r>
                <w:rPr>
                  <w:rFonts w:ascii="Arial" w:cs="Arial" w:eastAsia="Arial" w:hAnsi="Arial"/>
                  <w:sz w:val="18"/>
                  <w:szCs w:val="18"/>
                  <w:color w:val="0000EE"/>
                  <w:w w:val="88"/>
                </w:rPr>
                <w:t>June 30, 2015.</w:t>
              </w:r>
            </w:hyperlink>
          </w:p>
        </w:tc>
        <w:tc>
          <w:tcPr>
            <w:tcW w:w="5500" w:type="dxa"/>
            <w:vAlign w:val="bottom"/>
            <w:tcBorders>
              <w:top w:val="single" w:sz="8" w:color="0000EE"/>
            </w:tcBorders>
            <w:gridSpan w:val="19"/>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10.28</w:t>
            </w:r>
          </w:p>
        </w:tc>
        <w:tc>
          <w:tcPr>
            <w:tcW w:w="200" w:type="dxa"/>
            <w:vAlign w:val="bottom"/>
          </w:tcPr>
          <w:p>
            <w:pPr>
              <w:spacing w:after="0"/>
              <w:rPr>
                <w:sz w:val="22"/>
                <w:szCs w:val="22"/>
                <w:color w:val="auto"/>
              </w:rPr>
            </w:pPr>
          </w:p>
        </w:tc>
        <w:tc>
          <w:tcPr>
            <w:tcW w:w="6620" w:type="dxa"/>
            <w:vAlign w:val="bottom"/>
            <w:tcBorders>
              <w:bottom w:val="single" w:sz="8" w:color="0000EE"/>
            </w:tcBorders>
            <w:gridSpan w:val="26"/>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Registration Rights Agreement between the Company and Aspire Capital Fund, LLC, dated</w:t>
              </w:r>
            </w:hyperlink>
          </w:p>
        </w:tc>
        <w:tc>
          <w:tcPr>
            <w:tcW w:w="2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gridSpan w:val="3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July 24, 2015.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140" w:type="dxa"/>
            <w:vAlign w:val="bottom"/>
            <w:gridSpan w:val="1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22"/>
                <w:szCs w:val="22"/>
                <w:color w:val="auto"/>
              </w:rPr>
            </w:pPr>
          </w:p>
        </w:tc>
        <w:tc>
          <w:tcPr>
            <w:tcW w:w="6820" w:type="dxa"/>
            <w:vAlign w:val="bottom"/>
            <w:gridSpan w:val="32"/>
          </w:tcPr>
          <w:p>
            <w:pPr>
              <w:spacing w:after="0"/>
              <w:rPr>
                <w:rFonts w:ascii="Arial" w:cs="Arial" w:eastAsia="Arial" w:hAnsi="Arial"/>
                <w:sz w:val="18"/>
                <w:szCs w:val="18"/>
                <w:color w:val="0000EE"/>
                <w:w w:val="93"/>
              </w:rPr>
            </w:pPr>
            <w:hyperlink r:id="rId120">
              <w:r>
                <w:rPr>
                  <w:rFonts w:ascii="Arial" w:cs="Arial" w:eastAsia="Arial" w:hAnsi="Arial"/>
                  <w:sz w:val="18"/>
                  <w:szCs w:val="18"/>
                  <w:color w:val="0000EE"/>
                  <w:w w:val="93"/>
                </w:rPr>
                <w:t>Common Stock Purchase Agreement between the Company and Aspire Capital Fund, LLC,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dated July 24, 2015.</w:t>
              </w:r>
            </w:hyperlink>
          </w:p>
        </w:tc>
        <w:tc>
          <w:tcPr>
            <w:tcW w:w="5140" w:type="dxa"/>
            <w:vAlign w:val="bottom"/>
            <w:tcBorders>
              <w:top w:val="single" w:sz="8" w:color="0000EE"/>
            </w:tcBorders>
            <w:gridSpan w:val="18"/>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10.30</w:t>
            </w:r>
          </w:p>
        </w:tc>
        <w:tc>
          <w:tcPr>
            <w:tcW w:w="200" w:type="dxa"/>
            <w:vAlign w:val="bottom"/>
          </w:tcPr>
          <w:p>
            <w:pPr>
              <w:spacing w:after="0"/>
              <w:rPr>
                <w:sz w:val="22"/>
                <w:szCs w:val="22"/>
                <w:color w:val="auto"/>
              </w:rPr>
            </w:pPr>
          </w:p>
        </w:tc>
        <w:tc>
          <w:tcPr>
            <w:tcW w:w="6820" w:type="dxa"/>
            <w:vAlign w:val="bottom"/>
            <w:gridSpan w:val="32"/>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Engagement Letter dated September 17, 2015, between Soleno Therapeutics, Inc. and Maxim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Group, LLC.</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920" w:type="dxa"/>
            <w:vAlign w:val="bottom"/>
            <w:tcBorders>
              <w:top w:val="single" w:sz="8" w:color="0000EE"/>
            </w:tcBorders>
            <w:gridSpan w:val="3"/>
          </w:tcPr>
          <w:p>
            <w:pPr>
              <w:spacing w:after="0"/>
              <w:rPr>
                <w:sz w:val="24"/>
                <w:szCs w:val="24"/>
                <w:color w:val="auto"/>
              </w:rPr>
            </w:pPr>
          </w:p>
        </w:tc>
        <w:tc>
          <w:tcPr>
            <w:tcW w:w="5320" w:type="dxa"/>
            <w:vAlign w:val="bottom"/>
            <w:gridSpan w:val="12"/>
          </w:tcPr>
          <w:p>
            <w:pPr>
              <w:jc w:val="right"/>
              <w:ind w:right="118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Registrant’s</w:t>
            </w:r>
          </w:p>
        </w:tc>
        <w:tc>
          <w:tcPr>
            <w:tcW w:w="1700" w:type="dxa"/>
            <w:vAlign w:val="bottom"/>
            <w:tcBorders>
              <w:top w:val="single" w:sz="8" w:color="auto"/>
            </w:tcBorders>
            <w:gridSpan w:val="2"/>
          </w:tcPr>
          <w:p>
            <w:pPr>
              <w:ind w:left="480"/>
              <w:spacing w:after="0" w:line="119" w:lineRule="exact"/>
              <w:rPr>
                <w:sz w:val="20"/>
                <w:szCs w:val="20"/>
                <w:color w:val="auto"/>
              </w:rPr>
            </w:pPr>
            <w:r>
              <w:rPr>
                <w:rFonts w:ascii="Arial" w:cs="Arial" w:eastAsia="Arial" w:hAnsi="Arial"/>
                <w:sz w:val="13"/>
                <w:szCs w:val="13"/>
                <w:b w:val="1"/>
                <w:bCs w:val="1"/>
                <w:color w:val="auto"/>
              </w:rPr>
              <w:t>Date Filed</w:t>
            </w:r>
          </w:p>
        </w:tc>
        <w:tc>
          <w:tcPr>
            <w:tcW w:w="6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r>
      <w:tr>
        <w:trPr>
          <w:trHeight w:val="185"/>
        </w:trPr>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5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with the SEC</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696"/>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16"/>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16"/>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16"/>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16"/>
        </w:trPr>
        <w:tc>
          <w:tcPr>
            <w:tcW w:w="86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520" w:type="dxa"/>
            <w:vAlign w:val="bottom"/>
          </w:tcPr>
          <w:p>
            <w:pPr>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July 1, 2014</w:t>
            </w:r>
          </w:p>
        </w:tc>
        <w:tc>
          <w:tcPr>
            <w:tcW w:w="520" w:type="dxa"/>
            <w:vAlign w:val="bottom"/>
          </w:tcPr>
          <w:p>
            <w:pPr>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July 22, 2014</w:t>
            </w:r>
          </w:p>
        </w:tc>
        <w:tc>
          <w:tcPr>
            <w:tcW w:w="520" w:type="dxa"/>
            <w:vAlign w:val="bottom"/>
          </w:tcPr>
          <w:p>
            <w:pPr>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September 29, 2014</w:t>
            </w:r>
          </w:p>
        </w:tc>
        <w:tc>
          <w:tcPr>
            <w:tcW w:w="520" w:type="dxa"/>
            <w:vAlign w:val="bottom"/>
          </w:tcPr>
          <w:p>
            <w:pPr>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520" w:type="dxa"/>
            <w:vAlign w:val="bottom"/>
          </w:tcPr>
          <w:p>
            <w:pPr>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4"/>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March 5, 2015</w:t>
            </w:r>
          </w:p>
        </w:tc>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S-4</w:t>
            </w:r>
          </w:p>
        </w:tc>
        <w:tc>
          <w:tcPr>
            <w:tcW w:w="170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520" w:type="dxa"/>
            <w:vAlign w:val="bottom"/>
          </w:tcPr>
          <w:p>
            <w:pPr>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July 7, 2015</w:t>
            </w:r>
          </w:p>
        </w:tc>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July 7, 2015</w:t>
            </w:r>
          </w:p>
        </w:tc>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July 27, 2015</w:t>
            </w:r>
          </w:p>
        </w:tc>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July 27, 2015</w:t>
            </w:r>
          </w:p>
        </w:tc>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2">
            <w:col w:w="7540" w:space="120"/>
            <w:col w:w="376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Incorporated by Reference from</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66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Description of Document</w:t>
            </w:r>
          </w:p>
        </w:tc>
        <w:tc>
          <w:tcPr>
            <w:tcW w:w="120" w:type="dxa"/>
            <w:vAlign w:val="bottom"/>
            <w:vMerge w:val="restart"/>
          </w:tcPr>
          <w:p>
            <w:pPr>
              <w:spacing w:after="0"/>
              <w:rPr>
                <w:sz w:val="10"/>
                <w:szCs w:val="10"/>
                <w:color w:val="auto"/>
              </w:rPr>
            </w:pPr>
          </w:p>
        </w:tc>
        <w:tc>
          <w:tcPr>
            <w:tcW w:w="8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Registrant’s</w:t>
            </w:r>
          </w:p>
        </w:tc>
        <w:tc>
          <w:tcPr>
            <w:tcW w:w="17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Date Filed</w:t>
            </w:r>
          </w:p>
        </w:tc>
        <w:tc>
          <w:tcPr>
            <w:tcW w:w="6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Exhibit</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5"/>
                <w:szCs w:val="15"/>
                <w:color w:val="auto"/>
              </w:rPr>
            </w:pPr>
          </w:p>
        </w:tc>
        <w:tc>
          <w:tcPr>
            <w:tcW w:w="6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with the SEC</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4040" w:type="dxa"/>
            <w:vAlign w:val="bottom"/>
            <w:tcBorders>
              <w:bottom w:val="single" w:sz="8" w:color="0000EE"/>
            </w:tcBorders>
            <w:gridSpan w:val="10"/>
          </w:tcPr>
          <w:p>
            <w:pPr>
              <w:spacing w:after="0"/>
              <w:rPr>
                <w:rFonts w:ascii="Arial" w:cs="Arial" w:eastAsia="Arial" w:hAnsi="Arial"/>
                <w:sz w:val="18"/>
                <w:szCs w:val="18"/>
                <w:color w:val="0000EE"/>
                <w:w w:val="88"/>
              </w:rPr>
            </w:pPr>
            <w:hyperlink r:id="rId123">
              <w:r>
                <w:rPr>
                  <w:rFonts w:ascii="Arial" w:cs="Arial" w:eastAsia="Arial" w:hAnsi="Arial"/>
                  <w:sz w:val="18"/>
                  <w:szCs w:val="18"/>
                  <w:color w:val="0000EE"/>
                  <w:w w:val="88"/>
                </w:rPr>
                <w:t>Securities Purchase Agreement dated October 12, 2015.</w:t>
              </w:r>
            </w:hyperlink>
          </w:p>
        </w:tc>
        <w:tc>
          <w:tcPr>
            <w:tcW w:w="2600" w:type="dxa"/>
            <w:vAlign w:val="bottom"/>
            <w:gridSpan w:val="16"/>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6640" w:type="dxa"/>
            <w:vAlign w:val="bottom"/>
            <w:gridSpan w:val="26"/>
          </w:tcPr>
          <w:p>
            <w:pPr>
              <w:spacing w:after="0"/>
              <w:rPr>
                <w:rFonts w:ascii="Arial" w:cs="Arial" w:eastAsia="Arial" w:hAnsi="Arial"/>
                <w:sz w:val="18"/>
                <w:szCs w:val="18"/>
                <w:color w:val="0000EE"/>
              </w:rPr>
            </w:pPr>
            <w:hyperlink r:id="rId124">
              <w:r>
                <w:rPr>
                  <w:rFonts w:ascii="Arial" w:cs="Arial" w:eastAsia="Arial" w:hAnsi="Arial"/>
                  <w:sz w:val="18"/>
                  <w:szCs w:val="18"/>
                  <w:color w:val="0000EE"/>
                </w:rPr>
                <w:t>Form of Registration Rights Agreement.</w:t>
              </w:r>
            </w:hyperlink>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2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r:id="rId125">
              <w:r>
                <w:rPr>
                  <w:rFonts w:ascii="Arial" w:cs="Arial" w:eastAsia="Arial" w:hAnsi="Arial"/>
                  <w:sz w:val="18"/>
                  <w:szCs w:val="18"/>
                  <w:color w:val="0000EE"/>
                  <w:w w:val="93"/>
                </w:rPr>
                <w:t>Form of Lock-Up Agreement.</w:t>
              </w:r>
            </w:hyperlink>
          </w:p>
        </w:tc>
        <w:tc>
          <w:tcPr>
            <w:tcW w:w="740" w:type="dxa"/>
            <w:vAlign w:val="bottom"/>
            <w:tcBorders>
              <w:top w:val="single" w:sz="8" w:color="0000EE"/>
            </w:tcBorders>
          </w:tcPr>
          <w:p>
            <w:pPr>
              <w:spacing w:after="0"/>
              <w:rPr>
                <w:sz w:val="24"/>
                <w:szCs w:val="24"/>
                <w:color w:val="auto"/>
              </w:rPr>
            </w:pPr>
          </w:p>
        </w:tc>
        <w:tc>
          <w:tcPr>
            <w:tcW w:w="3720" w:type="dxa"/>
            <w:vAlign w:val="bottom"/>
            <w:gridSpan w:val="20"/>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5600" w:type="dxa"/>
            <w:vAlign w:val="bottom"/>
            <w:tcBorders>
              <w:bottom w:val="single" w:sz="8" w:color="0000EE"/>
            </w:tcBorders>
            <w:gridSpan w:val="14"/>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Amendment No. 1 to Securities Purchase Agreement dated October 29, 2015.</w:t>
              </w:r>
            </w:hyperlink>
          </w:p>
        </w:tc>
        <w:tc>
          <w:tcPr>
            <w:tcW w:w="1040" w:type="dxa"/>
            <w:vAlign w:val="bottom"/>
            <w:gridSpan w:val="12"/>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6540" w:type="dxa"/>
            <w:vAlign w:val="bottom"/>
            <w:tcBorders>
              <w:bottom w:val="single" w:sz="8" w:color="0000EE"/>
            </w:tcBorders>
            <w:gridSpan w:val="23"/>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Transfer and Distribution Agreement: United States: by and between Soleno Therapeutics,</w:t>
              </w:r>
            </w:hyperlink>
          </w:p>
        </w:tc>
        <w:tc>
          <w:tcPr>
            <w:tcW w:w="10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Inc. and Bemes, Inc. signed January 26, 2016.</w:t>
              </w:r>
            </w:hyperlink>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6320" w:type="dxa"/>
            <w:vAlign w:val="bottom"/>
            <w:tcBorders>
              <w:bottom w:val="single" w:sz="8" w:color="0000EE"/>
            </w:tcBorders>
            <w:gridSpan w:val="19"/>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Engagement Letter dated June 26, 2016, between Soleno Therapeutics, Inc. and Maxim</w:t>
              </w:r>
            </w:hyperlink>
          </w:p>
        </w:tc>
        <w:tc>
          <w:tcPr>
            <w:tcW w:w="32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Group, LLC.</w:t>
              </w:r>
            </w:hyperlink>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6640" w:type="dxa"/>
            <w:vAlign w:val="bottom"/>
            <w:gridSpan w:val="26"/>
          </w:tcPr>
          <w:p>
            <w:pPr>
              <w:spacing w:after="0"/>
              <w:rPr>
                <w:rFonts w:ascii="Arial" w:cs="Arial" w:eastAsia="Arial" w:hAnsi="Arial"/>
                <w:sz w:val="18"/>
                <w:szCs w:val="18"/>
                <w:color w:val="0000EE"/>
              </w:rPr>
            </w:pPr>
            <w:hyperlink r:id="rId129">
              <w:r>
                <w:rPr>
                  <w:rFonts w:ascii="Arial" w:cs="Arial" w:eastAsia="Arial" w:hAnsi="Arial"/>
                  <w:sz w:val="18"/>
                  <w:szCs w:val="18"/>
                  <w:color w:val="0000EE"/>
                </w:rPr>
                <w:t>Securities Purchase Agreement dated June 29, 2016.</w:t>
              </w:r>
            </w:hyperlink>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6640" w:type="dxa"/>
            <w:vAlign w:val="bottom"/>
            <w:gridSpan w:val="26"/>
          </w:tcPr>
          <w:p>
            <w:pPr>
              <w:spacing w:after="0"/>
              <w:rPr>
                <w:rFonts w:ascii="Arial" w:cs="Arial" w:eastAsia="Arial" w:hAnsi="Arial"/>
                <w:sz w:val="18"/>
                <w:szCs w:val="18"/>
                <w:color w:val="0000EE"/>
              </w:rPr>
            </w:pPr>
            <w:hyperlink r:id="rId130">
              <w:r>
                <w:rPr>
                  <w:rFonts w:ascii="Arial" w:cs="Arial" w:eastAsia="Arial" w:hAnsi="Arial"/>
                  <w:sz w:val="18"/>
                  <w:szCs w:val="18"/>
                  <w:color w:val="0000EE"/>
                </w:rPr>
                <w:t>Form of Registration Rights Agreement dated June 29, 2016.</w:t>
              </w:r>
            </w:hyperlink>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6640" w:type="dxa"/>
            <w:vAlign w:val="bottom"/>
            <w:gridSpan w:val="26"/>
          </w:tcPr>
          <w:p>
            <w:pPr>
              <w:spacing w:after="0"/>
              <w:rPr>
                <w:rFonts w:ascii="Arial" w:cs="Arial" w:eastAsia="Arial" w:hAnsi="Arial"/>
                <w:sz w:val="18"/>
                <w:szCs w:val="18"/>
                <w:color w:val="0000EE"/>
              </w:rPr>
            </w:pPr>
            <w:hyperlink r:id="rId131">
              <w:r>
                <w:rPr>
                  <w:rFonts w:ascii="Arial" w:cs="Arial" w:eastAsia="Arial" w:hAnsi="Arial"/>
                  <w:sz w:val="18"/>
                  <w:szCs w:val="18"/>
                  <w:color w:val="0000EE"/>
                </w:rPr>
                <w:t>Amendment No. 1 to Securities Purchase Agreement dated September 20, 2016.</w:t>
              </w:r>
            </w:hyperlink>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6640" w:type="dxa"/>
            <w:vAlign w:val="bottom"/>
            <w:tcBorders>
              <w:bottom w:val="single" w:sz="8" w:color="0000EE"/>
            </w:tcBorders>
            <w:gridSpan w:val="26"/>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Agreement and Plan of Merger and Reorganization, dated as of December 22, 2016, by and</w:t>
              </w:r>
            </w:hyperlink>
          </w:p>
        </w:tc>
      </w:tr>
      <w:tr>
        <w:trPr>
          <w:trHeight w:val="196"/>
        </w:trPr>
        <w:tc>
          <w:tcPr>
            <w:tcW w:w="88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w w:val="95"/>
              </w:rPr>
            </w:pPr>
            <w:hyperlink r:id="rId132">
              <w:r>
                <w:rPr>
                  <w:rFonts w:ascii="Arial" w:cs="Arial" w:eastAsia="Arial" w:hAnsi="Arial"/>
                  <w:sz w:val="18"/>
                  <w:szCs w:val="18"/>
                  <w:color w:val="0000EE"/>
                  <w:w w:val="95"/>
                </w:rPr>
                <w:t>among Soleno Therapeutics, Inc., a Delaware corporation, Essentialis, Inc., a Delaware</w:t>
              </w:r>
            </w:hyperlink>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w w:val="95"/>
              </w:rPr>
            </w:pPr>
            <w:hyperlink r:id="rId132">
              <w:r>
                <w:rPr>
                  <w:rFonts w:ascii="Arial" w:cs="Arial" w:eastAsia="Arial" w:hAnsi="Arial"/>
                  <w:sz w:val="18"/>
                  <w:szCs w:val="18"/>
                  <w:color w:val="0000EE"/>
                  <w:w w:val="95"/>
                </w:rPr>
                <w:t>corporation, Company E Merger Sub, Inc., a Delaware corporation and a wholly-owned</w:t>
              </w:r>
            </w:hyperlink>
          </w:p>
        </w:tc>
      </w:tr>
      <w:tr>
        <w:trPr>
          <w:trHeight w:val="196"/>
        </w:trPr>
        <w:tc>
          <w:tcPr>
            <w:tcW w:w="880" w:type="dxa"/>
            <w:vAlign w:val="bottom"/>
          </w:tcPr>
          <w:p>
            <w:pPr>
              <w:spacing w:after="0"/>
              <w:rPr>
                <w:sz w:val="17"/>
                <w:szCs w:val="17"/>
                <w:color w:val="auto"/>
              </w:rPr>
            </w:pPr>
          </w:p>
        </w:tc>
        <w:tc>
          <w:tcPr>
            <w:tcW w:w="63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subsidiary of Soleno Therapeutics, and Neil Cowen as the stockholders’ representative.</w:t>
              </w:r>
            </w:hyperlink>
          </w:p>
        </w:tc>
        <w:tc>
          <w:tcPr>
            <w:tcW w:w="80" w:type="dxa"/>
            <w:vAlign w:val="bottom"/>
            <w:tcBorders>
              <w:top w:val="single" w:sz="8" w:color="0000EE"/>
            </w:tcBorders>
            <w:gridSpan w:val="2"/>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6640" w:type="dxa"/>
            <w:vAlign w:val="bottom"/>
            <w:tcBorders>
              <w:bottom w:val="single" w:sz="8" w:color="0000EE"/>
            </w:tcBorders>
            <w:gridSpan w:val="26"/>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Registration Rights Agreement between the Company and Aspire Capital Fund, LLC, dated</w:t>
              </w:r>
            </w:hyperlink>
          </w:p>
        </w:tc>
      </w:tr>
      <w:tr>
        <w:trPr>
          <w:trHeight w:val="196"/>
        </w:trPr>
        <w:tc>
          <w:tcPr>
            <w:tcW w:w="88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January 27, 2017.</w:t>
              </w:r>
            </w:hyperlink>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6620" w:type="dxa"/>
            <w:vAlign w:val="bottom"/>
            <w:tcBorders>
              <w:bottom w:val="single" w:sz="8" w:color="0000EE"/>
            </w:tcBorders>
            <w:gridSpan w:val="25"/>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Common Stock Purchase Agreement between the Company and Aspire Capital Fund, LLC,</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dated January 27, 2017.</w:t>
              </w:r>
            </w:hyperlink>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6640" w:type="dxa"/>
            <w:vAlign w:val="bottom"/>
            <w:gridSpan w:val="26"/>
          </w:tcPr>
          <w:p>
            <w:pPr>
              <w:spacing w:after="0"/>
              <w:rPr>
                <w:rFonts w:ascii="Arial" w:cs="Arial" w:eastAsia="Arial" w:hAnsi="Arial"/>
                <w:sz w:val="18"/>
                <w:szCs w:val="18"/>
                <w:color w:val="0000EE"/>
                <w:w w:val="92"/>
              </w:rPr>
            </w:pPr>
            <w:hyperlink r:id="rId50">
              <w:r>
                <w:rPr>
                  <w:rFonts w:ascii="Arial" w:cs="Arial" w:eastAsia="Arial" w:hAnsi="Arial"/>
                  <w:sz w:val="18"/>
                  <w:szCs w:val="18"/>
                  <w:color w:val="0000EE"/>
                  <w:w w:val="92"/>
                </w:rPr>
                <w:t>Stock Purchase Agreement made by and between the Company and NeoForce Holdings,</w:t>
              </w:r>
            </w:hyperlink>
          </w:p>
        </w:tc>
      </w:tr>
      <w:tr>
        <w:trPr>
          <w:trHeight w:val="196"/>
        </w:trPr>
        <w:tc>
          <w:tcPr>
            <w:tcW w:w="880" w:type="dxa"/>
            <w:vAlign w:val="bottom"/>
          </w:tcPr>
          <w:p>
            <w:pPr>
              <w:spacing w:after="0"/>
              <w:rPr>
                <w:sz w:val="17"/>
                <w:szCs w:val="17"/>
                <w:color w:val="auto"/>
              </w:rPr>
            </w:pPr>
          </w:p>
        </w:tc>
        <w:tc>
          <w:tcPr>
            <w:tcW w:w="63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Inc. a Delaware corporation dated July 18, 2017</w:t>
              </w:r>
            </w:hyperlink>
          </w:p>
        </w:tc>
        <w:tc>
          <w:tcPr>
            <w:tcW w:w="260" w:type="dxa"/>
            <w:vAlign w:val="bottom"/>
            <w:gridSpan w:val="6"/>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5660" w:type="dxa"/>
            <w:vAlign w:val="bottom"/>
            <w:tcBorders>
              <w:bottom w:val="single" w:sz="8" w:color="0000EE"/>
            </w:tcBorders>
            <w:gridSpan w:val="15"/>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Joint Venture Agreement dated as of December 4, 2017 by and among Soleno</w:t>
              </w:r>
            </w:hyperlink>
          </w:p>
        </w:tc>
        <w:tc>
          <w:tcPr>
            <w:tcW w:w="98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7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Therapeutics, Inc., Capnia, Inc., and OptAsia Healthcare Limited</w:t>
              </w:r>
            </w:hyperlink>
          </w:p>
        </w:tc>
        <w:tc>
          <w:tcPr>
            <w:tcW w:w="1940" w:type="dxa"/>
            <w:vAlign w:val="bottom"/>
            <w:gridSpan w:val="13"/>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4580" w:type="dxa"/>
            <w:vAlign w:val="bottom"/>
            <w:tcBorders>
              <w:bottom w:val="single" w:sz="8" w:color="0000EE"/>
            </w:tcBorders>
            <w:gridSpan w:val="12"/>
          </w:tcPr>
          <w:p>
            <w:pPr>
              <w:spacing w:after="0"/>
              <w:rPr>
                <w:rFonts w:ascii="Arial" w:cs="Arial" w:eastAsia="Arial" w:hAnsi="Arial"/>
                <w:sz w:val="18"/>
                <w:szCs w:val="18"/>
                <w:color w:val="0000EE"/>
                <w:w w:val="88"/>
              </w:rPr>
            </w:pPr>
            <w:hyperlink r:id="rId135">
              <w:r>
                <w:rPr>
                  <w:rFonts w:ascii="Arial" w:cs="Arial" w:eastAsia="Arial" w:hAnsi="Arial"/>
                  <w:sz w:val="18"/>
                  <w:szCs w:val="18"/>
                  <w:color w:val="0000EE"/>
                  <w:w w:val="88"/>
                </w:rPr>
                <w:t>Securities Purchase Agreement, dated as of December 11, 2017</w:t>
              </w:r>
            </w:hyperlink>
          </w:p>
        </w:tc>
        <w:tc>
          <w:tcPr>
            <w:tcW w:w="2060" w:type="dxa"/>
            <w:vAlign w:val="bottom"/>
            <w:gridSpan w:val="14"/>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6600" w:type="dxa"/>
            <w:vAlign w:val="bottom"/>
            <w:tcBorders>
              <w:bottom w:val="single" w:sz="8" w:color="0000EE"/>
            </w:tcBorders>
            <w:gridSpan w:val="24"/>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Certification of Principal Executive Officer and Principal Financial and Accounting Officer</w:t>
              </w:r>
            </w:hyperlink>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5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Required Under Rule 13a-14(a) and 15d-14(a) of the Securities Exchange Act of 1934, as</w:t>
              </w:r>
            </w:hyperlink>
          </w:p>
        </w:tc>
        <w:tc>
          <w:tcPr>
            <w:tcW w:w="12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amended</w:t>
              </w:r>
            </w:hyperlink>
          </w:p>
        </w:tc>
        <w:tc>
          <w:tcPr>
            <w:tcW w:w="5980" w:type="dxa"/>
            <w:vAlign w:val="bottom"/>
            <w:gridSpan w:val="25"/>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6600" w:type="dxa"/>
            <w:vAlign w:val="bottom"/>
            <w:tcBorders>
              <w:bottom w:val="single" w:sz="8" w:color="0000EE"/>
            </w:tcBorders>
            <w:gridSpan w:val="24"/>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Certification of Principal Executive Officer and Principal Financial and Accounting Officer</w:t>
              </w:r>
            </w:hyperlink>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640" w:type="dxa"/>
            <w:vAlign w:val="bottom"/>
            <w:gridSpan w:val="26"/>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Required Under Rule 13a-14(b) of the Securities Exchange Act of 1934, as amended, and</w:t>
              </w:r>
            </w:hyperlink>
          </w:p>
        </w:tc>
      </w:tr>
      <w:tr>
        <w:trPr>
          <w:trHeight w:val="196"/>
        </w:trPr>
        <w:tc>
          <w:tcPr>
            <w:tcW w:w="88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18 U.S.C. §1350</w:t>
              </w:r>
            </w:hyperlink>
          </w:p>
        </w:tc>
        <w:tc>
          <w:tcPr>
            <w:tcW w:w="5220" w:type="dxa"/>
            <w:vAlign w:val="bottom"/>
            <w:tcBorders>
              <w:top w:val="single" w:sz="8" w:color="0000EE"/>
            </w:tcBorders>
            <w:gridSpan w:val="18"/>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345"/>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6640" w:type="dxa"/>
            <w:vAlign w:val="bottom"/>
            <w:gridSpan w:val="26"/>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6640" w:type="dxa"/>
            <w:vAlign w:val="bottom"/>
            <w:gridSpan w:val="2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6640" w:type="dxa"/>
            <w:vAlign w:val="bottom"/>
            <w:gridSpan w:val="2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664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6640" w:type="dxa"/>
            <w:vAlign w:val="bottom"/>
            <w:gridSpan w:val="2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6640" w:type="dxa"/>
            <w:vAlign w:val="bottom"/>
            <w:gridSpan w:val="2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880" w:type="dxa"/>
            <w:vAlign w:val="bottom"/>
          </w:tcPr>
          <w:p>
            <w:pPr>
              <w:spacing w:after="0"/>
              <w:rPr>
                <w:sz w:val="24"/>
                <w:szCs w:val="24"/>
                <w:color w:val="auto"/>
              </w:rPr>
            </w:pPr>
          </w:p>
        </w:tc>
        <w:tc>
          <w:tcPr>
            <w:tcW w:w="5600" w:type="dxa"/>
            <w:vAlign w:val="bottom"/>
            <w:gridSpan w:val="14"/>
          </w:tcPr>
          <w:p>
            <w:pPr>
              <w:ind w:left="474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80" w:type="dxa"/>
            <w:vAlign w:val="bottom"/>
          </w:tcPr>
          <w:p>
            <w:pPr>
              <w:ind w:left="220"/>
              <w:spacing w:after="0"/>
              <w:rPr>
                <w:sz w:val="20"/>
                <w:szCs w:val="20"/>
                <w:color w:val="auto"/>
              </w:rPr>
            </w:pPr>
            <w:r>
              <w:rPr>
                <w:rFonts w:ascii="Arial" w:cs="Arial" w:eastAsia="Arial" w:hAnsi="Arial"/>
                <w:sz w:val="18"/>
                <w:szCs w:val="18"/>
                <w:color w:val="auto"/>
              </w:rPr>
              <w:t>October 15, 2015</w:t>
            </w:r>
          </w:p>
        </w:tc>
        <w:tc>
          <w:tcPr>
            <w:tcW w:w="540" w:type="dxa"/>
            <w:vAlign w:val="bottom"/>
          </w:tcPr>
          <w:p>
            <w:pPr>
              <w:ind w:left="140"/>
              <w:spacing w:after="0"/>
              <w:rPr>
                <w:sz w:val="20"/>
                <w:szCs w:val="20"/>
                <w:color w:val="auto"/>
              </w:rPr>
            </w:pPr>
            <w:r>
              <w:rPr>
                <w:rFonts w:ascii="Arial" w:cs="Arial" w:eastAsia="Arial" w:hAnsi="Arial"/>
                <w:sz w:val="18"/>
                <w:szCs w:val="18"/>
                <w:color w:val="auto"/>
              </w:rPr>
              <w:t>10.1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80" w:type="dxa"/>
            <w:vAlign w:val="bottom"/>
          </w:tcPr>
          <w:p>
            <w:pPr>
              <w:ind w:left="220"/>
              <w:spacing w:after="0"/>
              <w:rPr>
                <w:sz w:val="20"/>
                <w:szCs w:val="20"/>
                <w:color w:val="auto"/>
              </w:rPr>
            </w:pPr>
            <w:r>
              <w:rPr>
                <w:rFonts w:ascii="Arial" w:cs="Arial" w:eastAsia="Arial" w:hAnsi="Arial"/>
                <w:sz w:val="18"/>
                <w:szCs w:val="18"/>
                <w:color w:val="auto"/>
              </w:rPr>
              <w:t>October 15, 2015</w:t>
            </w:r>
          </w:p>
        </w:tc>
        <w:tc>
          <w:tcPr>
            <w:tcW w:w="540" w:type="dxa"/>
            <w:vAlign w:val="bottom"/>
          </w:tcPr>
          <w:p>
            <w:pPr>
              <w:ind w:left="140"/>
              <w:spacing w:after="0"/>
              <w:rPr>
                <w:sz w:val="20"/>
                <w:szCs w:val="20"/>
                <w:color w:val="auto"/>
              </w:rPr>
            </w:pPr>
            <w:r>
              <w:rPr>
                <w:rFonts w:ascii="Arial" w:cs="Arial" w:eastAsia="Arial" w:hAnsi="Arial"/>
                <w:sz w:val="18"/>
                <w:szCs w:val="18"/>
                <w:color w:val="auto"/>
              </w:rPr>
              <w:t>10.2</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80" w:type="dxa"/>
            <w:vAlign w:val="bottom"/>
          </w:tcPr>
          <w:p>
            <w:pPr>
              <w:ind w:left="220"/>
              <w:spacing w:after="0"/>
              <w:rPr>
                <w:sz w:val="20"/>
                <w:szCs w:val="20"/>
                <w:color w:val="auto"/>
              </w:rPr>
            </w:pPr>
            <w:r>
              <w:rPr>
                <w:rFonts w:ascii="Arial" w:cs="Arial" w:eastAsia="Arial" w:hAnsi="Arial"/>
                <w:sz w:val="18"/>
                <w:szCs w:val="18"/>
                <w:color w:val="auto"/>
              </w:rPr>
              <w:t>October 15, 2015</w:t>
            </w:r>
          </w:p>
        </w:tc>
        <w:tc>
          <w:tcPr>
            <w:tcW w:w="540" w:type="dxa"/>
            <w:vAlign w:val="bottom"/>
          </w:tcPr>
          <w:p>
            <w:pPr>
              <w:ind w:left="140"/>
              <w:spacing w:after="0"/>
              <w:rPr>
                <w:sz w:val="20"/>
                <w:szCs w:val="20"/>
                <w:color w:val="auto"/>
              </w:rPr>
            </w:pPr>
            <w:r>
              <w:rPr>
                <w:rFonts w:ascii="Arial" w:cs="Arial" w:eastAsia="Arial" w:hAnsi="Arial"/>
                <w:sz w:val="18"/>
                <w:szCs w:val="18"/>
                <w:color w:val="auto"/>
              </w:rPr>
              <w:t>10.3</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S-1/A</w:t>
            </w:r>
          </w:p>
        </w:tc>
        <w:tc>
          <w:tcPr>
            <w:tcW w:w="1780" w:type="dxa"/>
            <w:vAlign w:val="bottom"/>
          </w:tcPr>
          <w:p>
            <w:pPr>
              <w:ind w:left="220"/>
              <w:spacing w:after="0"/>
              <w:rPr>
                <w:sz w:val="20"/>
                <w:szCs w:val="20"/>
                <w:color w:val="auto"/>
              </w:rPr>
            </w:pPr>
            <w:r>
              <w:rPr>
                <w:rFonts w:ascii="Arial" w:cs="Arial" w:eastAsia="Arial" w:hAnsi="Arial"/>
                <w:sz w:val="18"/>
                <w:szCs w:val="18"/>
                <w:color w:val="auto"/>
                <w:w w:val="97"/>
              </w:rPr>
              <w:t>December 22, 2015</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10.33</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80" w:type="dxa"/>
            <w:vAlign w:val="bottom"/>
          </w:tcPr>
          <w:p>
            <w:pPr>
              <w:ind w:left="220"/>
              <w:spacing w:after="0"/>
              <w:rPr>
                <w:sz w:val="20"/>
                <w:szCs w:val="20"/>
                <w:color w:val="auto"/>
              </w:rPr>
            </w:pPr>
            <w:r>
              <w:rPr>
                <w:rFonts w:ascii="Arial" w:cs="Arial" w:eastAsia="Arial" w:hAnsi="Arial"/>
                <w:sz w:val="18"/>
                <w:szCs w:val="18"/>
                <w:color w:val="auto"/>
              </w:rPr>
              <w:t>January 28, 2016</w:t>
            </w:r>
          </w:p>
        </w:tc>
        <w:tc>
          <w:tcPr>
            <w:tcW w:w="540" w:type="dxa"/>
            <w:vAlign w:val="bottom"/>
          </w:tcPr>
          <w:p>
            <w:pPr>
              <w:ind w:left="140"/>
              <w:spacing w:after="0"/>
              <w:rPr>
                <w:sz w:val="20"/>
                <w:szCs w:val="20"/>
                <w:color w:val="auto"/>
              </w:rPr>
            </w:pPr>
            <w:r>
              <w:rPr>
                <w:rFonts w:ascii="Arial" w:cs="Arial" w:eastAsia="Arial" w:hAnsi="Arial"/>
                <w:sz w:val="18"/>
                <w:szCs w:val="18"/>
                <w:color w:val="auto"/>
              </w:rPr>
              <w:t>10.1</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80" w:type="dxa"/>
            <w:vAlign w:val="bottom"/>
          </w:tcPr>
          <w:p>
            <w:pPr>
              <w:ind w:left="220"/>
              <w:spacing w:after="0"/>
              <w:rPr>
                <w:sz w:val="20"/>
                <w:szCs w:val="20"/>
                <w:color w:val="auto"/>
              </w:rPr>
            </w:pPr>
            <w:r>
              <w:rPr>
                <w:rFonts w:ascii="Arial" w:cs="Arial" w:eastAsia="Arial" w:hAnsi="Arial"/>
                <w:sz w:val="18"/>
                <w:szCs w:val="18"/>
                <w:color w:val="auto"/>
              </w:rPr>
              <w:t>July 6, 2016</w:t>
            </w:r>
          </w:p>
        </w:tc>
        <w:tc>
          <w:tcPr>
            <w:tcW w:w="540" w:type="dxa"/>
            <w:vAlign w:val="bottom"/>
          </w:tcPr>
          <w:p>
            <w:pPr>
              <w:ind w:left="140"/>
              <w:spacing w:after="0"/>
              <w:rPr>
                <w:sz w:val="20"/>
                <w:szCs w:val="20"/>
                <w:color w:val="auto"/>
              </w:rPr>
            </w:pPr>
            <w:r>
              <w:rPr>
                <w:rFonts w:ascii="Arial" w:cs="Arial" w:eastAsia="Arial" w:hAnsi="Arial"/>
                <w:sz w:val="18"/>
                <w:szCs w:val="18"/>
                <w:color w:val="auto"/>
              </w:rPr>
              <w:t>1.1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80" w:type="dxa"/>
            <w:vAlign w:val="bottom"/>
          </w:tcPr>
          <w:p>
            <w:pPr>
              <w:ind w:left="220"/>
              <w:spacing w:after="0"/>
              <w:rPr>
                <w:sz w:val="20"/>
                <w:szCs w:val="20"/>
                <w:color w:val="auto"/>
              </w:rPr>
            </w:pPr>
            <w:r>
              <w:rPr>
                <w:rFonts w:ascii="Arial" w:cs="Arial" w:eastAsia="Arial" w:hAnsi="Arial"/>
                <w:sz w:val="18"/>
                <w:szCs w:val="18"/>
                <w:color w:val="auto"/>
              </w:rPr>
              <w:t>July 6, 2016</w:t>
            </w:r>
          </w:p>
        </w:tc>
        <w:tc>
          <w:tcPr>
            <w:tcW w:w="540" w:type="dxa"/>
            <w:vAlign w:val="bottom"/>
          </w:tcPr>
          <w:p>
            <w:pPr>
              <w:ind w:left="140"/>
              <w:spacing w:after="0"/>
              <w:rPr>
                <w:sz w:val="20"/>
                <w:szCs w:val="20"/>
                <w:color w:val="auto"/>
              </w:rPr>
            </w:pPr>
            <w:r>
              <w:rPr>
                <w:rFonts w:ascii="Arial" w:cs="Arial" w:eastAsia="Arial" w:hAnsi="Arial"/>
                <w:sz w:val="18"/>
                <w:szCs w:val="18"/>
                <w:color w:val="auto"/>
              </w:rPr>
              <w:t>10.1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80" w:type="dxa"/>
            <w:vAlign w:val="bottom"/>
          </w:tcPr>
          <w:p>
            <w:pPr>
              <w:ind w:left="220"/>
              <w:spacing w:after="0"/>
              <w:rPr>
                <w:sz w:val="20"/>
                <w:szCs w:val="20"/>
                <w:color w:val="auto"/>
              </w:rPr>
            </w:pPr>
            <w:r>
              <w:rPr>
                <w:rFonts w:ascii="Arial" w:cs="Arial" w:eastAsia="Arial" w:hAnsi="Arial"/>
                <w:sz w:val="18"/>
                <w:szCs w:val="18"/>
                <w:color w:val="auto"/>
              </w:rPr>
              <w:t>July 6, 2016</w:t>
            </w:r>
          </w:p>
        </w:tc>
        <w:tc>
          <w:tcPr>
            <w:tcW w:w="540" w:type="dxa"/>
            <w:vAlign w:val="bottom"/>
          </w:tcPr>
          <w:p>
            <w:pPr>
              <w:ind w:left="140"/>
              <w:spacing w:after="0"/>
              <w:rPr>
                <w:sz w:val="20"/>
                <w:szCs w:val="20"/>
                <w:color w:val="auto"/>
              </w:rPr>
            </w:pPr>
            <w:r>
              <w:rPr>
                <w:rFonts w:ascii="Arial" w:cs="Arial" w:eastAsia="Arial" w:hAnsi="Arial"/>
                <w:sz w:val="18"/>
                <w:szCs w:val="18"/>
                <w:color w:val="auto"/>
              </w:rPr>
              <w:t>10.2</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S-1/A</w:t>
            </w:r>
          </w:p>
        </w:tc>
        <w:tc>
          <w:tcPr>
            <w:tcW w:w="1780" w:type="dxa"/>
            <w:vAlign w:val="bottom"/>
          </w:tcPr>
          <w:p>
            <w:pPr>
              <w:ind w:left="220"/>
              <w:spacing w:after="0"/>
              <w:rPr>
                <w:sz w:val="20"/>
                <w:szCs w:val="20"/>
                <w:color w:val="auto"/>
              </w:rPr>
            </w:pPr>
            <w:r>
              <w:rPr>
                <w:rFonts w:ascii="Arial" w:cs="Arial" w:eastAsia="Arial" w:hAnsi="Arial"/>
                <w:sz w:val="18"/>
                <w:szCs w:val="18"/>
                <w:color w:val="auto"/>
                <w:w w:val="94"/>
              </w:rPr>
              <w:t>September 20, 2016</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10.39</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860" w:type="dxa"/>
            <w:vAlign w:val="bottom"/>
          </w:tcPr>
          <w:p>
            <w:pPr>
              <w:ind w:left="300"/>
              <w:spacing w:after="0"/>
              <w:rPr>
                <w:sz w:val="20"/>
                <w:szCs w:val="20"/>
                <w:color w:val="auto"/>
              </w:rPr>
            </w:pPr>
            <w:r>
              <w:rPr>
                <w:rFonts w:ascii="Arial" w:cs="Arial" w:eastAsia="Arial" w:hAnsi="Arial"/>
                <w:sz w:val="18"/>
                <w:szCs w:val="18"/>
                <w:color w:val="auto"/>
                <w:w w:val="97"/>
              </w:rPr>
              <w:t>December 27, 2016</w:t>
            </w:r>
          </w:p>
        </w:tc>
        <w:tc>
          <w:tcPr>
            <w:tcW w:w="540" w:type="dxa"/>
            <w:vAlign w:val="bottom"/>
          </w:tcPr>
          <w:p>
            <w:pPr>
              <w:ind w:left="140"/>
              <w:spacing w:after="0"/>
              <w:rPr>
                <w:sz w:val="20"/>
                <w:szCs w:val="20"/>
                <w:color w:val="auto"/>
              </w:rPr>
            </w:pPr>
            <w:r>
              <w:rPr>
                <w:rFonts w:ascii="Arial" w:cs="Arial" w:eastAsia="Arial" w:hAnsi="Arial"/>
                <w:sz w:val="18"/>
                <w:szCs w:val="18"/>
                <w:color w:val="auto"/>
              </w:rPr>
              <w:t>2.1</w:t>
            </w:r>
          </w:p>
        </w:tc>
      </w:tr>
      <w:tr>
        <w:trPr>
          <w:trHeight w:val="540"/>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860" w:type="dxa"/>
            <w:vAlign w:val="bottom"/>
          </w:tcPr>
          <w:p>
            <w:pPr>
              <w:ind w:left="300"/>
              <w:spacing w:after="0"/>
              <w:rPr>
                <w:sz w:val="20"/>
                <w:szCs w:val="20"/>
                <w:color w:val="auto"/>
              </w:rPr>
            </w:pPr>
            <w:r>
              <w:rPr>
                <w:rFonts w:ascii="Arial" w:cs="Arial" w:eastAsia="Arial" w:hAnsi="Arial"/>
                <w:sz w:val="18"/>
                <w:szCs w:val="18"/>
                <w:color w:val="auto"/>
              </w:rPr>
              <w:t>February 1, 2017</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10.51</w:t>
            </w:r>
          </w:p>
        </w:tc>
      </w:tr>
      <w:tr>
        <w:trPr>
          <w:trHeight w:val="540"/>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860" w:type="dxa"/>
            <w:vAlign w:val="bottom"/>
          </w:tcPr>
          <w:p>
            <w:pPr>
              <w:ind w:left="300"/>
              <w:spacing w:after="0"/>
              <w:rPr>
                <w:sz w:val="20"/>
                <w:szCs w:val="20"/>
                <w:color w:val="auto"/>
              </w:rPr>
            </w:pPr>
            <w:r>
              <w:rPr>
                <w:rFonts w:ascii="Arial" w:cs="Arial" w:eastAsia="Arial" w:hAnsi="Arial"/>
                <w:sz w:val="18"/>
                <w:szCs w:val="18"/>
                <w:color w:val="auto"/>
              </w:rPr>
              <w:t>February 1, 2017</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10.52</w:t>
            </w:r>
          </w:p>
        </w:tc>
      </w:tr>
      <w:tr>
        <w:trPr>
          <w:trHeight w:val="540"/>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860" w:type="dxa"/>
            <w:vAlign w:val="bottom"/>
          </w:tcPr>
          <w:p>
            <w:pPr>
              <w:ind w:left="300"/>
              <w:spacing w:after="0"/>
              <w:rPr>
                <w:sz w:val="20"/>
                <w:szCs w:val="20"/>
                <w:color w:val="auto"/>
              </w:rPr>
            </w:pPr>
            <w:r>
              <w:rPr>
                <w:rFonts w:ascii="Arial" w:cs="Arial" w:eastAsia="Arial" w:hAnsi="Arial"/>
                <w:sz w:val="18"/>
                <w:szCs w:val="18"/>
                <w:color w:val="auto"/>
              </w:rPr>
              <w:t>July 24, 2017</w:t>
            </w:r>
          </w:p>
        </w:tc>
        <w:tc>
          <w:tcPr>
            <w:tcW w:w="540" w:type="dxa"/>
            <w:vAlign w:val="bottom"/>
          </w:tcPr>
          <w:p>
            <w:pPr>
              <w:ind w:left="140"/>
              <w:spacing w:after="0"/>
              <w:rPr>
                <w:sz w:val="20"/>
                <w:szCs w:val="20"/>
                <w:color w:val="auto"/>
              </w:rPr>
            </w:pPr>
            <w:r>
              <w:rPr>
                <w:rFonts w:ascii="Arial" w:cs="Arial" w:eastAsia="Arial" w:hAnsi="Arial"/>
                <w:sz w:val="18"/>
                <w:szCs w:val="18"/>
                <w:color w:val="auto"/>
              </w:rPr>
              <w:t>2.1</w:t>
            </w:r>
          </w:p>
        </w:tc>
      </w:tr>
      <w:tr>
        <w:trPr>
          <w:trHeight w:val="540"/>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860" w:type="dxa"/>
            <w:vAlign w:val="bottom"/>
          </w:tcPr>
          <w:p>
            <w:pPr>
              <w:ind w:left="300"/>
              <w:spacing w:after="0"/>
              <w:rPr>
                <w:sz w:val="20"/>
                <w:szCs w:val="20"/>
                <w:color w:val="auto"/>
              </w:rPr>
            </w:pPr>
            <w:r>
              <w:rPr>
                <w:rFonts w:ascii="Arial" w:cs="Arial" w:eastAsia="Arial" w:hAnsi="Arial"/>
                <w:sz w:val="18"/>
                <w:szCs w:val="18"/>
                <w:color w:val="auto"/>
              </w:rPr>
              <w:t>December 8, 2017</w:t>
            </w:r>
          </w:p>
        </w:tc>
        <w:tc>
          <w:tcPr>
            <w:tcW w:w="540" w:type="dxa"/>
            <w:vAlign w:val="bottom"/>
          </w:tcPr>
          <w:p>
            <w:pPr>
              <w:ind w:left="140"/>
              <w:spacing w:after="0"/>
              <w:rPr>
                <w:sz w:val="20"/>
                <w:szCs w:val="20"/>
                <w:color w:val="auto"/>
              </w:rPr>
            </w:pPr>
            <w:r>
              <w:rPr>
                <w:rFonts w:ascii="Arial" w:cs="Arial" w:eastAsia="Arial" w:hAnsi="Arial"/>
                <w:sz w:val="18"/>
                <w:szCs w:val="18"/>
                <w:color w:val="auto"/>
              </w:rPr>
              <w:t>2.1</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860" w:type="dxa"/>
            <w:vAlign w:val="bottom"/>
          </w:tcPr>
          <w:p>
            <w:pPr>
              <w:ind w:left="300"/>
              <w:spacing w:after="0"/>
              <w:rPr>
                <w:sz w:val="20"/>
                <w:szCs w:val="20"/>
                <w:color w:val="auto"/>
              </w:rPr>
            </w:pPr>
            <w:r>
              <w:rPr>
                <w:rFonts w:ascii="Arial" w:cs="Arial" w:eastAsia="Arial" w:hAnsi="Arial"/>
                <w:sz w:val="18"/>
                <w:szCs w:val="18"/>
                <w:color w:val="auto"/>
                <w:w w:val="97"/>
              </w:rPr>
              <w:t>December 13, 2017</w:t>
            </w:r>
          </w:p>
        </w:tc>
        <w:tc>
          <w:tcPr>
            <w:tcW w:w="540" w:type="dxa"/>
            <w:vAlign w:val="bottom"/>
          </w:tcPr>
          <w:p>
            <w:pPr>
              <w:ind w:left="140"/>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326"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61"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7520" w:space="140"/>
            <w:col w:w="376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8"/>
                <w:szCs w:val="18"/>
                <w:color w:val="auto"/>
              </w:rPr>
              <w:t>Date: August 14, 2018</w:t>
            </w:r>
          </w:p>
        </w:tc>
        <w:tc>
          <w:tcPr>
            <w:tcW w:w="7860" w:type="dxa"/>
            <w:vAlign w:val="bottom"/>
            <w:gridSpan w:val="2"/>
          </w:tcPr>
          <w:p>
            <w:pPr>
              <w:ind w:left="1920"/>
              <w:spacing w:after="0"/>
              <w:rPr>
                <w:sz w:val="20"/>
                <w:szCs w:val="20"/>
                <w:color w:val="auto"/>
              </w:rPr>
            </w:pPr>
            <w:r>
              <w:rPr>
                <w:rFonts w:ascii="Arial" w:cs="Arial" w:eastAsia="Arial" w:hAnsi="Arial"/>
                <w:sz w:val="18"/>
                <w:szCs w:val="18"/>
                <w:b w:val="1"/>
                <w:bCs w:val="1"/>
                <w:color w:val="auto"/>
              </w:rPr>
              <w:t>SOLENO THERAPEUTICS, INC.</w:t>
            </w:r>
          </w:p>
        </w:tc>
      </w:tr>
      <w:tr>
        <w:trPr>
          <w:trHeight w:val="432"/>
        </w:trPr>
        <w:tc>
          <w:tcPr>
            <w:tcW w:w="3560" w:type="dxa"/>
            <w:vAlign w:val="bottom"/>
          </w:tcPr>
          <w:p>
            <w:pPr>
              <w:spacing w:after="0"/>
              <w:rPr>
                <w:sz w:val="24"/>
                <w:szCs w:val="24"/>
                <w:color w:val="auto"/>
              </w:rPr>
            </w:pPr>
          </w:p>
        </w:tc>
        <w:tc>
          <w:tcPr>
            <w:tcW w:w="7860" w:type="dxa"/>
            <w:vAlign w:val="bottom"/>
            <w:gridSpan w:val="2"/>
          </w:tcPr>
          <w:p>
            <w:pPr>
              <w:ind w:left="1920"/>
              <w:spacing w:after="0"/>
              <w:rPr>
                <w:sz w:val="20"/>
                <w:szCs w:val="20"/>
                <w:color w:val="auto"/>
              </w:rPr>
            </w:pPr>
            <w:r>
              <w:rPr>
                <w:rFonts w:ascii="Arial" w:cs="Arial" w:eastAsia="Arial" w:hAnsi="Arial"/>
                <w:sz w:val="18"/>
                <w:szCs w:val="18"/>
                <w:color w:val="auto"/>
              </w:rPr>
              <w:t>By:    /s/ Jonathan Wolter</w:t>
            </w:r>
          </w:p>
        </w:tc>
      </w:tr>
      <w:tr>
        <w:trPr>
          <w:trHeight w:val="209"/>
        </w:trPr>
        <w:tc>
          <w:tcPr>
            <w:tcW w:w="3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Jonathan Wolter</w:t>
            </w:r>
          </w:p>
        </w:tc>
      </w:tr>
      <w:tr>
        <w:trPr>
          <w:trHeight w:val="212"/>
        </w:trPr>
        <w:tc>
          <w:tcPr>
            <w:tcW w:w="3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4"/>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w w:val="96"/>
              </w:rPr>
              <w:t>(authorized officer and principal financial and accounting officer)</w:t>
            </w:r>
          </w:p>
        </w:tc>
      </w:tr>
      <w:tr>
        <w:trPr>
          <w:trHeight w:val="743"/>
        </w:trPr>
        <w:tc>
          <w:tcPr>
            <w:tcW w:w="3560" w:type="dxa"/>
            <w:vAlign w:val="bottom"/>
          </w:tcPr>
          <w:p>
            <w:pPr>
              <w:spacing w:after="0"/>
              <w:rPr>
                <w:sz w:val="24"/>
                <w:szCs w:val="24"/>
                <w:color w:val="auto"/>
              </w:rPr>
            </w:pPr>
          </w:p>
        </w:tc>
        <w:tc>
          <w:tcPr>
            <w:tcW w:w="2500" w:type="dxa"/>
            <w:vAlign w:val="bottom"/>
          </w:tcPr>
          <w:p>
            <w:pPr>
              <w:jc w:val="right"/>
              <w:ind w:right="170"/>
              <w:spacing w:after="0"/>
              <w:rPr>
                <w:sz w:val="20"/>
                <w:szCs w:val="20"/>
                <w:color w:val="auto"/>
              </w:rPr>
            </w:pPr>
            <w:r>
              <w:rPr>
                <w:rFonts w:ascii="Arial" w:cs="Arial" w:eastAsia="Arial" w:hAnsi="Arial"/>
                <w:sz w:val="18"/>
                <w:szCs w:val="18"/>
                <w:color w:val="auto"/>
              </w:rPr>
              <w:t>37</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Anish Bhatnagar, M.D., certify that:</w:t>
      </w:r>
    </w:p>
    <w:p>
      <w:pPr>
        <w:spacing w:after="0" w:line="117" w:lineRule="exact"/>
        <w:rPr>
          <w:sz w:val="20"/>
          <w:szCs w:val="20"/>
          <w:color w:val="auto"/>
        </w:rPr>
      </w:pPr>
    </w:p>
    <w:p>
      <w:pPr>
        <w:ind w:left="180" w:hanging="176"/>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117" w:lineRule="exact"/>
        <w:rPr>
          <w:rFonts w:ascii="Arial" w:cs="Arial" w:eastAsia="Arial" w:hAnsi="Arial"/>
          <w:sz w:val="18"/>
          <w:szCs w:val="18"/>
          <w:color w:val="auto"/>
        </w:rPr>
      </w:pPr>
    </w:p>
    <w:p>
      <w:pPr>
        <w:ind w:right="40" w:firstLine="4"/>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20" w:firstLine="4"/>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20" w:firstLine="4"/>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40" w:right="120" w:firstLine="4"/>
        <w:spacing w:after="0" w:line="264" w:lineRule="auto"/>
        <w:tabs>
          <w:tab w:leader="none" w:pos="68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40" w:right="60" w:firstLine="4"/>
        <w:spacing w:after="0" w:line="264" w:lineRule="auto"/>
        <w:tabs>
          <w:tab w:leader="none" w:pos="69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620" w:firstLine="4"/>
        <w:spacing w:after="0" w:line="342" w:lineRule="auto"/>
        <w:tabs>
          <w:tab w:leader="none" w:pos="685"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firstLine="4"/>
        <w:spacing w:after="0" w:line="264" w:lineRule="auto"/>
        <w:tabs>
          <w:tab w:leader="none" w:pos="69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0" w:firstLine="4"/>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40" w:right="20" w:firstLine="4"/>
        <w:spacing w:after="0" w:line="277" w:lineRule="auto"/>
        <w:tabs>
          <w:tab w:leader="none" w:pos="68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69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Quarterly Report of Soleno Therapeutics, Inc. (the “Company”) on Form 10-Q for the fiscal quarter ended June 30, 2018,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71" w:lineRule="exact"/>
        <w:rPr>
          <w:sz w:val="20"/>
          <w:szCs w:val="20"/>
          <w:color w:val="auto"/>
        </w:rPr>
      </w:pPr>
    </w:p>
    <w:p>
      <w:pPr>
        <w:ind w:left="1860" w:hanging="425"/>
        <w:spacing w:after="0"/>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42" w:lineRule="exact"/>
        <w:rPr>
          <w:rFonts w:ascii="Arial" w:cs="Arial" w:eastAsia="Arial" w:hAnsi="Arial"/>
          <w:sz w:val="17"/>
          <w:szCs w:val="17"/>
          <w:color w:val="auto"/>
        </w:rPr>
      </w:pPr>
    </w:p>
    <w:p>
      <w:pPr>
        <w:ind w:left="1860" w:right="220" w:hanging="425"/>
        <w:spacing w:after="0" w:line="277" w:lineRule="auto"/>
        <w:tabs>
          <w:tab w:leader="none" w:pos="1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72" Type="http://schemas.openxmlformats.org/officeDocument/2006/relationships/image" Target="media/image43.png"/><Relationship Id="rId102" Type="http://schemas.openxmlformats.org/officeDocument/2006/relationships/image" Target="media/image44.png"/><Relationship Id="rId122" Type="http://schemas.openxmlformats.org/officeDocument/2006/relationships/image" Target="media/image45.png"/><Relationship Id="rId136" Type="http://schemas.openxmlformats.org/officeDocument/2006/relationships/image" Target="media/image46.png"/><Relationship Id="rId137" Type="http://schemas.openxmlformats.org/officeDocument/2006/relationships/image" Target="media/image47.png"/><Relationship Id="rId138" Type="http://schemas.openxmlformats.org/officeDocument/2006/relationships/image" Target="media/image48.png"/><Relationship Id="rId50" Type="http://schemas.openxmlformats.org/officeDocument/2006/relationships/hyperlink" Target="http://www.sec.gov/Archives/edgar/data/1484565/000162828017007221/ehx21.htm" TargetMode="External"/><Relationship Id="rId51" Type="http://schemas.openxmlformats.org/officeDocument/2006/relationships/hyperlink" Target="http://www.sec.gov/Archives/edgar/data/1484565/000162828017012274/ex21soleno-captainjvagreem.htm" TargetMode="External"/><Relationship Id="rId52" Type="http://schemas.openxmlformats.org/officeDocument/2006/relationships/hyperlink" Target="http://www.sec.gov/Archives/edgar/data/1484565/000162828017012274/ex22ippurchaseagreement.htm" TargetMode="External"/><Relationship Id="rId53" Type="http://schemas.openxmlformats.org/officeDocument/2006/relationships/hyperlink" Target="http://www.sec.gov/Archives/edgar/data/1484565/000162828017012274/ex23soleno-transitionservi.htm" TargetMode="External"/><Relationship Id="rId54" Type="http://schemas.openxmlformats.org/officeDocument/2006/relationships/hyperlink" Target="http://www.sec.gov/Archives/edgar/data/1484565/000119312514300848/d711637dex32.htm" TargetMode="External"/><Relationship Id="rId55" Type="http://schemas.openxmlformats.org/officeDocument/2006/relationships/hyperlink" Target="http://www.sec.gov/Archives/edgar/data/1484565/000119312514256995/d711637dex34.htm" TargetMode="External"/><Relationship Id="rId56" Type="http://schemas.openxmlformats.org/officeDocument/2006/relationships/hyperlink" Target="http://www.sec.gov/Archives/edgar/data/1484565/000119312515344002/d67111dex31.htm" TargetMode="External"/><Relationship Id="rId57" Type="http://schemas.openxmlformats.org/officeDocument/2006/relationships/hyperlink" Target="http://www.sec.gov/Archives/edgar/data/1484565/000119312516642505/d221558dex31.htm" TargetMode="External"/><Relationship Id="rId58" Type="http://schemas.openxmlformats.org/officeDocument/2006/relationships/hyperlink" Target="http://www.sec.gov/Archives/edgar/data/1484565/000162828017005427/exhibit31.htm" TargetMode="External"/><Relationship Id="rId59" Type="http://schemas.openxmlformats.org/officeDocument/2006/relationships/hyperlink" Target="http://www.sec.gov/Archives/edgar/data/1484565/000162828017009761/soleno-certificateofamendm.htm" TargetMode="External"/><Relationship Id="rId60" Type="http://schemas.openxmlformats.org/officeDocument/2006/relationships/hyperlink" Target="http://www.sec.gov/Archives/edgar/data/1484565/000119312514293949/d711637dex41.htm" TargetMode="External"/><Relationship Id="rId61" Type="http://schemas.openxmlformats.org/officeDocument/2006/relationships/hyperlink" Target="http://www.sec.gov/Archives/edgar/data/1484565/000119312514256995/d711637dex42.htm" TargetMode="External"/><Relationship Id="rId62" Type="http://schemas.openxmlformats.org/officeDocument/2006/relationships/hyperlink" Target="http://www.sec.gov/Archives/edgar/data/1484565/000119312514293949/d711637dex43.htm" TargetMode="External"/><Relationship Id="rId63" Type="http://schemas.openxmlformats.org/officeDocument/2006/relationships/hyperlink" Target="http://www.sec.gov/Archives/edgar/data/1484565/000119312514293949/d711637dex44.htm" TargetMode="External"/><Relationship Id="rId64" Type="http://schemas.openxmlformats.org/officeDocument/2006/relationships/hyperlink" Target="http://www.sec.gov/Archives/edgar/data/1484565/000119312514293949/d711637dex45.htm" TargetMode="External"/><Relationship Id="rId65" Type="http://schemas.openxmlformats.org/officeDocument/2006/relationships/hyperlink" Target="http://www.sec.gov/Archives/edgar/data/1484565/000119312514231812/d711637dex46.htm" TargetMode="External"/><Relationship Id="rId66" Type="http://schemas.openxmlformats.org/officeDocument/2006/relationships/hyperlink" Target="http://www.sec.gov/Archives/edgar/data/1484565/000119312514231812/d711637dex47.htm" TargetMode="External"/><Relationship Id="rId67" Type="http://schemas.openxmlformats.org/officeDocument/2006/relationships/hyperlink" Target="http://www.sec.gov/Archives/edgar/data/1484565/000119312514231812/d711637dex48.htm" TargetMode="External"/><Relationship Id="rId68" Type="http://schemas.openxmlformats.org/officeDocument/2006/relationships/hyperlink" Target="http://www.sec.gov/Archives/edgar/data/1484565/000119312514231812/d711637dex49.htm" TargetMode="External"/><Relationship Id="rId69" Type="http://schemas.openxmlformats.org/officeDocument/2006/relationships/hyperlink" Target="http://www.sec.gov/Archives/edgar/data/1484565/000119312514231812/d711637dex410.htm" TargetMode="External"/><Relationship Id="rId70" Type="http://schemas.openxmlformats.org/officeDocument/2006/relationships/hyperlink" Target="http://www.sec.gov/Archives/edgar/data/1484565/000119312514231812/d711637dex411.htm" TargetMode="External"/><Relationship Id="rId71" Type="http://schemas.openxmlformats.org/officeDocument/2006/relationships/hyperlink" Target="http://www.sec.gov/Archives/edgar/data/1484565/000119312514231812/d711637dex412.htm" TargetMode="External"/><Relationship Id="rId73" Type="http://schemas.openxmlformats.org/officeDocument/2006/relationships/hyperlink" Target="http://www.sec.gov/Archives/edgar/data/1484565/000119312514231812/d711637dex413.htm" TargetMode="External"/><Relationship Id="rId74" Type="http://schemas.openxmlformats.org/officeDocument/2006/relationships/hyperlink" Target="http://www.sec.gov/Archives/edgar/data/1484565/000119312514231812/d711637dex414.htm" TargetMode="External"/><Relationship Id="rId75" Type="http://schemas.openxmlformats.org/officeDocument/2006/relationships/hyperlink" Target="http://www.sec.gov/Archives/edgar/data/1484565/000119312514231812/d711637dex415.htm" TargetMode="External"/><Relationship Id="rId76" Type="http://schemas.openxmlformats.org/officeDocument/2006/relationships/hyperlink" Target="http://www.sec.gov/Archives/edgar/data/1484565/000119312514293949/d711637dex416.htm" TargetMode="External"/><Relationship Id="rId77" Type="http://schemas.openxmlformats.org/officeDocument/2006/relationships/hyperlink" Target="http://www.sec.gov/Archives/edgar/data/1484565/000119312514396517/d711637dex417.htm" TargetMode="External"/><Relationship Id="rId78" Type="http://schemas.openxmlformats.org/officeDocument/2006/relationships/hyperlink" Target="http://www.sec.gov/Archives/edgar/data/1484565/000119312514396517/d711637dex418.htm" TargetMode="External"/><Relationship Id="rId79" Type="http://schemas.openxmlformats.org/officeDocument/2006/relationships/hyperlink" Target="http://www.sec.gov/Archives/edgar/data/1484565/000119312515114723/d893037dex419.htm" TargetMode="External"/><Relationship Id="rId80" Type="http://schemas.openxmlformats.org/officeDocument/2006/relationships/hyperlink" Target="http://www.sec.gov/Archives/edgar/data/1484565/000119312515114723/d893037dex420.htm" TargetMode="External"/><Relationship Id="rId81" Type="http://schemas.openxmlformats.org/officeDocument/2006/relationships/hyperlink" Target="http://www.sec.gov/Archives/edgar/data/1484565/000119312515344002/d67111dex41.htm" TargetMode="External"/><Relationship Id="rId82" Type="http://schemas.openxmlformats.org/officeDocument/2006/relationships/hyperlink" Target="http://www.sec.gov/Archives/edgar/data/1484565/000119312515344002/d67111dex42.htm" TargetMode="External"/><Relationship Id="rId83" Type="http://schemas.openxmlformats.org/officeDocument/2006/relationships/hyperlink" Target="http://www.sec.gov/Archives/edgar/data/1484565/000119312515344002/d67111dex43.htm" TargetMode="External"/><Relationship Id="rId84" Type="http://schemas.openxmlformats.org/officeDocument/2006/relationships/hyperlink" Target="http://www.sec.gov/Archives/edgar/data/1484565/000119312515344002/d67111dex44.htm" TargetMode="External"/><Relationship Id="rId85" Type="http://schemas.openxmlformats.org/officeDocument/2006/relationships/hyperlink" Target="http://www.sec.gov/Archives/edgar/data/1484565/000119312516642505/d221558dex41.htm" TargetMode="External"/><Relationship Id="rId86" Type="http://schemas.openxmlformats.org/officeDocument/2006/relationships/hyperlink" Target="http://www.sec.gov/Archives/edgar/data/1484565/000119312516642505/d221558dex42.htm" TargetMode="External"/><Relationship Id="rId87" Type="http://schemas.openxmlformats.org/officeDocument/2006/relationships/hyperlink" Target="http://www.sec.gov/Archives/edgar/data/1484565/000148456517000004/ex41commonstockwarrant.htm" TargetMode="External"/><Relationship Id="rId88" Type="http://schemas.openxmlformats.org/officeDocument/2006/relationships/hyperlink" Target="http://www.sec.gov/Archives/edgar/data/1484565/000119312515344002/d67111dex91.htm" TargetMode="External"/><Relationship Id="rId89" Type="http://schemas.openxmlformats.org/officeDocument/2006/relationships/hyperlink" Target="http://www.sec.gov/Archives/edgar/data/1484565/000119312516642505/d221558dex91.htm" TargetMode="External"/><Relationship Id="rId90" Type="http://schemas.openxmlformats.org/officeDocument/2006/relationships/hyperlink" Target="http://www.sec.gov/Archives/edgar/data/1484565/000119312516803934/d282262dex101.htm" TargetMode="External"/><Relationship Id="rId91" Type="http://schemas.openxmlformats.org/officeDocument/2006/relationships/hyperlink" Target="http://www.sec.gov/Archives/edgar/data/1484565/000119312514231812/d711637dex101.htm" TargetMode="External"/><Relationship Id="rId92" Type="http://schemas.openxmlformats.org/officeDocument/2006/relationships/hyperlink" Target="http://www.sec.gov/Archives/edgar/data/1484565/000119312514231812/d711637dex102.htm" TargetMode="External"/><Relationship Id="rId93" Type="http://schemas.openxmlformats.org/officeDocument/2006/relationships/hyperlink" Target="http://www.sec.gov/Archives/edgar/data/1484565/000119312514231812/d711637dex103.htm" TargetMode="External"/><Relationship Id="rId94" Type="http://schemas.openxmlformats.org/officeDocument/2006/relationships/hyperlink" Target="http://www.sec.gov/Archives/edgar/data/1484565/000119312514256995/d711637dex104.htm" TargetMode="External"/><Relationship Id="rId95" Type="http://schemas.openxmlformats.org/officeDocument/2006/relationships/hyperlink" Target="http://www.sec.gov/Archives/edgar/data/1484565/000119312514256995/d711637dex105.htm" TargetMode="External"/><Relationship Id="rId96" Type="http://schemas.openxmlformats.org/officeDocument/2006/relationships/hyperlink" Target="http://www.sec.gov/Archives/edgar/data/1484565/000119312514231812/d711637dex106.htm" TargetMode="External"/><Relationship Id="rId97" Type="http://schemas.openxmlformats.org/officeDocument/2006/relationships/hyperlink" Target="http://www.sec.gov/Archives/edgar/data/1484565/000119312514231812/d711637dex107.htm" TargetMode="External"/><Relationship Id="rId98" Type="http://schemas.openxmlformats.org/officeDocument/2006/relationships/hyperlink" Target="http://www.sec.gov/Archives/edgar/data/1484565/000119312514231812/d711637dex108.htm" TargetMode="External"/><Relationship Id="rId99" Type="http://schemas.openxmlformats.org/officeDocument/2006/relationships/hyperlink" Target="http://www.sec.gov/Archives/edgar/data/1484565/000119312514231812/d711637dex109.htm" TargetMode="External"/><Relationship Id="rId100" Type="http://schemas.openxmlformats.org/officeDocument/2006/relationships/hyperlink" Target="http://www.sec.gov/Archives/edgar/data/1484565/000119312514231812/d711637dex1010.htm" TargetMode="External"/><Relationship Id="rId101" Type="http://schemas.openxmlformats.org/officeDocument/2006/relationships/hyperlink" Target="http://www.sec.gov/Archives/edgar/data/1484565/000119312514231812/d711637dex1011.htm" TargetMode="External"/><Relationship Id="rId103" Type="http://schemas.openxmlformats.org/officeDocument/2006/relationships/hyperlink" Target="http://www.sec.gov/Archives/edgar/data/1484565/000119312514231812/d711637dex1012.htm" TargetMode="External"/><Relationship Id="rId104" Type="http://schemas.openxmlformats.org/officeDocument/2006/relationships/hyperlink" Target="http://www.sec.gov/Archives/edgar/data/1484565/000119312514231812/d711637dex1013.htm" TargetMode="External"/><Relationship Id="rId105" Type="http://schemas.openxmlformats.org/officeDocument/2006/relationships/hyperlink" Target="http://www.sec.gov/Archives/edgar/data/1484565/000119312514231812/d711637dex1014.htm" TargetMode="External"/><Relationship Id="rId106" Type="http://schemas.openxmlformats.org/officeDocument/2006/relationships/hyperlink" Target="http://www.sec.gov/Archives/edgar/data/1484565/000119312514231812/d711637dex1015.htm" TargetMode="External"/><Relationship Id="rId107" Type="http://schemas.openxmlformats.org/officeDocument/2006/relationships/hyperlink" Target="http://www.sec.gov/Archives/edgar/data/1484565/000119312514231812/d711637dex1016.htm" TargetMode="External"/><Relationship Id="rId108" Type="http://schemas.openxmlformats.org/officeDocument/2006/relationships/hyperlink" Target="http://www.sec.gov/Archives/edgar/data/1484565/000119312514231812/d711637dex1017.htm" TargetMode="External"/><Relationship Id="rId109" Type="http://schemas.openxmlformats.org/officeDocument/2006/relationships/hyperlink" Target="http://www.sec.gov/Archives/edgar/data/1484565/000119312514231812/d711637dex1018.htm" TargetMode="External"/><Relationship Id="rId110" Type="http://schemas.openxmlformats.org/officeDocument/2006/relationships/hyperlink" Target="http://www.sec.gov/Archives/edgar/data/1484565/000119312514256995/d711637dex1019.htm" TargetMode="External"/><Relationship Id="rId111" Type="http://schemas.openxmlformats.org/officeDocument/2006/relationships/hyperlink" Target="http://www.sec.gov/Archives/edgar/data/1484565/000119312514274666/d711637dex1020.htm" TargetMode="External"/><Relationship Id="rId112" Type="http://schemas.openxmlformats.org/officeDocument/2006/relationships/hyperlink" Target="http://www.sec.gov/Archives/edgar/data/1484565/000119312514357384/d711637dex1021.htm" TargetMode="External"/><Relationship Id="rId113" Type="http://schemas.openxmlformats.org/officeDocument/2006/relationships/hyperlink" Target="http://www.sec.gov/Archives/edgar/data/1484565/000119312514396517/d711637dex1022.htm" TargetMode="External"/><Relationship Id="rId114" Type="http://schemas.openxmlformats.org/officeDocument/2006/relationships/hyperlink" Target="http://www.sec.gov/Archives/edgar/data/1484565/000119312514396517/d711637dex1023.htm" TargetMode="External"/><Relationship Id="rId115" Type="http://schemas.openxmlformats.org/officeDocument/2006/relationships/hyperlink" Target="http://www.sec.gov/Archives/edgar/data/1484565/000119312515078868/d886135dex101.htm" TargetMode="External"/><Relationship Id="rId116" Type="http://schemas.openxmlformats.org/officeDocument/2006/relationships/hyperlink" Target="http://www.sec.gov/Archives/edgar/data/1484565/000119312515114723/d893037dex1025.htm" TargetMode="External"/><Relationship Id="rId117" Type="http://schemas.openxmlformats.org/officeDocument/2006/relationships/hyperlink" Target="http://www.sec.gov/Archives/edgar/data/1484565/000119312515246752/d72536dex101.htm" TargetMode="External"/><Relationship Id="rId118" Type="http://schemas.openxmlformats.org/officeDocument/2006/relationships/hyperlink" Target="http://www.sec.gov/Archives/edgar/data/1484565/000119312515246752/d72536dex102.htm" TargetMode="External"/><Relationship Id="rId119" Type="http://schemas.openxmlformats.org/officeDocument/2006/relationships/hyperlink" Target="http://www.sec.gov/Archives/edgar/data/1484565/000119312515264172/d151899dex41.htm" TargetMode="External"/><Relationship Id="rId120" Type="http://schemas.openxmlformats.org/officeDocument/2006/relationships/hyperlink" Target="http://www.sec.gov/Archives/edgar/data/1484565/000119312515264172/d151899dex101.htm" TargetMode="External"/><Relationship Id="rId121" Type="http://schemas.openxmlformats.org/officeDocument/2006/relationships/hyperlink" Target="http://www.sec.gov/Archives/edgar/data/1484565/000119312515344002/d67111dex11.htm" TargetMode="External"/><Relationship Id="rId123" Type="http://schemas.openxmlformats.org/officeDocument/2006/relationships/hyperlink" Target="http://www.sec.gov/Archives/edgar/data/1484565/000119312515344002/d67111dex101.htm" TargetMode="External"/><Relationship Id="rId124" Type="http://schemas.openxmlformats.org/officeDocument/2006/relationships/hyperlink" Target="http://www.sec.gov/Archives/edgar/data/1484565/000119312515344002/d67111dex102.htm" TargetMode="External"/><Relationship Id="rId125" Type="http://schemas.openxmlformats.org/officeDocument/2006/relationships/hyperlink" Target="http://www.sec.gov/Archives/edgar/data/1484565/000119312515344002/d67111dex103.htm" TargetMode="External"/><Relationship Id="rId126" Type="http://schemas.openxmlformats.org/officeDocument/2006/relationships/hyperlink" Target="http://www.sec.gov/Archives/edgar/data/1484565/000119312515410913/d83264dex1033.htm" TargetMode="External"/><Relationship Id="rId127" Type="http://schemas.openxmlformats.org/officeDocument/2006/relationships/hyperlink" Target="http://www.sec.gov/Archives/edgar/data/1484565/000119312516441799/d77178dex101.htm" TargetMode="External"/><Relationship Id="rId128" Type="http://schemas.openxmlformats.org/officeDocument/2006/relationships/hyperlink" Target="http://www.sec.gov/Archives/edgar/data/1484565/000119312516642505/d221558dex11.htm" TargetMode="External"/><Relationship Id="rId129" Type="http://schemas.openxmlformats.org/officeDocument/2006/relationships/hyperlink" Target="http://www.sec.gov/Archives/edgar/data/1484565/000119312516642505/d221558dex101.htm" TargetMode="External"/><Relationship Id="rId130" Type="http://schemas.openxmlformats.org/officeDocument/2006/relationships/hyperlink" Target="http://www.sec.gov/Archives/edgar/data/1484565/000119312516642505/d221558dex102.htm" TargetMode="External"/><Relationship Id="rId131" Type="http://schemas.openxmlformats.org/officeDocument/2006/relationships/hyperlink" Target="http://www.sec.gov/Archives/edgar/data/1484565/000119312516714955/d217110dex1039.htm" TargetMode="External"/><Relationship Id="rId132" Type="http://schemas.openxmlformats.org/officeDocument/2006/relationships/hyperlink" Target="http://www.sec.gov/Archives/edgar/data/1484565/000119312516803934/d282262dex21.htm" TargetMode="External"/><Relationship Id="rId133" Type="http://schemas.openxmlformats.org/officeDocument/2006/relationships/hyperlink" Target="http://www.sec.gov/Archives/edgar/data/1484565/000119312517027623/d336318dex1051.htm" TargetMode="External"/><Relationship Id="rId134" Type="http://schemas.openxmlformats.org/officeDocument/2006/relationships/hyperlink" Target="http://www.sec.gov/Archives/edgar/data/1484565/000119312517027623/d336318dex1052.htm" TargetMode="External"/><Relationship Id="rId135" Type="http://schemas.openxmlformats.org/officeDocument/2006/relationships/hyperlink" Target="http://www.sec.gov/Archives/edgar/data/1484565/000148456517000004/ex101securitiespurchase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2019-12-28T20:09:20Z</dcterms:created>
  <dcterms:modified xsi:type="dcterms:W3CDTF">2019-12-28T20:09:20Z</dcterms:modified>
</cp:coreProperties>
</file>