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6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right="24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3980" w:type="dxa"/>
            <w:vAlign w:val="bottom"/>
          </w:tcPr>
          <w:p>
            <w:pPr>
              <w:jc w:val="center"/>
              <w:ind w:left="1584"/>
              <w:spacing w:after="0"/>
              <w:rPr>
                <w:sz w:val="20"/>
                <w:szCs w:val="20"/>
                <w:color w:val="auto"/>
              </w:rPr>
            </w:pPr>
            <w:r>
              <w:rPr>
                <w:rFonts w:ascii="Arial" w:cs="Arial" w:eastAsia="Arial" w:hAnsi="Arial"/>
                <w:sz w:val="17"/>
                <w:szCs w:val="17"/>
                <w:b w:val="1"/>
                <w:bCs w:val="1"/>
                <w:color w:val="auto"/>
                <w:w w:val="91"/>
              </w:rPr>
              <w:t>Delaware</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right="1684"/>
              <w:spacing w:after="0"/>
              <w:rPr>
                <w:sz w:val="20"/>
                <w:szCs w:val="20"/>
                <w:color w:val="auto"/>
              </w:rPr>
            </w:pPr>
            <w:r>
              <w:rPr>
                <w:rFonts w:ascii="Arial" w:cs="Arial" w:eastAsia="Arial" w:hAnsi="Arial"/>
                <w:sz w:val="17"/>
                <w:szCs w:val="17"/>
                <w:b w:val="1"/>
                <w:bCs w:val="1"/>
                <w:color w:val="auto"/>
                <w:w w:val="90"/>
              </w:rPr>
              <w:t>77-0523891</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8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Pr>
          <w:p>
            <w:pPr>
              <w:jc w:val="center"/>
              <w:ind w:right="166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80" w:type="dxa"/>
            <w:vAlign w:val="bottom"/>
          </w:tcPr>
          <w:p>
            <w:pPr>
              <w:jc w:val="center"/>
              <w:ind w:left="1584"/>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00" w:type="dxa"/>
            <w:vAlign w:val="bottom"/>
          </w:tcPr>
          <w:p>
            <w:pPr>
              <w:jc w:val="center"/>
              <w:ind w:right="168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47"/>
        </w:trPr>
        <w:tc>
          <w:tcPr>
            <w:tcW w:w="3980" w:type="dxa"/>
            <w:vAlign w:val="bottom"/>
          </w:tcPr>
          <w:p>
            <w:pPr>
              <w:spacing w:after="0"/>
              <w:rPr>
                <w:sz w:val="21"/>
                <w:szCs w:val="21"/>
                <w:color w:val="auto"/>
              </w:rPr>
            </w:pPr>
          </w:p>
        </w:tc>
        <w:tc>
          <w:tcPr>
            <w:tcW w:w="33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w w:val="89"/>
              </w:rPr>
              <w:t>203 Redwood Shores Parkway, Suite 500</w:t>
            </w: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gridSpan w:val="4"/>
          </w:tcPr>
          <w:p>
            <w:pPr>
              <w:jc w:val="center"/>
              <w:ind w:right="600"/>
              <w:spacing w:after="0"/>
              <w:rPr>
                <w:sz w:val="20"/>
                <w:szCs w:val="20"/>
                <w:color w:val="auto"/>
              </w:rPr>
            </w:pPr>
            <w:r>
              <w:rPr>
                <w:rFonts w:ascii="Arial" w:cs="Arial" w:eastAsia="Arial" w:hAnsi="Arial"/>
                <w:sz w:val="17"/>
                <w:szCs w:val="17"/>
                <w:b w:val="1"/>
                <w:bCs w:val="1"/>
                <w:color w:val="auto"/>
                <w:w w:val="92"/>
              </w:rPr>
              <w:t>Redwood City, California</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80" w:type="dxa"/>
            <w:vAlign w:val="bottom"/>
          </w:tcPr>
          <w:p>
            <w:pPr>
              <w:spacing w:after="0"/>
              <w:rPr>
                <w:sz w:val="20"/>
                <w:szCs w:val="20"/>
                <w:color w:val="auto"/>
              </w:rPr>
            </w:pPr>
          </w:p>
        </w:tc>
        <w:tc>
          <w:tcPr>
            <w:tcW w:w="2560" w:type="dxa"/>
            <w:vAlign w:val="bottom"/>
            <w:gridSpan w:val="3"/>
          </w:tcPr>
          <w:p>
            <w:pPr>
              <w:jc w:val="right"/>
              <w:ind w:right="625"/>
              <w:spacing w:after="0"/>
              <w:rPr>
                <w:sz w:val="20"/>
                <w:szCs w:val="20"/>
                <w:color w:val="auto"/>
              </w:rPr>
            </w:pPr>
            <w:r>
              <w:rPr>
                <w:rFonts w:ascii="Arial" w:cs="Arial" w:eastAsia="Arial" w:hAnsi="Arial"/>
                <w:sz w:val="17"/>
                <w:szCs w:val="17"/>
                <w:b w:val="1"/>
                <w:bCs w:val="1"/>
                <w:color w:val="auto"/>
              </w:rPr>
              <w:t>94065</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5"/>
              </w:rPr>
              <w:t>(Zip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980" w:type="dxa"/>
            <w:vAlign w:val="bottom"/>
          </w:tcPr>
          <w:p>
            <w:pPr>
              <w:spacing w:after="0"/>
              <w:rPr>
                <w:sz w:val="21"/>
                <w:szCs w:val="21"/>
                <w:color w:val="auto"/>
              </w:rPr>
            </w:pPr>
          </w:p>
        </w:tc>
        <w:tc>
          <w:tcPr>
            <w:tcW w:w="2560" w:type="dxa"/>
            <w:vAlign w:val="bottom"/>
            <w:gridSpan w:val="3"/>
          </w:tcPr>
          <w:p>
            <w:pPr>
              <w:jc w:val="right"/>
              <w:ind w:right="305"/>
              <w:spacing w:after="0"/>
              <w:rPr>
                <w:sz w:val="20"/>
                <w:szCs w:val="20"/>
                <w:color w:val="auto"/>
              </w:rPr>
            </w:pPr>
            <w:r>
              <w:rPr>
                <w:rFonts w:ascii="Arial" w:cs="Arial" w:eastAsia="Arial" w:hAnsi="Arial"/>
                <w:sz w:val="17"/>
                <w:szCs w:val="17"/>
                <w:b w:val="1"/>
                <w:bCs w:val="1"/>
                <w:color w:val="auto"/>
              </w:rPr>
              <w:t>(650) 213-8444</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3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980" w:type="dxa"/>
            <w:vAlign w:val="bottom"/>
            <w:vMerge w:val="restart"/>
          </w:tcPr>
          <w:p>
            <w:pPr>
              <w:ind w:left="440"/>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5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39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Arial" w:cs="Arial" w:eastAsia="Arial" w:hAnsi="Arial"/>
                <w:sz w:val="15"/>
                <w:szCs w:val="15"/>
                <w:b w:val="1"/>
                <w:bCs w:val="1"/>
                <w:color w:val="auto"/>
                <w:w w:val="88"/>
              </w:rPr>
              <w:t>Title of each class</w:t>
            </w: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jc w:val="center"/>
              <w:ind w:right="744"/>
              <w:spacing w:after="0"/>
              <w:rPr>
                <w:sz w:val="20"/>
                <w:szCs w:val="20"/>
                <w:color w:val="auto"/>
              </w:rPr>
            </w:pPr>
            <w:r>
              <w:rPr>
                <w:rFonts w:ascii="Arial" w:cs="Arial" w:eastAsia="Arial" w:hAnsi="Arial"/>
                <w:sz w:val="15"/>
                <w:szCs w:val="15"/>
                <w:b w:val="1"/>
                <w:bCs w:val="1"/>
                <w:color w:val="auto"/>
                <w:w w:val="89"/>
              </w:rPr>
              <w:t>Name of each exchange on which registered</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Arial" w:cs="Arial" w:eastAsia="Arial" w:hAnsi="Arial"/>
                <w:sz w:val="15"/>
                <w:szCs w:val="15"/>
                <w:color w:val="auto"/>
                <w:w w:val="92"/>
              </w:rPr>
              <w:t>Common Stock, $0.001 par value</w:t>
            </w: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SLNO</w:t>
            </w:r>
          </w:p>
        </w:tc>
        <w:tc>
          <w:tcPr>
            <w:tcW w:w="820" w:type="dxa"/>
            <w:vAlign w:val="bottom"/>
            <w:tcBorders>
              <w:bottom w:val="single" w:sz="8" w:color="auto"/>
            </w:tcBorders>
            <w:gridSpan w:val="2"/>
          </w:tcPr>
          <w:p>
            <w:pPr>
              <w:spacing w:after="0"/>
              <w:rPr>
                <w:sz w:val="18"/>
                <w:szCs w:val="18"/>
                <w:color w:val="auto"/>
              </w:rPr>
            </w:pPr>
          </w:p>
        </w:tc>
        <w:tc>
          <w:tcPr>
            <w:tcW w:w="3900" w:type="dxa"/>
            <w:vAlign w:val="bottom"/>
            <w:tcBorders>
              <w:bottom w:val="single" w:sz="8" w:color="auto"/>
              <w:right w:val="single" w:sz="8" w:color="auto"/>
            </w:tcBorders>
          </w:tcPr>
          <w:p>
            <w:pPr>
              <w:jc w:val="center"/>
              <w:ind w:right="764"/>
              <w:spacing w:after="0"/>
              <w:rPr>
                <w:sz w:val="20"/>
                <w:szCs w:val="20"/>
                <w:color w:val="auto"/>
              </w:rPr>
            </w:pPr>
            <w:r>
              <w:rPr>
                <w:rFonts w:ascii="Arial" w:cs="Arial" w:eastAsia="Arial" w:hAnsi="Arial"/>
                <w:sz w:val="15"/>
                <w:szCs w:val="15"/>
                <w:color w:val="auto"/>
                <w:w w:val="97"/>
              </w:rPr>
              <w:t>NASDAQ</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140" w:firstLine="510"/>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ind w:right="360" w:firstLine="51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480" w:firstLine="510"/>
        <w:spacing w:after="0" w:line="3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0" w:type="dxa"/>
            <w:vAlign w:val="bottom"/>
          </w:tcPr>
          <w:p>
            <w:pPr>
              <w:ind w:left="3020"/>
              <w:spacing w:after="0"/>
              <w:rPr>
                <w:sz w:val="20"/>
                <w:szCs w:val="20"/>
                <w:color w:val="auto"/>
              </w:rPr>
            </w:pPr>
            <w:r>
              <w:rPr>
                <w:rFonts w:ascii="Arial" w:cs="Arial" w:eastAsia="Arial" w:hAnsi="Arial"/>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4" w:lineRule="exact"/>
        <w:rPr>
          <w:sz w:val="24"/>
          <w:szCs w:val="24"/>
          <w:color w:val="auto"/>
        </w:rPr>
      </w:pPr>
    </w:p>
    <w:p>
      <w:pPr>
        <w:ind w:right="120" w:firstLine="51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jc w:val="both"/>
        <w:ind w:left="520" w:right="3120"/>
        <w:spacing w:after="0" w:line="25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April 30, 2021, there were </w:t>
      </w:r>
      <w:r>
        <w:rPr>
          <w:rFonts w:ascii="Arial" w:cs="Arial" w:eastAsia="Arial" w:hAnsi="Arial"/>
          <w:sz w:val="13"/>
          <w:szCs w:val="13"/>
          <w:u w:val="single" w:color="auto"/>
          <w:color w:val="auto"/>
        </w:rPr>
        <w:t>79,723,680</w:t>
      </w:r>
      <w:r>
        <w:rPr>
          <w:rFonts w:ascii="Arial" w:cs="Arial" w:eastAsia="Arial" w:hAnsi="Arial"/>
          <w:sz w:val="13"/>
          <w:szCs w:val="13"/>
          <w:color w:val="auto"/>
        </w:rPr>
        <w:t xml:space="preserve"> shares of the registrant’s Common Stock, par value $0.001 per share, outstanding</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391160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SOLENO THERAPEUTICS,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9200" w:type="dxa"/>
            <w:vAlign w:val="bottom"/>
            <w:gridSpan w:val="22"/>
            <w:vMerge w:val="continue"/>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60" w:type="dxa"/>
            <w:vAlign w:val="bottom"/>
            <w:tcBorders>
              <w:top w:val="single" w:sz="8" w:color="0000EE"/>
            </w:tcBorders>
            <w:gridSpan w:val="4"/>
          </w:tcPr>
          <w:p>
            <w:pPr>
              <w:spacing w:after="0"/>
              <w:rPr>
                <w:sz w:val="17"/>
                <w:szCs w:val="17"/>
                <w:color w:val="auto"/>
              </w:rPr>
            </w:pPr>
          </w:p>
        </w:tc>
        <w:tc>
          <w:tcPr>
            <w:tcW w:w="6040" w:type="dxa"/>
            <w:vAlign w:val="bottom"/>
            <w:gridSpan w:val="9"/>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Stockholders’ Equity (unaudited)</w:t>
              </w:r>
            </w:hyperlink>
          </w:p>
        </w:tc>
        <w:tc>
          <w:tcPr>
            <w:tcW w:w="306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(unaudited)</w:t>
              </w:r>
            </w:hyperlink>
          </w:p>
        </w:tc>
        <w:tc>
          <w:tcPr>
            <w:tcW w:w="374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46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0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Item 2. Management’s Discussion and Analysis of Financial Condition and Results of Operations</w:t>
              </w:r>
            </w:hyperlink>
          </w:p>
        </w:tc>
        <w:tc>
          <w:tcPr>
            <w:tcW w:w="174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3. Quantitative and Qualitative Disclosures About Market Risk</w:t>
              </w:r>
            </w:hyperlink>
          </w:p>
        </w:tc>
        <w:tc>
          <w:tcPr>
            <w:tcW w:w="380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642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200" w:type="dxa"/>
            <w:vAlign w:val="bottom"/>
            <w:gridSpan w:val="22"/>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II—OTHER INFORMATION</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1. Legal Proceedings</w:t>
              </w:r>
            </w:hyperlink>
          </w:p>
        </w:tc>
        <w:tc>
          <w:tcPr>
            <w:tcW w:w="634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1A. Risk Factors</w:t>
              </w:r>
            </w:hyperlink>
          </w:p>
        </w:tc>
        <w:tc>
          <w:tcPr>
            <w:tcW w:w="6880" w:type="dxa"/>
            <w:vAlign w:val="bottom"/>
            <w:gridSpan w:val="1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 Unregistered Sales of Equity Securities and Use of Proceeds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3. 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3860" w:type="dxa"/>
            <w:vAlign w:val="bottom"/>
            <w:gridSpan w:val="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4. Mine Safety Disclosures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5. Other Information</w:t>
              </w:r>
            </w:hyperlink>
          </w:p>
        </w:tc>
        <w:tc>
          <w:tcPr>
            <w:tcW w:w="6440" w:type="dxa"/>
            <w:vAlign w:val="bottom"/>
            <w:gridSpan w:val="1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6900" w:type="dxa"/>
            <w:vAlign w:val="bottom"/>
            <w:gridSpan w:val="1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9200" w:type="dxa"/>
            <w:vAlign w:val="bottom"/>
            <w:gridSpan w:val="22"/>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EXHIBIT INDEX</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SIGNATURES</w:t>
              </w:r>
            </w:hyperlink>
          </w:p>
        </w:tc>
        <w:tc>
          <w:tcPr>
            <w:tcW w:w="7800" w:type="dxa"/>
            <w:vAlign w:val="bottom"/>
            <w:gridSpan w:val="1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784"/>
        </w:trPr>
        <w:tc>
          <w:tcPr>
            <w:tcW w:w="44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712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0" w:type="dxa"/>
            <w:vAlign w:val="bottom"/>
          </w:tcPr>
          <w:p>
            <w:pPr>
              <w:spacing w:after="0"/>
              <w:rPr>
                <w:sz w:val="24"/>
                <w:szCs w:val="24"/>
                <w:color w:val="auto"/>
              </w:rPr>
            </w:pPr>
          </w:p>
        </w:tc>
        <w:tc>
          <w:tcPr>
            <w:tcW w:w="7120" w:type="dxa"/>
            <w:vAlign w:val="bottom"/>
          </w:tcPr>
          <w:p>
            <w:pPr>
              <w:jc w:val="center"/>
              <w:ind w:left="2750"/>
              <w:spacing w:after="0"/>
              <w:rPr>
                <w:sz w:val="20"/>
                <w:szCs w:val="20"/>
                <w:color w:val="auto"/>
              </w:rPr>
            </w:pPr>
            <w:r>
              <w:rPr>
                <w:rFonts w:ascii="Arial" w:cs="Arial" w:eastAsia="Arial" w:hAnsi="Arial"/>
                <w:sz w:val="18"/>
                <w:szCs w:val="18"/>
                <w:b w:val="1"/>
                <w:bCs w:val="1"/>
                <w:color w:val="auto"/>
                <w:w w:val="89"/>
              </w:rPr>
              <w:t>Soleno Therapeutics, Inc.</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7120" w:type="dxa"/>
            <w:vAlign w:val="bottom"/>
          </w:tcPr>
          <w:p>
            <w:pPr>
              <w:jc w:val="center"/>
              <w:ind w:left="27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120" w:type="dxa"/>
            <w:vAlign w:val="bottom"/>
          </w:tcPr>
          <w:p>
            <w:pPr>
              <w:jc w:val="center"/>
              <w:ind w:left="275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40" w:type="dxa"/>
            <w:vAlign w:val="bottom"/>
            <w:tcBorders>
              <w:bottom w:val="single" w:sz="8" w:color="CFF0FC"/>
            </w:tcBorders>
          </w:tcPr>
          <w:p>
            <w:pPr>
              <w:spacing w:after="0"/>
              <w:rPr>
                <w:sz w:val="14"/>
                <w:szCs w:val="14"/>
                <w:color w:val="auto"/>
              </w:rPr>
            </w:pPr>
          </w:p>
        </w:tc>
        <w:tc>
          <w:tcPr>
            <w:tcW w:w="7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131"/>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41,607</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Finance lease right-of-use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shd w:val="clear" w:color="auto" w:fill="CFF0FC"/>
          </w:tcPr>
          <w:p>
            <w:pPr>
              <w:spacing w:after="0"/>
              <w:rPr>
                <w:sz w:val="19"/>
                <w:szCs w:val="19"/>
                <w:color w:val="auto"/>
              </w:rPr>
            </w:pPr>
          </w:p>
        </w:tc>
        <w:tc>
          <w:tcPr>
            <w:tcW w:w="71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56,706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4,669</w:t>
            </w:r>
          </w:p>
        </w:tc>
        <w:tc>
          <w:tcPr>
            <w:tcW w:w="2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Accrued clinical trial site costs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2018 PIPE Warrant liability</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CFF0FC"/>
            </w:tcBorders>
          </w:tcPr>
          <w:p>
            <w:pPr>
              <w:spacing w:after="0"/>
              <w:rPr>
                <w:sz w:val="19"/>
                <w:szCs w:val="19"/>
                <w:color w:val="auto"/>
              </w:rPr>
            </w:pPr>
          </w:p>
        </w:tc>
        <w:tc>
          <w:tcPr>
            <w:tcW w:w="71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Contingent liability for Essentialis purchase price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1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2"/>
          </w:tcPr>
          <w:p>
            <w:pPr>
              <w:spacing w:after="0"/>
              <w:rPr>
                <w:sz w:val="20"/>
                <w:szCs w:val="20"/>
                <w:color w:val="auto"/>
              </w:rPr>
            </w:pPr>
            <w:r>
              <w:rPr>
                <w:rFonts w:ascii="Arial" w:cs="Arial" w:eastAsia="Arial" w:hAnsi="Arial"/>
                <w:sz w:val="18"/>
                <w:szCs w:val="18"/>
                <w:color w:val="auto"/>
              </w:rPr>
              <w:t>Common stock, $0.001 par value, 250,000,000 shares authorized,</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140"/>
              <w:spacing w:after="0"/>
              <w:rPr>
                <w:sz w:val="20"/>
                <w:szCs w:val="20"/>
                <w:color w:val="auto"/>
              </w:rPr>
            </w:pPr>
            <w:r>
              <w:rPr>
                <w:rFonts w:ascii="Arial" w:cs="Arial" w:eastAsia="Arial" w:hAnsi="Arial"/>
                <w:sz w:val="18"/>
                <w:szCs w:val="18"/>
                <w:color w:val="auto"/>
              </w:rPr>
              <w:t>79,723,680 and 79,615,692 shares issued and outstanding at</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Arial" w:cs="Arial" w:eastAsia="Arial" w:hAnsi="Arial"/>
                <w:sz w:val="18"/>
                <w:szCs w:val="18"/>
                <w:color w:val="auto"/>
              </w:rPr>
              <w:t>March 31, 2021 and December 31, 2020, respectively.</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(191,399)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(182,445)</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7,164</w:t>
            </w:r>
          </w:p>
        </w:tc>
        <w:tc>
          <w:tcPr>
            <w:tcW w:w="16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3"/>
              </w:rPr>
              <w:t>Weighted-average common shares outstanding used to calculate basic and diluted net loss per common</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79,694,781</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44,679,858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80" w:type="dxa"/>
            <w:vAlign w:val="bottom"/>
            <w:gridSpan w:val="3"/>
            <w:vMerge w:val="restart"/>
          </w:tcPr>
          <w:p>
            <w:pPr>
              <w:jc w:val="right"/>
              <w:ind w:right="327"/>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22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35"/>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79,615,692</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(182,445)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Issuance of common stock under equity incentive plan, net of tax</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withholdings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167,060</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Tax withholding payments for net share-settled equity awards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(59,072)</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(8,954)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Balances at March 31,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79,723,680</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(191,399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5220" w:type="dxa"/>
            <w:vAlign w:val="bottom"/>
          </w:tcPr>
          <w:p>
            <w:pPr>
              <w:spacing w:after="0"/>
              <w:rPr>
                <w:sz w:val="24"/>
                <w:szCs w:val="24"/>
                <w:color w:val="auto"/>
              </w:rPr>
            </w:pPr>
          </w:p>
        </w:tc>
        <w:tc>
          <w:tcPr>
            <w:tcW w:w="1980" w:type="dxa"/>
            <w:vAlign w:val="bottom"/>
            <w:gridSpan w:val="3"/>
            <w:vMerge w:val="restart"/>
          </w:tcPr>
          <w:p>
            <w:pPr>
              <w:jc w:val="right"/>
              <w:ind w:right="327"/>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22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10"/>
              <w:spacing w:after="0" w:line="155"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44,658,054</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172,708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(157,806)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under equity incentive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(5,858)</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44,686,811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(163,664</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(8,954)</w:t>
            </w:r>
          </w:p>
        </w:tc>
        <w:tc>
          <w:tcPr>
            <w:tcW w:w="960" w:type="dxa"/>
            <w:vAlign w:val="bottom"/>
          </w:tcPr>
          <w:p>
            <w:pPr>
              <w:jc w:val="right"/>
              <w:ind w:right="842"/>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1,095</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96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(201)</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(987)</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Prepaid expenses, other current assets and other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(594)</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clinical trial site costs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Net cash used in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(7,488)</w:t>
            </w:r>
          </w:p>
        </w:tc>
        <w:tc>
          <w:tcPr>
            <w:tcW w:w="3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ind w:left="740"/>
              <w:spacing w:after="0"/>
              <w:rPr>
                <w:sz w:val="20"/>
                <w:szCs w:val="20"/>
                <w:color w:val="auto"/>
              </w:rPr>
            </w:pPr>
            <w:r>
              <w:rPr>
                <w:rFonts w:ascii="Arial" w:cs="Arial" w:eastAsia="Arial" w:hAnsi="Arial"/>
                <w:sz w:val="18"/>
                <w:szCs w:val="18"/>
                <w:b w:val="1"/>
                <w:bCs w:val="1"/>
                <w:color w:val="auto"/>
              </w:rPr>
              <w:t>Net cash used in investing activities</w:t>
            </w: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vMerge w:val="continue"/>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 payments for net share-settled equity awards</w:t>
            </w:r>
          </w:p>
        </w:tc>
        <w:tc>
          <w:tcPr>
            <w:tcW w:w="96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(120)</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Principal paid on finance lease liabilities</w:t>
            </w:r>
          </w:p>
        </w:tc>
        <w:tc>
          <w:tcPr>
            <w:tcW w:w="9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ind w:left="740"/>
              <w:spacing w:after="0"/>
              <w:rPr>
                <w:sz w:val="20"/>
                <w:szCs w:val="20"/>
                <w:color w:val="auto"/>
              </w:rPr>
            </w:pPr>
            <w:r>
              <w:rPr>
                <w:rFonts w:ascii="Arial" w:cs="Arial" w:eastAsia="Arial" w:hAnsi="Arial"/>
                <w:sz w:val="18"/>
                <w:szCs w:val="18"/>
                <w:b w:val="1"/>
                <w:bCs w:val="1"/>
                <w:color w:val="auto"/>
              </w:rPr>
              <w:t>Net cash used in financing activities</w:t>
            </w: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vMerge w:val="continue"/>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right w:val="single" w:sz="8" w:color="CFF0FC"/>
            </w:tcBorders>
            <w:vMerge w:val="continue"/>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(7,617)</w:t>
            </w:r>
          </w:p>
        </w:tc>
        <w:tc>
          <w:tcPr>
            <w:tcW w:w="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49,224</w:t>
            </w:r>
          </w:p>
        </w:tc>
        <w:tc>
          <w:tcPr>
            <w:tcW w:w="300" w:type="dxa"/>
            <w:vAlign w:val="bottom"/>
            <w:tcBorders>
              <w:right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20,733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41,607</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Soleno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March 31, 2021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229" w:lineRule="exact"/>
        <w:rPr>
          <w:sz w:val="20"/>
          <w:szCs w:val="20"/>
          <w:color w:val="auto"/>
        </w:rPr>
      </w:pPr>
    </w:p>
    <w:p>
      <w:pPr>
        <w:jc w:val="both"/>
        <w:ind w:right="180" w:firstLine="667"/>
        <w:spacing w:after="0" w:line="311" w:lineRule="auto"/>
        <w:rPr>
          <w:sz w:val="20"/>
          <w:szCs w:val="20"/>
          <w:color w:val="auto"/>
        </w:rPr>
      </w:pPr>
      <w:r>
        <w:rPr>
          <w:rFonts w:ascii="Arial" w:cs="Arial" w:eastAsia="Arial" w:hAnsi="Arial"/>
          <w:sz w:val="16"/>
          <w:szCs w:val="16"/>
          <w:color w:val="auto"/>
        </w:rPr>
        <w:t>Soleno Therapeutics, Inc. (the Company or Soleno) is focused on the development and commercialization of novel therapeutics for the treatment of rare diseases. Its lead candidate is Diazoxide Choline Controlled Release tablets (DCCR), a once-daily oral tablet for the treatment of Prader-Willi Syndrome (PWS). DCCR has received orphan designation for the treatment of PWS in the United States (U.S.) as well as in the European Union (E.U.).</w:t>
      </w:r>
    </w:p>
    <w:p>
      <w:pPr>
        <w:spacing w:after="0" w:line="149" w:lineRule="exact"/>
        <w:rPr>
          <w:sz w:val="20"/>
          <w:szCs w:val="20"/>
          <w:color w:val="auto"/>
        </w:rPr>
      </w:pPr>
    </w:p>
    <w:p>
      <w:pPr>
        <w:ind w:firstLine="667"/>
        <w:spacing w:after="0" w:line="272" w:lineRule="auto"/>
        <w:rPr>
          <w:sz w:val="20"/>
          <w:szCs w:val="20"/>
          <w:color w:val="auto"/>
        </w:rPr>
      </w:pPr>
      <w:r>
        <w:rPr>
          <w:rFonts w:ascii="Arial" w:cs="Arial" w:eastAsia="Arial" w:hAnsi="Arial"/>
          <w:sz w:val="17"/>
          <w:szCs w:val="17"/>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177" w:lineRule="exact"/>
        <w:rPr>
          <w:sz w:val="20"/>
          <w:szCs w:val="20"/>
          <w:color w:val="auto"/>
        </w:rPr>
      </w:pPr>
    </w:p>
    <w:p>
      <w:pPr>
        <w:ind w:firstLine="667"/>
        <w:spacing w:after="0" w:line="290" w:lineRule="auto"/>
        <w:rPr>
          <w:sz w:val="20"/>
          <w:szCs w:val="20"/>
          <w:color w:val="auto"/>
        </w:rPr>
      </w:pPr>
      <w:r>
        <w:rPr>
          <w:rFonts w:ascii="Arial" w:cs="Arial" w:eastAsia="Arial" w:hAnsi="Arial"/>
          <w:sz w:val="16"/>
          <w:szCs w:val="16"/>
          <w:color w:val="auto"/>
        </w:rPr>
        <w:t>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for up to 36 months in C602, an open-label extension study. Top line results from DESTINY PWS were announced in June 2020. Although the trial did not meet its primary endpoint of change from baseline in hyperphagia, significant improvements were observed in two of three key secondary endpoints. In February 2021, the Company announced analysis limited to data collected before the onset of the COVID-19 pandemic. The analysis of the data through March 1, 2020 showed statistical significance in the primary, all key secondary and several other efficacy endpoints. In March 2021, the U.S. Food and Drug Administration (FDA) informed the Company that an additional clinical trial would be necessary to support a New Drug Approval submission. The Company is evaluating the data and is in communication with the regulatory authorities to determine next steps.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7"/>
          <w:szCs w:val="17"/>
          <w:color w:val="auto"/>
        </w:rPr>
        <w:t>The Company had a net loss of $9.0 million during the three months ended March 31, 2021 and has an accumulated deficit of $191.4 million at March 31, 2021 resulting from having incurred losses since its inception. The Company had $41.6 million of cash and cash equivalents on hand at March 31, 2021 and used $7.5 million of cash in its operating activities during the three months ended March 31, 2021. The Company has financed its operations principally through issuances of equity securities. On June 26, 2020, the Company sold 34,848,484 shares of common stock in an underwritten public offering at a price of $1.65 per share for net proceeds of $53.7 million. The Company expects to continue incurring losses for the foreseeable future. However, the Company expects that its current cash and cash equivalents balance are sufficient to enable the Company to meet its obligations for at least the next twelve months from the date of this filing.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have been no material changes to the significant accounting policies during the three months ended March 31, 2021 as compared to the significant accounting policies described in Note 3 of the “Notes to Consolidated Financial Statements” in the Company’s Annual Report on Form 10-K for the year ended December 31, 2020. Below are those policies with current period updates.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on a going concern basis in accordance with accounting principles generally accepted in the United States of America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months ended March 31, 2021, are not necessarily indicative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7" w:name="page8"/>
    <w:bookmarkEnd w:id="7"/>
    <w:p>
      <w:pPr>
        <w:ind w:right="60"/>
        <w:spacing w:after="0" w:line="263" w:lineRule="auto"/>
        <w:rPr>
          <w:sz w:val="20"/>
          <w:szCs w:val="20"/>
          <w:color w:val="auto"/>
        </w:rPr>
      </w:pPr>
      <w:r>
        <w:rPr>
          <w:rFonts w:ascii="Arial" w:cs="Arial" w:eastAsia="Arial" w:hAnsi="Arial"/>
          <w:sz w:val="18"/>
          <w:szCs w:val="18"/>
          <w:color w:val="auto"/>
        </w:rPr>
        <w:t>of the results that may be expected for any other interim period or for the fiscal year ending December 31, 2021. For further information, refer to the financial statements and footnotes included in the Company’s annual financial statements for the fiscal year ended December 31, 2020, which are included in the Company’s annual report on Form 10-K filed with the SEC on March 3,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value and life of acquired intangibles, and the valuation of contingent liabilities for the purchase price of assets obtained through acquisition. The contingent liability represents the fair value of the contingent consideration arising from the Company’s acquisition of Essentialis in 2017. As part of the purchase price, the Company is obligated to make cash earn out payments to Essentialis stockholders up to a maximum of $30 million upon the achievement of certain commercial milestones.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170"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During the three months ended March 31, 2021, there have been no recently adopted accounting standards and no new, or existing recently issued, accounting pronouncements that are of significance, or potential significance, that impact the Company’s condensed consolidated interim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value of the Company’s cash, cash equivalents and accounts payable, approximate fair value due to the short-term nature of these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211"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 Unadjusted quoted prices in active markets for identical assets or liabilities;</w:t>
      </w:r>
    </w:p>
    <w:p>
      <w:pPr>
        <w:spacing w:after="0" w:line="144"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 Unobservable inputs that are supported by little or no market activity for the related assets or liabilities.</w:t>
      </w:r>
    </w:p>
    <w:p>
      <w:pPr>
        <w:spacing w:after="0" w:line="25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 w:name="page9"/>
    <w:bookmarkEnd w:id="8"/>
    <w:p>
      <w:pPr>
        <w:ind w:right="400" w:firstLine="510"/>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rPr>
              <w:t>Fair Value Measurements at March 31, 2021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w:t>
            </w:r>
          </w:p>
        </w:tc>
        <w:tc>
          <w:tcPr>
            <w:tcW w:w="120" w:type="dxa"/>
            <w:vAlign w:val="bottom"/>
            <w:shd w:val="clear" w:color="auto" w:fill="CFF0FC"/>
          </w:tcPr>
          <w:p>
            <w:pPr>
              <w:spacing w:after="0"/>
              <w:rPr>
                <w:sz w:val="19"/>
                <w:szCs w:val="19"/>
                <w:color w:val="auto"/>
              </w:rPr>
            </w:pPr>
          </w:p>
        </w:tc>
      </w:tr>
      <w:tr>
        <w:trPr>
          <w:trHeight w:val="209"/>
        </w:trPr>
        <w:tc>
          <w:tcPr>
            <w:tcW w:w="524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12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4"/>
                <w:szCs w:val="14"/>
                <w:b w:val="1"/>
                <w:bCs w:val="1"/>
                <w:color w:val="auto"/>
              </w:rPr>
              <w:t>Fair Value Measurements at December 31, 2020</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539</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shd w:val="clear" w:color="auto" w:fill="CFF0FC"/>
          </w:tcPr>
          <w:p>
            <w:pPr>
              <w:spacing w:after="0"/>
              <w:rPr>
                <w:sz w:val="19"/>
                <w:szCs w:val="19"/>
                <w:color w:val="auto"/>
              </w:rPr>
            </w:pPr>
          </w:p>
        </w:tc>
      </w:tr>
      <w:tr>
        <w:trPr>
          <w:trHeight w:val="209"/>
        </w:trPr>
        <w:tc>
          <w:tcPr>
            <w:tcW w:w="524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10,817</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10,817</w:t>
            </w:r>
          </w:p>
        </w:tc>
        <w:tc>
          <w:tcPr>
            <w:tcW w:w="12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 Through March 31, 2020 the Company had previously used the Monte Carlo simulation of a geometric Brownian motion model to estimate the fair value of the 2018 PIPE Warrant as this model allows for determining path-dependent outcomes. The difference in valuation as a result of using the Black-Scholes pricing model compared to the Monte Carlo simulation model is not significant.</w:t>
      </w:r>
    </w:p>
    <w:p>
      <w:pPr>
        <w:spacing w:after="0" w:line="24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fair value of the Essentialis purchase price contingent liability is estimated using scenario-based methods based upon the Company’s analysis of the likelihood of obtaining specified approvals from the FDA as well as reaching cumulative revenue milestones. The Level 3 estimates are based, in part, on subjective assumptions. During the periods presented, the Company has not changed the manner in which it values its Essentialis purchase price contingent liability.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levels within the hierarchy during the periods presented.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ind w:right="100" w:firstLine="510"/>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3 liabilities for the three months ended March 31, 2021 and 2020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0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Series C Warrants</w:t>
            </w:r>
          </w:p>
        </w:tc>
        <w:tc>
          <w:tcPr>
            <w:tcW w:w="22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2017 PIPE Warrants</w:t>
            </w:r>
          </w:p>
        </w:tc>
        <w:tc>
          <w:tcPr>
            <w:tcW w:w="44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2018 PIPE Warrants</w:t>
            </w:r>
          </w:p>
        </w:tc>
        <w:tc>
          <w:tcPr>
            <w:tcW w:w="20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8"/>
              </w:rPr>
              <w:t>Purchase Price</w:t>
            </w: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Liability</w:t>
            </w:r>
          </w:p>
        </w:tc>
        <w:tc>
          <w:tcPr>
            <w:tcW w:w="11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Liability</w:t>
            </w: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1"/>
                <w:szCs w:val="11"/>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4"/>
              </w:rPr>
              <w:t>Contingent</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Warrants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Warrants</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Warrants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w w:val="97"/>
              </w:rPr>
              <w:t>Change in value of 2018 PIPE Warrants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 of contingent liability</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120" w:type="dxa"/>
            <w:vAlign w:val="bottom"/>
          </w:tcPr>
          <w:p>
            <w:pPr>
              <w:spacing w:after="0"/>
              <w:rPr>
                <w:sz w:val="24"/>
                <w:szCs w:val="24"/>
                <w:color w:val="auto"/>
              </w:rPr>
            </w:pPr>
          </w:p>
        </w:tc>
        <w:tc>
          <w:tcPr>
            <w:tcW w:w="20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Series C Warrants</w:t>
            </w:r>
          </w:p>
        </w:tc>
        <w:tc>
          <w:tcPr>
            <w:tcW w:w="220" w:type="dxa"/>
            <w:vAlign w:val="bottom"/>
          </w:tcPr>
          <w:p>
            <w:pPr>
              <w:spacing w:after="0"/>
              <w:rPr>
                <w:sz w:val="24"/>
                <w:szCs w:val="24"/>
                <w:color w:val="auto"/>
              </w:rPr>
            </w:pPr>
          </w:p>
        </w:tc>
        <w:tc>
          <w:tcPr>
            <w:tcW w:w="20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2017 PIPE Warrants</w:t>
            </w:r>
          </w:p>
        </w:tc>
        <w:tc>
          <w:tcPr>
            <w:tcW w:w="440" w:type="dxa"/>
            <w:vAlign w:val="bottom"/>
          </w:tcPr>
          <w:p>
            <w:pPr>
              <w:spacing w:after="0"/>
              <w:rPr>
                <w:sz w:val="24"/>
                <w:szCs w:val="24"/>
                <w:color w:val="auto"/>
              </w:rPr>
            </w:pPr>
          </w:p>
        </w:tc>
        <w:tc>
          <w:tcPr>
            <w:tcW w:w="20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2018 PIPE Warrants</w:t>
            </w:r>
          </w:p>
        </w:tc>
        <w:tc>
          <w:tcPr>
            <w:tcW w:w="20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8"/>
              </w:rPr>
              <w:t>Purchase Price</w:t>
            </w: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Liability</w:t>
            </w:r>
          </w:p>
        </w:tc>
        <w:tc>
          <w:tcPr>
            <w:tcW w:w="11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Liability</w:t>
            </w: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1"/>
                <w:szCs w:val="11"/>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4"/>
              </w:rPr>
              <w:t>Contingent</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Warrants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Warrants</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Warrants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4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Expiration of Series C Warrants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(118,083)</w:t>
            </w:r>
          </w:p>
        </w:tc>
        <w:tc>
          <w:tcPr>
            <w:tcW w:w="14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w w:val="97"/>
              </w:rPr>
              <w:t>Change in value of 2017 PIPE Warrants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(3,166)</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w w:val="97"/>
              </w:rPr>
              <w:t>Change in value of 2018 PIPE Warrants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 of contingent liability</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6,024,425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4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 Liabilities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 xml:space="preserve">The Company has issued multiple warrant series, of which the Series C Warrants, the 2017 PIPE Warrants and the 2018 PIPE Warrants (Warrants) were determined to be liabilities pursuant to the guidance established by </w:t>
      </w:r>
      <w:r>
        <w:rPr>
          <w:rFonts w:ascii="Arial" w:cs="Arial" w:eastAsia="Arial" w:hAnsi="Arial"/>
          <w:sz w:val="18"/>
          <w:szCs w:val="18"/>
          <w:i w:val="1"/>
          <w:iCs w:val="1"/>
          <w:color w:val="auto"/>
        </w:rPr>
        <w:t>ASC 815 Derivatives and Hedging.</w:t>
      </w:r>
      <w:r>
        <w:rPr>
          <w:rFonts w:ascii="Arial" w:cs="Arial" w:eastAsia="Arial" w:hAnsi="Arial"/>
          <w:sz w:val="18"/>
          <w:szCs w:val="18"/>
          <w:color w:val="auto"/>
        </w:rPr>
        <w:t xml:space="preserve"> Only the 2018 PIPE Warrants remain outstanding at March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 xml:space="preserve">The Company accounts for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below, the Company may be obligated to settle Warrants in cash. The Company classified Warrants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225" w:lineRule="exact"/>
        <w:rPr>
          <w:sz w:val="20"/>
          <w:szCs w:val="20"/>
          <w:color w:val="auto"/>
        </w:rPr>
      </w:pPr>
    </w:p>
    <w:p>
      <w:pPr>
        <w:jc w:val="both"/>
        <w:ind w:right="60" w:firstLine="510"/>
        <w:spacing w:after="0" w:line="277" w:lineRule="auto"/>
        <w:rPr>
          <w:sz w:val="20"/>
          <w:szCs w:val="20"/>
          <w:color w:val="auto"/>
        </w:rPr>
      </w:pPr>
      <w:r>
        <w:rPr>
          <w:rFonts w:ascii="Arial" w:cs="Arial" w:eastAsia="Arial" w:hAnsi="Arial"/>
          <w:sz w:val="18"/>
          <w:szCs w:val="18"/>
          <w:color w:val="auto"/>
        </w:rPr>
        <w:t>The Series C Warrants expired in March 2020. The Company calculated the fair value of the Series C Warrants as of January 1, 2020 using a Black-Scholes pricing model.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117"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The 2017 PIPE Warrants were issued on December 15, 2017 in the 2017 PIPE Offering, pursuant to a Warrant Agreement with each of the investors in the 2017 PIPE Offering, and prior to their expiration on December 15, 2020, entitled the holders to purchase 6,024,425 of the Company’s common stock at an exercise price equal to $2.00 per share, subject to certain adjustments. No warrants were exercised prior to expiration.</w:t>
      </w:r>
    </w:p>
    <w:p>
      <w:pPr>
        <w:spacing w:after="0" w:line="149"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The Company calculated the fair value of the 2017 PIPE Warrants as of January 1, 2020 using a Monte Carlo simulation of a geometric Brownian motion model. The $3.2 million decrease in the fair value of the liability for the 2017 PIPE Warrants during the three months ended March 31, 2020 was recorded as other income in the condensed consolidated statements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Warrants Issued as Part of the Units in the 2018 PIPE Offering</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2018 PIPE Warrants were issued on December 19, 2018 in a 2018 private offering of common stock and warrants (2018 PIPE Offering), pursuant to a Warrant Agreement with each of the investors in the 2018 PIPE Offering, and entitle the holders to purchase 513,617 shares of the Company’s common stock at an exercise price equal to $2.00 per share, subject to adjustment as discussed below, at any time commencing upon issuance of the 2018 PIPE Warrants and terminating on December 21, 2023.</w:t>
      </w:r>
    </w:p>
    <w:p>
      <w:pPr>
        <w:spacing w:after="0" w:line="18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184"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March 31, 2021, the fair value of the 2018 PIPE Warrants was estimated at $0.3 million. The $0.2 million decrease in the fair value of the liability for the 2018 PIPE Warrants during the three months ended March 31, 2021 and 2020, was recorded as other income in the condensed consolidated statements of operations.</w:t>
      </w:r>
    </w:p>
    <w:p>
      <w:pPr>
        <w:spacing w:after="0" w:line="18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Company has calculated the fair value of the 2018 PIPE Warrants as of March 31, 2021 and December 31, 2020 using a Black-Scholes pricing model which requires the input of highly subjective assumptions including the expected stock price volatility. The following summarizes certain key assumptions used in estimating the fair values.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Risk-free rate</w:t>
            </w:r>
          </w:p>
        </w:tc>
        <w:tc>
          <w:tcPr>
            <w:tcW w:w="122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r>
    </w:tbl>
    <w:p>
      <w:pPr>
        <w:spacing w:after="0" w:line="241"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The Black-Scholes 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Company calculates the estimated volatility rate based its historical volatility over the expected life of the warrants.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Contractual term: </w:t>
      </w:r>
      <w:r>
        <w:rPr>
          <w:rFonts w:ascii="Arial" w:cs="Arial" w:eastAsia="Arial" w:hAnsi="Arial"/>
          <w:sz w:val="18"/>
          <w:szCs w:val="18"/>
          <w:color w:val="auto"/>
        </w:rPr>
        <w:t>The expected life of the warrants, which is based on the contractual term of the warrants.</w:t>
      </w:r>
    </w:p>
    <w:p>
      <w:pPr>
        <w:spacing w:after="0" w:line="144"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currently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U.S. Treasury rate for similar periods as those of expected volatility.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In July 2019, the Company executed a non-cancellable lease agreement for 6,368 square feet of space in Redwood City, California, which began in September 2019 and expires in May 2021. The lease also provides the Company with the right to use office furniture in the space and allows the purchase of this furniture at the end of the lease term for $1. The lease agreement requires monthly lease payments of approximately $29,000 beginning in November of 2019, with an increase to approximately $30,000 per month in September of 2020. The Company has accounted for the new lease as an operating lease for the office space and a finance lease for the office furniture, based on their relative standalone prices. Also see Note 9, </w:t>
      </w:r>
      <w:r>
        <w:rPr>
          <w:rFonts w:ascii="Arial" w:cs="Arial" w:eastAsia="Arial" w:hAnsi="Arial"/>
          <w:sz w:val="18"/>
          <w:szCs w:val="18"/>
          <w:i w:val="1"/>
          <w:iCs w:val="1"/>
          <w:color w:val="auto"/>
        </w:rPr>
        <w:t>Subsequent Events</w:t>
      </w:r>
      <w:r>
        <w:rPr>
          <w:rFonts w:ascii="Arial" w:cs="Arial" w:eastAsia="Arial" w:hAnsi="Arial"/>
          <w:sz w:val="18"/>
          <w:szCs w:val="18"/>
          <w:color w:val="auto"/>
        </w:rPr>
        <w:t>, for information on the Compay’s a new operating lease for the same 6,368 square feet of space in Redwood City, California, which begins in June 2021 and expires in May 2023.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components of lease expense during the three months ended March 31, 2021 and 2020 were as follows (in thousands):</w:t>
      </w:r>
    </w:p>
    <w:p>
      <w:pPr>
        <w:spacing w:after="0" w:line="338"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jc w:val="center"/>
        <w:ind w:left="7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47"/>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110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finance lease cost</w:t>
            </w:r>
          </w:p>
        </w:tc>
        <w:tc>
          <w:tcPr>
            <w:tcW w:w="1100" w:type="dxa"/>
            <w:vAlign w:val="bottom"/>
            <w:tcBorders>
              <w:top w:val="single" w:sz="8" w:color="auto"/>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Plan</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has adopted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8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 years from the vesting date.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March 31, 2021, a total of 1,426,546 shares are available for future grant under the 2014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Plan</w:t>
      </w:r>
    </w:p>
    <w:p>
      <w:pPr>
        <w:spacing w:after="0" w:line="121"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On September 28, 2020, the Company adopted the 2020 Inducement Equity Incentive Plan (the Inducement Plan) and, subject to the adjustment provisions of the Inducement Plan, reserved 1,500,000 shares of the Company’s common stock for issuance pursuant to equity awards granted under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15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There have been no awards granted under the Inducement Plan as of March 31, 2021. As of March 31, 2021, a total of 1,500,000 shares are available for future grant under the Inducement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statements of operations for stock-based compensation arrangements during any of the periods presented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was recognized in the condensed consolidated statements of operations as follows (in thousands).</w:t>
      </w:r>
    </w:p>
    <w:p>
      <w:pPr>
        <w:spacing w:after="0" w:line="33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24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r>
      <w:tr>
        <w:trPr>
          <w:trHeight w:val="229"/>
        </w:trPr>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FF0FC"/>
            </w:tcBorders>
          </w:tcPr>
          <w:p>
            <w:pPr>
              <w:spacing w:after="0"/>
              <w:rPr>
                <w:sz w:val="19"/>
                <w:szCs w:val="19"/>
                <w:color w:val="auto"/>
              </w:rPr>
            </w:pPr>
          </w:p>
        </w:tc>
      </w:tr>
      <w:tr>
        <w:trPr>
          <w:trHeight w:val="223"/>
        </w:trPr>
        <w:tc>
          <w:tcPr>
            <w:tcW w:w="3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2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granted options to purchase 3,168,500 and zero shares of the Company’s common stock during the three months ended March 31, 2021 and 2020, respectively. Of the total options granted during the three months ended March 31, 2021, 708,750 were performance-based options. The fair value of each award granted during the three months ended March 31, 2021 was estimated on the date of grant using the Black-Scholes option pricing model with the following assumptions.</w:t>
      </w:r>
    </w:p>
    <w:p>
      <w:pPr>
        <w:spacing w:after="0" w:line="286"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214"/>
        </w:trPr>
        <w:tc>
          <w:tcPr>
            <w:tcW w:w="5560" w:type="dxa"/>
            <w:vAlign w:val="bottom"/>
            <w:tcBorders>
              <w:bottom w:val="single" w:sz="8" w:color="CFF0FC"/>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2021</w:t>
            </w: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5.5-6.0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0.6%-0.7%</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99%-108%</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Dividend rate</w:t>
            </w:r>
          </w:p>
        </w:tc>
        <w:tc>
          <w:tcPr>
            <w:tcW w:w="2300" w:type="dxa"/>
            <w:vAlign w:val="bottom"/>
          </w:tcPr>
          <w:p>
            <w:pPr>
              <w:jc w:val="center"/>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880" w:hanging="373"/>
        <w:spacing w:after="0" w:line="275"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Expected life: </w:t>
      </w:r>
      <w:r>
        <w:rPr>
          <w:rFonts w:ascii="Arial" w:cs="Arial" w:eastAsia="Arial" w:hAnsi="Arial"/>
          <w:sz w:val="17"/>
          <w:szCs w:val="17"/>
          <w:color w:val="auto"/>
        </w:rPr>
        <w:t>The expected life of stock options represents the period of time that the options are expected to be outstanding. Due to the lack of</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exercise history, the expected term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68" w:lineRule="exact"/>
        <w:rPr>
          <w:rFonts w:ascii="Arial" w:cs="Arial" w:eastAsia="Arial" w:hAnsi="Arial"/>
          <w:sz w:val="17"/>
          <w:szCs w:val="17"/>
          <w:color w:val="auto"/>
        </w:rPr>
      </w:pPr>
    </w:p>
    <w:p>
      <w:pPr>
        <w:ind w:left="880" w:right="16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liquidity.</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estimated volatility rate is based on the volatilities of the Company’s common stock for a historical period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the stock options.</w:t>
      </w:r>
    </w:p>
    <w:p>
      <w:pPr>
        <w:spacing w:after="0" w:line="62" w:lineRule="exact"/>
        <w:rPr>
          <w:rFonts w:ascii="Arial" w:cs="Arial" w:eastAsia="Arial" w:hAnsi="Arial"/>
          <w:sz w:val="18"/>
          <w:szCs w:val="18"/>
          <w:color w:val="auto"/>
        </w:rPr>
      </w:pPr>
    </w:p>
    <w:p>
      <w:pPr>
        <w:ind w:left="880" w:right="8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table summarizes stock option transactions for the three months ended March 31, 2021 as issued under the 2014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Price per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2,837,739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3,168,500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Options canceled/forfeited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6,006,239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Options vested at March 31, 2021</w:t>
            </w:r>
          </w:p>
        </w:tc>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1,992,693</w:t>
            </w: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Borders>
              <w:bottom w:val="single" w:sz="8" w:color="CFF0FC"/>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and expected to vest at March 31,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6,006,239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weighted-average grant date fair value of options granted was $1.79 per share for the three months ended March 31, 2021. At March 31, 2021 total unrecognized employee stock-based compensation related to stock options that are likely to vest was $6.6 million, which is expected to be recognized over the weighted-average remaining vesting period of 3.3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There were 21,810 and 687,257 restricted stock units granted by the Company during the three months ended March 31, 2021 and 2020, respectively, to employees and directors. The shares granted to directors were 100% vested on the grant date and represent compensation for past Board services. The shares granted to employees typically vest annually over a period of four years. The shares were valued based on the Company’s common stock price on the grant date.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restricted stock unit transactions for the three months ended March 31, 2021 as issued under the 2014 Plan: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6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6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Units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Value per Share</w:t>
            </w:r>
          </w:p>
        </w:tc>
        <w:tc>
          <w:tcPr>
            <w:tcW w:w="0" w:type="dxa"/>
            <w:vAlign w:val="bottom"/>
          </w:tcPr>
          <w:p>
            <w:pPr>
              <w:spacing w:after="0"/>
              <w:rPr>
                <w:sz w:val="1"/>
                <w:szCs w:val="1"/>
                <w:color w:val="auto"/>
              </w:rPr>
            </w:pPr>
          </w:p>
        </w:tc>
      </w:tr>
      <w:tr>
        <w:trPr>
          <w:trHeight w:val="230"/>
        </w:trPr>
        <w:tc>
          <w:tcPr>
            <w:tcW w:w="86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60"/>
              <w:spacing w:after="0"/>
              <w:rPr>
                <w:sz w:val="20"/>
                <w:szCs w:val="20"/>
                <w:color w:val="auto"/>
              </w:rPr>
            </w:pPr>
            <w:r>
              <w:rPr>
                <w:rFonts w:ascii="Arial" w:cs="Arial" w:eastAsia="Arial" w:hAnsi="Arial"/>
                <w:sz w:val="18"/>
                <w:szCs w:val="18"/>
                <w:color w:val="auto"/>
              </w:rPr>
              <w:t>Restricted stock units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21,810</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 vested</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(167,060)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Outstanding at March 31,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435,750</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The weighted-average grant-date fair value of all restricted stock units granted during the three months ended March 31, 2021 and 2020 was $1.96 and $3.83, respectively. The fair value of all restricted stock units vested during the three months ended March 31, 2021 and 2020 was $0.6 million and approximately $96,000, respectively. At March 31, 2021, total unrecognized employee stock-based compensation related to restricted stock units was $1.6 million, which is expected to be recognized over the weighted-average remaining vesting period of 2.8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The Company’s Board and stockholders have adopted the 2014 Employee Stock Purchase Plan (ESPP). The ESPP has become effective, and the Board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authorizes commencement, equal to the least of:</w:t>
      </w:r>
    </w:p>
    <w:p>
      <w:pPr>
        <w:spacing w:after="0" w:line="49" w:lineRule="exact"/>
        <w:rPr>
          <w:sz w:val="20"/>
          <w:szCs w:val="20"/>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of the outstanding shares of the Company’s common stock on the first day of such year;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55,936 shares; or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amount as determined by the Board.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As of March 31, 2021, there were no purchases by employees under this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As of March 31, 2021, the Company had 102,070 common stock warrants outstanding that are related to convertible notes issued in 2010 and 2012,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loss per share</w:t>
      </w:r>
    </w:p>
    <w:p>
      <w:pPr>
        <w:spacing w:after="0" w:line="121"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or vesting of common stock awards and exercise of common stock warrants. For the three months ended March 31, 2021 and 2020, the effect of issuing such common stock is anti-dilutive due to the net losses in those periods and the number of shares used to compute basic and diluted earnings per share are the same in each of those periods.</w:t>
      </w:r>
    </w:p>
    <w:p>
      <w:pPr>
        <w:spacing w:after="0" w:line="200" w:lineRule="exact"/>
        <w:rPr>
          <w:sz w:val="20"/>
          <w:szCs w:val="20"/>
          <w:color w:val="auto"/>
        </w:rPr>
      </w:pPr>
    </w:p>
    <w:p>
      <w:pPr>
        <w:spacing w:after="0" w:line="219"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p>
    <w:p>
      <w:pPr>
        <w:spacing w:after="0" w:line="33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20" w:type="dxa"/>
            <w:vAlign w:val="bottom"/>
            <w:gridSpan w:val="4"/>
          </w:tcPr>
          <w:p>
            <w:pPr>
              <w:ind w:left="680"/>
              <w:spacing w:after="0"/>
              <w:rPr>
                <w:sz w:val="20"/>
                <w:szCs w:val="20"/>
                <w:color w:val="auto"/>
              </w:rPr>
            </w:pPr>
            <w:r>
              <w:rPr>
                <w:rFonts w:ascii="Arial" w:cs="Arial" w:eastAsia="Arial" w:hAnsi="Arial"/>
                <w:sz w:val="14"/>
                <w:szCs w:val="14"/>
                <w:b w:val="1"/>
                <w:bCs w:val="1"/>
                <w:color w:val="auto"/>
              </w:rPr>
              <w:t>As of March 31,</w:t>
            </w:r>
          </w:p>
        </w:tc>
      </w:tr>
      <w:tr>
        <w:trPr>
          <w:trHeight w:val="156"/>
        </w:trPr>
        <w:tc>
          <w:tcPr>
            <w:tcW w:w="544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2010/2012 convertible note</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holders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80" w:type="dxa"/>
            <w:vAlign w:val="bottom"/>
            <w:shd w:val="clear" w:color="auto" w:fill="CFF0FC"/>
          </w:tcPr>
          <w:p>
            <w:pPr>
              <w:spacing w:after="0"/>
              <w:rPr>
                <w:sz w:val="20"/>
                <w:szCs w:val="20"/>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6,006,239</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2,084,758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435,750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658,500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16,500</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19"/>
                <w:szCs w:val="19"/>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Series D warrants to purchase common stock</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540,540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2017 PIPE warrants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6,024,425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1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7,074,176</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9,940,410</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has evaluated its subsequent events from March 31, 2021 through the date these condensed consolidated financial statements were issued and has determined that there are no subsequent events requiring disclosure in these condensed consolidated financial statements other than the item noted below.</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operating lease for its headquarters facility office space in Redwood City, California, terminates in May 2021. In April 2021, the Company executed a non-cancellable operating lease agreement for the same 6,368 square feet of space in Redwood City, California, which begins in June 2021 and expires in May 2023. Minimum rental commitments under this lease are $0.1 million during 2021, $0.3 million during 2022, and $0.2 million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5" w:name="page16"/>
    <w:bookmarkEnd w:id="15"/>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The interim consolidated financial statements included in this Quarterly Report on Form 10-Q and this Management’s Discussion and Analysis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should be read in conjunction with the financial statements and notes thereto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December 31, 2020, and the related Management’s Discussion and Analysis of Financial Condition and Results of Operations, contained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10-K for the year ended December 31, 2020. In addition to historical information, this discussion and analysis contains forward-looking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within the meaning of Section 27A of the Securities Act of 1933, as amended (the “Securities Act”), and Section 21E of the Securities Exchange Act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1934, as amended (the “Exchange Act”). These forward-looking statements are subject to risks and uncertainties, including those set forth in Part II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Information, Item 1A. Risk Factors below and elsewhere in this report that could cause actual results to differ materially from historical results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anticipated results.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are focused on the development and commercialization of novel therapeutics for the treatment of rare diseases. Our lead candidate is Diazoxide Choline Controlled Release tablets (DCCR), a once-daily oral tablet for the treatment of Prader-Willi Syndrome (PWS). DCCR has orphan designation for the treatment of PWS in the United States (U.S.) as well as in the European Union (E.U.).</w:t>
      </w:r>
    </w:p>
    <w:p>
      <w:pPr>
        <w:spacing w:after="0" w:line="184"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for up to 36 months in C602, an open-label extension study.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In March 2021, the FDA informed us that an additional clinical trial would be necessary to support a New Drug Approval submission. We are evaluating the data and are in communication with the regulatory authorities to determine next steps.</w:t>
      </w:r>
    </w:p>
    <w:p>
      <w:pPr>
        <w:spacing w:after="0" w:line="17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spread of the COVID-19 virus during 2020 has caused an economic downturn on a global scale, as well as significant volatility in the financial markets. In March 2020, the World Health Organization declared the spread of the COVID-19 virus a pandemic. Due to stay at home orders both in the U.S. and U.K., we have instituted a work from home policy for all of our employees to protect their health and well-being. We have ensured that all of our employees have essential materials to work comfortably and efficiently from home during this time.</w:t>
      </w:r>
    </w:p>
    <w:p>
      <w:pPr>
        <w:spacing w:after="0" w:line="187"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We have not experienced a significant financial impact directly related to the COVID-19 pandemic. In June 2020, subsequent to the announcement of top line results from DESTINY PWS, we completed a public offering of shares of our common stock and raised $53.7 million in net proceeds. As of March 31, 2021, we have cash and cash equivalents of $41.6 million, which management believes is sufficient to enable us to meet our obligations for at least the next twelve months from the date of this filing. As of March 31, 2021, we had an accumulated deficit of $191.4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three months ended March 31, 2021 and 2020</w:t>
      </w:r>
    </w:p>
    <w:p>
      <w:pPr>
        <w:sectPr>
          <w:pgSz w:w="11900" w:h="16838" w:orient="portrait"/>
          <w:cols w:equalWidth="0" w:num="1">
            <w:col w:w="11240"/>
          </w:cols>
          <w:pgMar w:left="320" w:top="661" w:right="339" w:bottom="1440" w:gutter="0" w:footer="0" w:header="0"/>
        </w:sectPr>
      </w:pPr>
    </w:p>
    <w:p>
      <w:pPr>
        <w:spacing w:after="0" w:line="359" w:lineRule="exact"/>
        <w:rPr>
          <w:sz w:val="20"/>
          <w:szCs w:val="20"/>
          <w:color w:val="auto"/>
        </w:rPr>
      </w:pPr>
    </w:p>
    <w:p>
      <w:pPr>
        <w:jc w:val="center"/>
        <w:ind w:left="598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13970</wp:posOffset>
            </wp:positionV>
            <wp:extent cx="15862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ind w:left="6220"/>
        <w:spacing w:after="0"/>
        <w:tabs>
          <w:tab w:leader="none" w:pos="75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6350</wp:posOffset>
            </wp:positionV>
            <wp:extent cx="1594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5"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23" w:lineRule="exact"/>
        <w:rPr>
          <w:sz w:val="20"/>
          <w:szCs w:val="20"/>
          <w:color w:val="auto"/>
        </w:rPr>
      </w:pPr>
    </w:p>
    <w:p>
      <w:pPr>
        <w:sectPr>
          <w:pgSz w:w="11900" w:h="16838" w:orient="portrait"/>
          <w:cols w:equalWidth="0" w:num="2">
            <w:col w:w="8120" w:space="720"/>
            <w:col w:w="240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58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right"/>
              <w:ind w:right="107"/>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7,164</w:t>
            </w:r>
          </w:p>
        </w:tc>
        <w:tc>
          <w:tcPr>
            <w:tcW w:w="160" w:type="dxa"/>
            <w:vAlign w:val="bottom"/>
          </w:tcPr>
          <w:p>
            <w:pPr>
              <w:spacing w:after="0"/>
              <w:rPr>
                <w:sz w:val="19"/>
                <w:szCs w:val="19"/>
                <w:color w:val="auto"/>
              </w:rPr>
            </w:pPr>
          </w:p>
        </w:tc>
        <w:tc>
          <w:tcPr>
            <w:tcW w:w="5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6,695</w:t>
            </w:r>
          </w:p>
        </w:tc>
        <w:tc>
          <w:tcPr>
            <w:tcW w:w="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(1,571)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(9,156)</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(9,282)</w:t>
            </w:r>
          </w:p>
        </w:tc>
        <w:tc>
          <w:tcPr>
            <w:tcW w:w="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(3,212)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740"/>
              <w:spacing w:after="0"/>
              <w:rPr>
                <w:sz w:val="20"/>
                <w:szCs w:val="20"/>
                <w:color w:val="auto"/>
              </w:rPr>
            </w:pPr>
            <w:r>
              <w:rPr>
                <w:rFonts w:ascii="Arial" w:cs="Arial" w:eastAsia="Arial" w:hAnsi="Arial"/>
                <w:sz w:val="18"/>
                <w:szCs w:val="18"/>
                <w:color w:val="auto"/>
              </w:rPr>
              <w:t>Total other income</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(3,222)</w:t>
            </w:r>
          </w:p>
        </w:tc>
        <w:tc>
          <w:tcPr>
            <w:tcW w:w="220" w:type="dxa"/>
            <w:vAlign w:val="bottom"/>
            <w:vMerge w:val="continue"/>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(8,954)</w:t>
            </w:r>
          </w:p>
        </w:tc>
        <w:tc>
          <w:tcPr>
            <w:tcW w:w="16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(5,858)</w:t>
            </w:r>
          </w:p>
        </w:tc>
        <w:tc>
          <w:tcPr>
            <w:tcW w:w="22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22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We have yet not commenced commercialization of DCCR, our current sole novel therapeutic product, and accordingly, through March 31, 2021, have generated no revenue from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Research and development expense of $7.2 million for the three months ended March 31, 2021 increased by $0.5 million over the three months ended March 30, 2020, primarily due to us increasing our investment in clinical manufacturing costs offset by a reduction in clinical trial costs associated with DESTINY PWS. We enrolled 127 subjects and 29 sites for DESTINY PWS and reported top line results in June 2020. As of March 31, 2021, 28 sites remained active with 98 patients still actively participating in the open label study and continuing to receive DCCR.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General and administrative expense of $3.0 million for the three months ended March 31, 2021 increased $1.0 million over the three months ended March 31, 2020. The increase was primarily related to increased compensation costs, and to a lesser extent, the costs for corporate business development expenses, intellectual property, higher legal and director and officer insurance costs.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are obligated to make cash payments of up to a maximum of $30 million to the former Essentialis stockholders upon the achievement of certain future commercial milestones associated with the sale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$9.3 million as of March, 31, 2021, a $1.0 million decrease from the estimate as of December 31, 2020. During the three months ended March 31, 2020, the estimate increased $0.6 million from the $5.9 million estimated at December 31,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had other income of $0.2 million in the three months ended March 31, 2021, compared to $3.4 million during the three months ended March 31, 2020. The decrease of $3.2 million was primarily due to a $0.2 million decrease in the fair value of our outstanding warrants during the three months ended March 31, 2021 compared to a decrease of $3.4 million during the three months ended March 31, 2020. A decrease in interest income also contributed slightly to the overall decrease in the comparative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had a net loss of $9.0 million during the three months ended March 31, 2021 and an accumulated deficit of $191.4 million at March 31, 2021 as a result of having incurred losses since our inception. We had $41.6 million in cash and cash equivalents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7" w:name="page18"/>
    <w:bookmarkEnd w:id="17"/>
    <w:p>
      <w:pPr>
        <w:ind w:right="60"/>
        <w:spacing w:after="0" w:line="257" w:lineRule="auto"/>
        <w:rPr>
          <w:sz w:val="20"/>
          <w:szCs w:val="20"/>
          <w:color w:val="auto"/>
        </w:rPr>
      </w:pPr>
      <w:r>
        <w:rPr>
          <w:rFonts w:ascii="Arial" w:cs="Arial" w:eastAsia="Arial" w:hAnsi="Arial"/>
          <w:sz w:val="18"/>
          <w:szCs w:val="18"/>
          <w:color w:val="auto"/>
        </w:rPr>
        <w:t>$33.0 million of working capital at March 31, 2021, and used $7.5 million of cash in operating activities during the three months ended March 31, 2021. We have financed our operations principally through issuances of equity securities. On June 26, 2020, we sold 34,848,484 shares of common stock in an underwritten public offering at a price of $1.65 per share for net proceeds of $53.7 million. We expect to continue incurring losses for the foreseeable future. However, we expect that our current cash and cash equivalents balance are sufficient to enable us to meet our obligations for at least the next twelve months from the date of this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40" w:type="dxa"/>
            <w:vAlign w:val="bottom"/>
            <w:gridSpan w:val="3"/>
          </w:tcPr>
          <w:p>
            <w:pPr>
              <w:jc w:val="right"/>
              <w:ind w:right="656"/>
              <w:spacing w:after="0" w:line="155"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(7,488)</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(5,659)</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(125)</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(7,617)</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(5,663)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months ended March 31, 2021, operating activities used net cash of $7.5 million, which was primarily due to the net loss of</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$9.0 million plus non-cash income of $1.2 million for the decrease in fair value of common stock warrants and contingent consideration, adjusted for non-cash expense of $0.5 million for depreciation and amortization, $1.1 million for stock-based compensation, and approximately $76,000 for non-cash lease expense. Additionally, the usage of cash during the three months ended March 31, 2021 was reduced by $1.0 million due to changes in operating assets and liabilities.</w:t>
      </w:r>
    </w:p>
    <w:p>
      <w:pPr>
        <w:spacing w:after="0" w:line="8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During the three months ended March 31, 2020, operating activities used net cash of $5.7 million, which was primarily due to the net loss of $5.9 million plus non-cash income of $2.8 million for the change in the fair value of stock warrants and contingent consideration, less other non-cash expenses of $0.5 million for depreciation and amortization, $0.4 million for stock-based compensation, and approximately $68,000 for non-cash lease expense. Additionally, the usage of cash during the three months ended March 31, 2020 was reduced by $2.1 million due to changes in operating assets and liabilities.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Minimal cash was used for investing activities in the three months ended March 31, 2021 related to the costs of acquiring property and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225"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During the three months ended March 31, 2021, we used cash of $0.1 million to pay for the taxes of net share-settled vesting of restricted stock. In addition, minimal cash was used during the three months ended March 31, 2021 and 2020, for payments made on our finance lease.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 xml:space="preserve">There have not been any material changes to our exposure to market risk during the three months ended March 31, 2021. For additional information regarding market risk, refer to the </w:t>
      </w:r>
      <w:r>
        <w:rPr>
          <w:rFonts w:ascii="Arial" w:cs="Arial" w:eastAsia="Arial" w:hAnsi="Arial"/>
          <w:sz w:val="17"/>
          <w:szCs w:val="17"/>
          <w:i w:val="1"/>
          <w:iCs w:val="1"/>
          <w:color w:val="auto"/>
        </w:rPr>
        <w:t>Qualitative and Quantitative Disclosures About Market Risk</w:t>
      </w:r>
      <w:r>
        <w:rPr>
          <w:rFonts w:ascii="Arial" w:cs="Arial" w:eastAsia="Arial" w:hAnsi="Arial"/>
          <w:sz w:val="17"/>
          <w:szCs w:val="17"/>
          <w:color w:val="auto"/>
        </w:rPr>
        <w:t xml:space="preserve"> section of the Form 10-K.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61"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first fiscal quarter ended March 31, 2021, that have materially affected, or are reasonably likely to materially affect, our internal control over financial reporting.</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right="240" w:firstLine="510"/>
        <w:spacing w:after="0" w:line="279" w:lineRule="auto"/>
        <w:rPr>
          <w:sz w:val="20"/>
          <w:szCs w:val="20"/>
          <w:color w:val="auto"/>
        </w:rPr>
      </w:pPr>
      <w:r>
        <w:rPr>
          <w:rFonts w:ascii="Arial" w:cs="Arial" w:eastAsia="Arial" w:hAnsi="Arial"/>
          <w:sz w:val="17"/>
          <w:szCs w:val="17"/>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3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 from</w:t>
            </w: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2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Description of Document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Registrant’s</w:t>
            </w:r>
          </w:p>
        </w:tc>
        <w:tc>
          <w:tcPr>
            <w:tcW w:w="1800" w:type="dxa"/>
            <w:vAlign w:val="bottom"/>
            <w:gridSpan w:val="2"/>
          </w:tcPr>
          <w:p>
            <w:pPr>
              <w:ind w:left="520"/>
              <w:spacing w:after="0" w:line="119" w:lineRule="exact"/>
              <w:rPr>
                <w:sz w:val="20"/>
                <w:szCs w:val="20"/>
                <w:color w:val="auto"/>
              </w:rPr>
            </w:pPr>
            <w:r>
              <w:rPr>
                <w:rFonts w:ascii="Arial" w:cs="Arial" w:eastAsia="Arial" w:hAnsi="Arial"/>
                <w:sz w:val="13"/>
                <w:szCs w:val="13"/>
                <w:b w:val="1"/>
                <w:bCs w:val="1"/>
                <w:color w:val="auto"/>
              </w:rPr>
              <w:t>Date Filed</w:t>
            </w:r>
          </w:p>
        </w:tc>
        <w:tc>
          <w:tcPr>
            <w:tcW w:w="12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Exhibit</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4"/>
                <w:szCs w:val="14"/>
                <w:color w:val="auto"/>
              </w:rPr>
            </w:pPr>
          </w:p>
        </w:tc>
        <w:tc>
          <w:tcPr>
            <w:tcW w:w="16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60" w:type="dxa"/>
            <w:vAlign w:val="bottom"/>
          </w:tcPr>
          <w:p>
            <w:pPr>
              <w:ind w:left="28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Lease agreement between the Company and Hudson</w:t>
              </w:r>
            </w:hyperlink>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Towers at Shore Center, LLC dated April 16, 2021</w:t>
              </w:r>
            </w:hyperlink>
          </w:p>
        </w:tc>
        <w:tc>
          <w:tcPr>
            <w:tcW w:w="120" w:type="dxa"/>
            <w:vAlign w:val="bottom"/>
            <w:tcBorders>
              <w:top w:val="single" w:sz="8" w:color="0000EE"/>
            </w:tcBorders>
            <w:gridSpan w:val="2"/>
          </w:tcPr>
          <w:p>
            <w:pPr>
              <w:spacing w:after="0"/>
              <w:rPr>
                <w:sz w:val="17"/>
                <w:szCs w:val="17"/>
                <w:color w:val="auto"/>
              </w:rPr>
            </w:pPr>
          </w:p>
        </w:tc>
        <w:tc>
          <w:tcPr>
            <w:tcW w:w="1760" w:type="dxa"/>
            <w:vAlign w:val="bottom"/>
            <w:gridSpan w:val="12"/>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Certification of Principal Executive Officer</w:t>
              </w:r>
            </w:hyperlink>
          </w:p>
        </w:tc>
        <w:tc>
          <w:tcPr>
            <w:tcW w:w="740" w:type="dxa"/>
            <w:vAlign w:val="bottom"/>
            <w:tcBorders>
              <w:bottom w:val="single" w:sz="8" w:color="0000EE"/>
            </w:tcBorders>
            <w:gridSpan w:val="8"/>
          </w:tcPr>
          <w:p>
            <w:pPr>
              <w:ind w:left="40"/>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Required</w:t>
              </w:r>
            </w:hyperlink>
          </w:p>
        </w:tc>
        <w:tc>
          <w:tcPr>
            <w:tcW w:w="1620" w:type="dxa"/>
            <w:vAlign w:val="bottom"/>
            <w:gridSpan w:val="8"/>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Under Rule 13a-14(a) and 15d-14(a) of the Securities and</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Exchange Act of 1934, as amended</w:t>
              </w:r>
            </w:hyperlink>
          </w:p>
        </w:tc>
        <w:tc>
          <w:tcPr>
            <w:tcW w:w="6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Certification of Principal Financial and Accounting</w:t>
              </w:r>
            </w:hyperlink>
          </w:p>
        </w:tc>
        <w:tc>
          <w:tcPr>
            <w:tcW w:w="1820" w:type="dxa"/>
            <w:vAlign w:val="bottom"/>
            <w:gridSpan w:val="13"/>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Officer Required Under Rule 13a-14(a) and 15d-14(a) of</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the Securities and Exchange Act of 1934, as amended</w:t>
              </w:r>
            </w:hyperlink>
          </w:p>
        </w:tc>
        <w:tc>
          <w:tcPr>
            <w:tcW w:w="200" w:type="dxa"/>
            <w:vAlign w:val="bottom"/>
            <w:tcBorders>
              <w:top w:val="single" w:sz="8" w:color="0000EE"/>
            </w:tcBorders>
            <w:gridSpan w:val="4"/>
          </w:tcPr>
          <w:p>
            <w:pPr>
              <w:spacing w:after="0"/>
              <w:rPr>
                <w:sz w:val="17"/>
                <w:szCs w:val="17"/>
                <w:color w:val="auto"/>
              </w:rPr>
            </w:pPr>
          </w:p>
        </w:tc>
        <w:tc>
          <w:tcPr>
            <w:tcW w:w="144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 of Principal Executive Officer Required</w:t>
              </w:r>
            </w:hyperlink>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Under Rule 13a-14(b) of the Securities and Exchange</w:t>
              </w:r>
            </w:hyperlink>
          </w:p>
        </w:tc>
        <w:tc>
          <w:tcPr>
            <w:tcW w:w="1660" w:type="dxa"/>
            <w:vAlign w:val="bottom"/>
            <w:gridSpan w:val="10"/>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Act of 1934, as amended, and 18 U.S.C. §1350</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Certification of Principal Financial and Accounting</w:t>
              </w:r>
            </w:hyperlink>
          </w:p>
        </w:tc>
        <w:tc>
          <w:tcPr>
            <w:tcW w:w="1820" w:type="dxa"/>
            <w:vAlign w:val="bottom"/>
            <w:gridSpan w:val="13"/>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Officer Required Under Rule 13a-14(b) of the Securities</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and Exchange Act of 1934, as amended, and 18 U.S.C.</w:t>
              </w:r>
            </w:hyperlink>
          </w:p>
        </w:tc>
        <w:tc>
          <w:tcPr>
            <w:tcW w:w="100" w:type="dxa"/>
            <w:vAlign w:val="bottom"/>
            <w:tcBorders>
              <w:top w:val="single" w:sz="8" w:color="0000EE"/>
            </w:tcBorders>
          </w:tcPr>
          <w:p>
            <w:pPr>
              <w:spacing w:after="0"/>
              <w:rPr>
                <w:sz w:val="17"/>
                <w:szCs w:val="17"/>
                <w:color w:val="auto"/>
              </w:rPr>
            </w:pPr>
          </w:p>
        </w:tc>
        <w:tc>
          <w:tcPr>
            <w:tcW w:w="146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120"/>
              <w:spacing w:after="0" w:line="196" w:lineRule="exact"/>
              <w:rPr>
                <w:rFonts w:ascii="Arial" w:cs="Arial" w:eastAsia="Arial" w:hAnsi="Arial"/>
                <w:sz w:val="18"/>
                <w:szCs w:val="18"/>
                <w:color w:val="0000EE"/>
                <w:w w:val="83"/>
              </w:rPr>
            </w:pPr>
            <w:hyperlink w:anchor="page55">
              <w:r>
                <w:rPr>
                  <w:rFonts w:ascii="Arial" w:cs="Arial" w:eastAsia="Arial" w:hAnsi="Arial"/>
                  <w:sz w:val="18"/>
                  <w:szCs w:val="18"/>
                  <w:color w:val="0000EE"/>
                  <w:w w:val="83"/>
                </w:rPr>
                <w:t>§1350</w:t>
              </w:r>
            </w:hyperlink>
          </w:p>
        </w:tc>
        <w:tc>
          <w:tcPr>
            <w:tcW w:w="2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1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1" w:name="page22"/>
    <w:bookmarkEnd w:id="21"/>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8"/>
          <w:szCs w:val="18"/>
          <w:b w:val="1"/>
          <w:bCs w:val="1"/>
          <w:color w:val="auto"/>
        </w:rPr>
        <w:t>SOLENO THERAPEUTICS, INC.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(authorized officer and principal financial and</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accounting officer)</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00"/>
          </w:cols>
          <w:pgMar w:left="320" w:top="567" w:right="7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10.55</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OFFICE LEASE</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This Office Lease (this “</w:t>
      </w:r>
      <w:r>
        <w:rPr>
          <w:rFonts w:ascii="Arial" w:cs="Arial" w:eastAsia="Arial" w:hAnsi="Arial"/>
          <w:sz w:val="20"/>
          <w:szCs w:val="20"/>
          <w:b w:val="1"/>
          <w:bCs w:val="1"/>
          <w:color w:val="auto"/>
        </w:rPr>
        <w:t>Lease</w:t>
      </w:r>
      <w:r>
        <w:rPr>
          <w:rFonts w:ascii="Arial" w:cs="Arial" w:eastAsia="Arial" w:hAnsi="Arial"/>
          <w:sz w:val="20"/>
          <w:szCs w:val="20"/>
          <w:color w:val="auto"/>
        </w:rPr>
        <w:t xml:space="preserve">”), dated as of the date set forth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is made by and between </w:t>
      </w:r>
      <w:r>
        <w:rPr>
          <w:rFonts w:ascii="Arial" w:cs="Arial" w:eastAsia="Arial" w:hAnsi="Arial"/>
          <w:sz w:val="20"/>
          <w:szCs w:val="20"/>
          <w:b w:val="1"/>
          <w:bCs w:val="1"/>
          <w:color w:val="auto"/>
        </w:rPr>
        <w:t>HUDSON TOWERS AT</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SHORE CENTER, LLC, a Delaware limited liability company </w:t>
      </w:r>
      <w:r>
        <w:rPr>
          <w:rFonts w:ascii="Arial" w:cs="Arial" w:eastAsia="Arial" w:hAnsi="Arial"/>
          <w:sz w:val="20"/>
          <w:szCs w:val="20"/>
          <w:color w:val="auto"/>
        </w:rPr>
        <w:t>(“</w:t>
      </w:r>
      <w:r>
        <w:rPr>
          <w:rFonts w:ascii="Arial" w:cs="Arial" w:eastAsia="Arial" w:hAnsi="Arial"/>
          <w:sz w:val="20"/>
          <w:szCs w:val="20"/>
          <w:b w:val="1"/>
          <w:bCs w:val="1"/>
          <w:color w:val="auto"/>
        </w:rPr>
        <w:t>Landlord</w:t>
      </w:r>
      <w:r>
        <w:rPr>
          <w:rFonts w:ascii="Arial" w:cs="Arial" w:eastAsia="Arial" w:hAnsi="Arial"/>
          <w:sz w:val="20"/>
          <w:szCs w:val="20"/>
          <w:color w:val="auto"/>
        </w:rPr>
        <w:t>”)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SOLENO THERAPEUTICS, INC., a Delaware corporation </w:t>
      </w: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 The following exhibits are incorporated herein and made a part hereof:</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(Outline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Premises);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(Intentionally Omitted); </w:t>
      </w:r>
      <w:r>
        <w:rPr>
          <w:rFonts w:ascii="Arial" w:cs="Arial" w:eastAsia="Arial" w:hAnsi="Arial"/>
          <w:sz w:val="20"/>
          <w:szCs w:val="20"/>
          <w:b w:val="1"/>
          <w:bCs w:val="1"/>
          <w:u w:val="single" w:color="auto"/>
          <w:color w:val="auto"/>
        </w:rPr>
        <w:t>Exhibit C</w:t>
      </w:r>
      <w:r>
        <w:rPr>
          <w:rFonts w:ascii="Arial" w:cs="Arial" w:eastAsia="Arial" w:hAnsi="Arial"/>
          <w:sz w:val="20"/>
          <w:szCs w:val="20"/>
          <w:color w:val="auto"/>
        </w:rPr>
        <w:t xml:space="preserve"> (Form of Confirmation Letter);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 xml:space="preserve"> (Rules and Regulations); </w:t>
      </w:r>
      <w:r>
        <w:rPr>
          <w:rFonts w:ascii="Arial" w:cs="Arial" w:eastAsia="Arial" w:hAnsi="Arial"/>
          <w:sz w:val="20"/>
          <w:szCs w:val="20"/>
          <w:b w:val="1"/>
          <w:bCs w:val="1"/>
          <w:u w:val="single" w:color="auto"/>
          <w:color w:val="auto"/>
        </w:rPr>
        <w:t>Exhibit E</w:t>
      </w:r>
      <w:r>
        <w:rPr>
          <w:rFonts w:ascii="Arial" w:cs="Arial" w:eastAsia="Arial" w:hAnsi="Arial"/>
          <w:sz w:val="20"/>
          <w:szCs w:val="20"/>
          <w:color w:val="auto"/>
        </w:rPr>
        <w:t xml:space="preserve"> (Judicial Reference); and </w:t>
      </w:r>
      <w:r>
        <w:rPr>
          <w:rFonts w:ascii="Arial" w:cs="Arial" w:eastAsia="Arial" w:hAnsi="Arial"/>
          <w:sz w:val="20"/>
          <w:szCs w:val="20"/>
          <w:b w:val="1"/>
          <w:bCs w:val="1"/>
          <w:u w:val="single" w:color="auto"/>
          <w:color w:val="auto"/>
        </w:rPr>
        <w:t>Exhibit F</w:t>
      </w:r>
      <w:r>
        <w:rPr>
          <w:rFonts w:ascii="Arial" w:cs="Arial" w:eastAsia="Arial" w:hAnsi="Arial"/>
          <w:sz w:val="20"/>
          <w:szCs w:val="20"/>
          <w:color w:val="auto"/>
        </w:rPr>
        <w:t xml:space="preserve"> (Additional Provisions).</w:t>
      </w:r>
    </w:p>
    <w:p>
      <w:pPr>
        <w:spacing w:after="0" w:line="185" w:lineRule="exact"/>
        <w:rPr>
          <w:sz w:val="20"/>
          <w:szCs w:val="20"/>
          <w:color w:val="auto"/>
        </w:rPr>
      </w:pPr>
    </w:p>
    <w:p>
      <w:pPr>
        <w:ind w:left="760" w:hanging="752"/>
        <w:spacing w:after="0"/>
        <w:tabs>
          <w:tab w:leader="none" w:pos="76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BASIC LEASE INFORMATION.</w:t>
      </w:r>
    </w:p>
    <w:p>
      <w:pPr>
        <w:spacing w:after="0" w:line="200" w:lineRule="exact"/>
        <w:rPr>
          <w:sz w:val="20"/>
          <w:szCs w:val="20"/>
          <w:color w:val="auto"/>
        </w:rPr>
      </w:pPr>
    </w:p>
    <w:p>
      <w:pPr>
        <w:spacing w:after="0" w:line="238" w:lineRule="exact"/>
        <w:rPr>
          <w:sz w:val="20"/>
          <w:szCs w:val="20"/>
          <w:color w:val="auto"/>
        </w:rPr>
      </w:pPr>
    </w:p>
    <w:tbl>
      <w:tblPr>
        <w:tblLayout w:type="fixed"/>
        <w:tblInd w:w="540" w:type="dxa"/>
        <w:tblCellMar>
          <w:top w:w="0" w:type="dxa"/>
          <w:left w:w="0" w:type="dxa"/>
          <w:bottom w:w="0" w:type="dxa"/>
          <w:right w:w="0" w:type="dxa"/>
        </w:tblCellMar>
      </w:tblPr>
      <w:tr>
        <w:trPr>
          <w:trHeight w:val="250"/>
        </w:trPr>
        <w:tc>
          <w:tcPr>
            <w:tcW w:w="2580" w:type="dxa"/>
            <w:vAlign w:val="bottom"/>
          </w:tcPr>
          <w:p>
            <w:pPr>
              <w:spacing w:after="0"/>
              <w:rPr>
                <w:sz w:val="20"/>
                <w:szCs w:val="20"/>
                <w:color w:val="auto"/>
              </w:rPr>
            </w:pPr>
            <w:r>
              <w:rPr>
                <w:rFonts w:ascii="Arial" w:cs="Arial" w:eastAsia="Arial" w:hAnsi="Arial"/>
                <w:sz w:val="20"/>
                <w:szCs w:val="20"/>
                <w:color w:val="auto"/>
              </w:rPr>
              <w:t>1.1Date:</w:t>
            </w:r>
          </w:p>
        </w:tc>
        <w:tc>
          <w:tcPr>
            <w:tcW w:w="5380" w:type="dxa"/>
            <w:vAlign w:val="bottom"/>
            <w:gridSpan w:val="3"/>
          </w:tcPr>
          <w:p>
            <w:pPr>
              <w:ind w:left="80"/>
              <w:spacing w:after="0"/>
              <w:rPr>
                <w:sz w:val="20"/>
                <w:szCs w:val="20"/>
                <w:color w:val="auto"/>
              </w:rPr>
            </w:pPr>
            <w:r>
              <w:rPr>
                <w:rFonts w:ascii="Arial" w:cs="Arial" w:eastAsia="Arial" w:hAnsi="Arial"/>
                <w:sz w:val="20"/>
                <w:szCs w:val="20"/>
                <w:color w:val="auto"/>
              </w:rPr>
              <w:t>April 16, 2021</w:t>
            </w:r>
          </w:p>
        </w:tc>
      </w:tr>
      <w:tr>
        <w:trPr>
          <w:trHeight w:val="445"/>
        </w:trPr>
        <w:tc>
          <w:tcPr>
            <w:tcW w:w="2580" w:type="dxa"/>
            <w:vAlign w:val="bottom"/>
          </w:tcPr>
          <w:p>
            <w:pPr>
              <w:spacing w:after="0"/>
              <w:rPr>
                <w:sz w:val="20"/>
                <w:szCs w:val="20"/>
                <w:color w:val="auto"/>
              </w:rPr>
            </w:pPr>
            <w:r>
              <w:rPr>
                <w:rFonts w:ascii="Arial" w:cs="Arial" w:eastAsia="Arial" w:hAnsi="Arial"/>
                <w:sz w:val="20"/>
                <w:szCs w:val="20"/>
                <w:color w:val="auto"/>
              </w:rPr>
              <w:t>1.2Premises.</w:t>
            </w:r>
          </w:p>
        </w:tc>
        <w:tc>
          <w:tcPr>
            <w:tcW w:w="2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5"/>
        </w:trPr>
        <w:tc>
          <w:tcPr>
            <w:tcW w:w="2580" w:type="dxa"/>
            <w:vAlign w:val="bottom"/>
          </w:tcPr>
          <w:p>
            <w:pPr>
              <w:ind w:left="640"/>
              <w:spacing w:after="0"/>
              <w:rPr>
                <w:sz w:val="20"/>
                <w:szCs w:val="20"/>
                <w:color w:val="auto"/>
              </w:rPr>
            </w:pPr>
            <w:r>
              <w:rPr>
                <w:rFonts w:ascii="Arial" w:cs="Arial" w:eastAsia="Arial" w:hAnsi="Arial"/>
                <w:sz w:val="20"/>
                <w:szCs w:val="20"/>
                <w:color w:val="auto"/>
              </w:rPr>
              <w:t>1.2.1“</w:t>
            </w:r>
            <w:r>
              <w:rPr>
                <w:rFonts w:ascii="Arial" w:cs="Arial" w:eastAsia="Arial" w:hAnsi="Arial"/>
                <w:sz w:val="20"/>
                <w:szCs w:val="20"/>
                <w:b w:val="1"/>
                <w:bCs w:val="1"/>
                <w:color w:val="auto"/>
              </w:rPr>
              <w:t>Building</w:t>
            </w:r>
            <w:r>
              <w:rPr>
                <w:rFonts w:ascii="Arial" w:cs="Arial" w:eastAsia="Arial" w:hAnsi="Arial"/>
                <w:sz w:val="20"/>
                <w:szCs w:val="20"/>
                <w:color w:val="auto"/>
              </w:rPr>
              <w:t>”:</w:t>
            </w: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6"/>
              </w:rPr>
              <w:t>203  Redwood  Shores  Parkway,  Redwood  City,  California,</w:t>
            </w:r>
          </w:p>
        </w:tc>
      </w:tr>
      <w:tr>
        <w:trPr>
          <w:trHeight w:val="250"/>
        </w:trPr>
        <w:tc>
          <w:tcPr>
            <w:tcW w:w="2580" w:type="dxa"/>
            <w:vAlign w:val="bottom"/>
          </w:tcPr>
          <w:p>
            <w:pPr>
              <w:spacing w:after="0"/>
              <w:rPr>
                <w:sz w:val="21"/>
                <w:szCs w:val="21"/>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3"/>
              </w:rPr>
              <w:t>commonly known as Towers @ Shores - 203 Redwood Shores.</w:t>
            </w:r>
          </w:p>
        </w:tc>
      </w:tr>
      <w:tr>
        <w:trPr>
          <w:trHeight w:val="425"/>
        </w:trPr>
        <w:tc>
          <w:tcPr>
            <w:tcW w:w="2580" w:type="dxa"/>
            <w:vAlign w:val="bottom"/>
          </w:tcPr>
          <w:p>
            <w:pPr>
              <w:ind w:left="640"/>
              <w:spacing w:after="0"/>
              <w:rPr>
                <w:sz w:val="20"/>
                <w:szCs w:val="20"/>
                <w:color w:val="auto"/>
              </w:rPr>
            </w:pPr>
            <w:r>
              <w:rPr>
                <w:rFonts w:ascii="Arial" w:cs="Arial" w:eastAsia="Arial" w:hAnsi="Arial"/>
                <w:sz w:val="20"/>
                <w:szCs w:val="20"/>
                <w:color w:val="auto"/>
              </w:rPr>
              <w:t>1.2.2“</w:t>
            </w:r>
            <w:r>
              <w:rPr>
                <w:rFonts w:ascii="Arial" w:cs="Arial" w:eastAsia="Arial" w:hAnsi="Arial"/>
                <w:sz w:val="20"/>
                <w:szCs w:val="20"/>
                <w:b w:val="1"/>
                <w:bCs w:val="1"/>
                <w:color w:val="auto"/>
              </w:rPr>
              <w:t>Premises</w:t>
            </w:r>
            <w:r>
              <w:rPr>
                <w:rFonts w:ascii="Arial" w:cs="Arial" w:eastAsia="Arial" w:hAnsi="Arial"/>
                <w:sz w:val="20"/>
                <w:szCs w:val="20"/>
                <w:color w:val="auto"/>
              </w:rPr>
              <w:t>”:</w:t>
            </w: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1"/>
              </w:rPr>
              <w:t>6,368 rentable square feet of space located on the 5th floor of the</w:t>
            </w:r>
          </w:p>
        </w:tc>
      </w:tr>
      <w:tr>
        <w:trPr>
          <w:trHeight w:val="224"/>
        </w:trPr>
        <w:tc>
          <w:tcPr>
            <w:tcW w:w="2580" w:type="dxa"/>
            <w:vAlign w:val="bottom"/>
          </w:tcPr>
          <w:p>
            <w:pPr>
              <w:spacing w:after="0"/>
              <w:rPr>
                <w:sz w:val="19"/>
                <w:szCs w:val="19"/>
                <w:color w:val="auto"/>
              </w:rPr>
            </w:pPr>
          </w:p>
        </w:tc>
        <w:tc>
          <w:tcPr>
            <w:tcW w:w="5380" w:type="dxa"/>
            <w:vAlign w:val="bottom"/>
            <w:gridSpan w:val="3"/>
          </w:tcPr>
          <w:p>
            <w:pPr>
              <w:ind w:left="80"/>
              <w:spacing w:after="0" w:line="224" w:lineRule="exact"/>
              <w:rPr>
                <w:sz w:val="20"/>
                <w:szCs w:val="20"/>
                <w:color w:val="auto"/>
              </w:rPr>
            </w:pPr>
            <w:r>
              <w:rPr>
                <w:rFonts w:ascii="Arial" w:cs="Arial" w:eastAsia="Arial" w:hAnsi="Arial"/>
                <w:sz w:val="20"/>
                <w:szCs w:val="20"/>
                <w:color w:val="auto"/>
                <w:w w:val="99"/>
              </w:rPr>
              <w:t>Building and commonly known as Suite 500, the outline and</w:t>
            </w:r>
          </w:p>
        </w:tc>
      </w:tr>
      <w:tr>
        <w:trPr>
          <w:trHeight w:val="212"/>
        </w:trPr>
        <w:tc>
          <w:tcPr>
            <w:tcW w:w="2580" w:type="dxa"/>
            <w:vAlign w:val="bottom"/>
          </w:tcPr>
          <w:p>
            <w:pPr>
              <w:spacing w:after="0"/>
              <w:rPr>
                <w:sz w:val="18"/>
                <w:szCs w:val="18"/>
                <w:color w:val="auto"/>
              </w:rPr>
            </w:pPr>
          </w:p>
        </w:tc>
        <w:tc>
          <w:tcPr>
            <w:tcW w:w="5380" w:type="dxa"/>
            <w:vAlign w:val="bottom"/>
            <w:gridSpan w:val="3"/>
          </w:tcPr>
          <w:p>
            <w:pPr>
              <w:ind w:left="80"/>
              <w:spacing w:after="0" w:line="212" w:lineRule="exact"/>
              <w:rPr>
                <w:sz w:val="20"/>
                <w:szCs w:val="20"/>
                <w:color w:val="auto"/>
              </w:rPr>
            </w:pPr>
            <w:r>
              <w:rPr>
                <w:rFonts w:ascii="Arial" w:cs="Arial" w:eastAsia="Arial" w:hAnsi="Arial"/>
                <w:sz w:val="20"/>
                <w:szCs w:val="20"/>
                <w:color w:val="auto"/>
              </w:rPr>
              <w:t xml:space="preserve">location of which is set forth in </w:t>
            </w:r>
            <w:r>
              <w:rPr>
                <w:rFonts w:ascii="Arial" w:cs="Arial" w:eastAsia="Arial" w:hAnsi="Arial"/>
                <w:sz w:val="20"/>
                <w:szCs w:val="20"/>
                <w:b w:val="1"/>
                <w:bCs w:val="1"/>
                <w:color w:val="auto"/>
              </w:rPr>
              <w:t>Exhibit A</w:t>
            </w:r>
            <w:r>
              <w:rPr>
                <w:rFonts w:ascii="Arial" w:cs="Arial" w:eastAsia="Arial" w:hAnsi="Arial"/>
                <w:sz w:val="20"/>
                <w:szCs w:val="20"/>
                <w:color w:val="auto"/>
              </w:rPr>
              <w:t>.  If the Premises</w:t>
            </w:r>
          </w:p>
        </w:tc>
      </w:tr>
      <w:tr>
        <w:trPr>
          <w:trHeight w:val="20"/>
        </w:trPr>
        <w:tc>
          <w:tcPr>
            <w:tcW w:w="25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3"/>
        </w:trPr>
        <w:tc>
          <w:tcPr>
            <w:tcW w:w="2580" w:type="dxa"/>
            <w:vAlign w:val="bottom"/>
          </w:tcPr>
          <w:p>
            <w:pPr>
              <w:spacing w:after="0"/>
              <w:rPr>
                <w:sz w:val="20"/>
                <w:szCs w:val="20"/>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rPr>
              <w:t>include any floor in its entirety, all corridors and restroom</w:t>
            </w:r>
          </w:p>
        </w:tc>
      </w:tr>
      <w:tr>
        <w:trPr>
          <w:trHeight w:val="230"/>
        </w:trPr>
        <w:tc>
          <w:tcPr>
            <w:tcW w:w="2580" w:type="dxa"/>
            <w:vAlign w:val="bottom"/>
          </w:tcPr>
          <w:p>
            <w:pPr>
              <w:spacing w:after="0"/>
              <w:rPr>
                <w:sz w:val="19"/>
                <w:szCs w:val="19"/>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8"/>
              </w:rPr>
              <w:t>facilities located on such floor shall be considered part of the</w:t>
            </w:r>
          </w:p>
        </w:tc>
      </w:tr>
      <w:tr>
        <w:trPr>
          <w:trHeight w:val="250"/>
        </w:trPr>
        <w:tc>
          <w:tcPr>
            <w:tcW w:w="2580" w:type="dxa"/>
            <w:vAlign w:val="bottom"/>
          </w:tcPr>
          <w:p>
            <w:pPr>
              <w:spacing w:after="0"/>
              <w:rPr>
                <w:sz w:val="21"/>
                <w:szCs w:val="21"/>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rPr>
              <w:t>Premises.</w:t>
            </w:r>
          </w:p>
        </w:tc>
      </w:tr>
      <w:tr>
        <w:trPr>
          <w:trHeight w:val="425"/>
        </w:trPr>
        <w:tc>
          <w:tcPr>
            <w:tcW w:w="2580" w:type="dxa"/>
            <w:vAlign w:val="bottom"/>
          </w:tcPr>
          <w:p>
            <w:pPr>
              <w:ind w:left="640"/>
              <w:spacing w:after="0"/>
              <w:rPr>
                <w:sz w:val="20"/>
                <w:szCs w:val="20"/>
                <w:color w:val="auto"/>
              </w:rPr>
            </w:pPr>
            <w:r>
              <w:rPr>
                <w:rFonts w:ascii="Arial" w:cs="Arial" w:eastAsia="Arial" w:hAnsi="Arial"/>
                <w:sz w:val="20"/>
                <w:szCs w:val="20"/>
                <w:color w:val="auto"/>
              </w:rPr>
              <w:t>1.2.3“</w:t>
            </w:r>
            <w:r>
              <w:rPr>
                <w:rFonts w:ascii="Arial" w:cs="Arial" w:eastAsia="Arial" w:hAnsi="Arial"/>
                <w:sz w:val="20"/>
                <w:szCs w:val="20"/>
                <w:b w:val="1"/>
                <w:bCs w:val="1"/>
                <w:color w:val="auto"/>
              </w:rPr>
              <w:t>Property</w:t>
            </w:r>
            <w:r>
              <w:rPr>
                <w:rFonts w:ascii="Arial" w:cs="Arial" w:eastAsia="Arial" w:hAnsi="Arial"/>
                <w:sz w:val="20"/>
                <w:szCs w:val="20"/>
                <w:color w:val="auto"/>
              </w:rPr>
              <w:t>”:</w:t>
            </w: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4"/>
              </w:rPr>
              <w:t>The Building, the parcel(s) of land upon which it is located, and,</w:t>
            </w:r>
          </w:p>
        </w:tc>
      </w:tr>
      <w:tr>
        <w:trPr>
          <w:trHeight w:val="229"/>
        </w:trPr>
        <w:tc>
          <w:tcPr>
            <w:tcW w:w="2580" w:type="dxa"/>
            <w:vAlign w:val="bottom"/>
          </w:tcPr>
          <w:p>
            <w:pPr>
              <w:spacing w:after="0"/>
              <w:rPr>
                <w:sz w:val="19"/>
                <w:szCs w:val="19"/>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rPr>
              <w:t>at  Landlord’s  discretion,  any  parking  facilities  and  other</w:t>
            </w:r>
          </w:p>
        </w:tc>
      </w:tr>
      <w:tr>
        <w:trPr>
          <w:trHeight w:val="230"/>
        </w:trPr>
        <w:tc>
          <w:tcPr>
            <w:tcW w:w="2580" w:type="dxa"/>
            <w:vAlign w:val="bottom"/>
          </w:tcPr>
          <w:p>
            <w:pPr>
              <w:spacing w:after="0"/>
              <w:rPr>
                <w:sz w:val="19"/>
                <w:szCs w:val="19"/>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1"/>
              </w:rPr>
              <w:t>improvements serving the Building and the parcel(s) of land upon</w:t>
            </w:r>
          </w:p>
        </w:tc>
      </w:tr>
      <w:tr>
        <w:trPr>
          <w:trHeight w:val="250"/>
        </w:trPr>
        <w:tc>
          <w:tcPr>
            <w:tcW w:w="2580" w:type="dxa"/>
            <w:vAlign w:val="bottom"/>
          </w:tcPr>
          <w:p>
            <w:pPr>
              <w:spacing w:after="0"/>
              <w:rPr>
                <w:sz w:val="21"/>
                <w:szCs w:val="21"/>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1"/>
              </w:rPr>
              <w:t>which such parking facilities and other improvements are located.</w:t>
            </w:r>
          </w:p>
        </w:tc>
      </w:tr>
      <w:tr>
        <w:trPr>
          <w:trHeight w:val="425"/>
        </w:trPr>
        <w:tc>
          <w:tcPr>
            <w:tcW w:w="2580" w:type="dxa"/>
            <w:vAlign w:val="bottom"/>
          </w:tcPr>
          <w:p>
            <w:pPr>
              <w:ind w:left="640"/>
              <w:spacing w:after="0"/>
              <w:rPr>
                <w:sz w:val="20"/>
                <w:szCs w:val="20"/>
                <w:color w:val="auto"/>
              </w:rPr>
            </w:pPr>
            <w:r>
              <w:rPr>
                <w:rFonts w:ascii="Arial" w:cs="Arial" w:eastAsia="Arial" w:hAnsi="Arial"/>
                <w:sz w:val="20"/>
                <w:szCs w:val="20"/>
                <w:color w:val="auto"/>
              </w:rPr>
              <w:t>1.2.4“</w:t>
            </w:r>
            <w:r>
              <w:rPr>
                <w:rFonts w:ascii="Arial" w:cs="Arial" w:eastAsia="Arial" w:hAnsi="Arial"/>
                <w:sz w:val="20"/>
                <w:szCs w:val="20"/>
                <w:b w:val="1"/>
                <w:bCs w:val="1"/>
                <w:color w:val="auto"/>
              </w:rPr>
              <w:t>Project</w:t>
            </w:r>
            <w:r>
              <w:rPr>
                <w:rFonts w:ascii="Arial" w:cs="Arial" w:eastAsia="Arial" w:hAnsi="Arial"/>
                <w:sz w:val="20"/>
                <w:szCs w:val="20"/>
                <w:color w:val="auto"/>
              </w:rPr>
              <w:t>”:</w:t>
            </w: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4"/>
              </w:rPr>
              <w:t>The Property or, at Landlord’s discretion, any project containing</w:t>
            </w:r>
          </w:p>
        </w:tc>
      </w:tr>
      <w:tr>
        <w:trPr>
          <w:trHeight w:val="250"/>
        </w:trPr>
        <w:tc>
          <w:tcPr>
            <w:tcW w:w="2580" w:type="dxa"/>
            <w:vAlign w:val="bottom"/>
          </w:tcPr>
          <w:p>
            <w:pPr>
              <w:spacing w:after="0"/>
              <w:rPr>
                <w:sz w:val="21"/>
                <w:szCs w:val="21"/>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0"/>
              </w:rPr>
              <w:t>the Property and any other land, buildings or other improvements.</w:t>
            </w:r>
          </w:p>
        </w:tc>
      </w:tr>
      <w:tr>
        <w:trPr>
          <w:trHeight w:val="445"/>
        </w:trPr>
        <w:tc>
          <w:tcPr>
            <w:tcW w:w="2580" w:type="dxa"/>
            <w:vAlign w:val="bottom"/>
          </w:tcPr>
          <w:p>
            <w:pPr>
              <w:spacing w:after="0"/>
              <w:rPr>
                <w:sz w:val="20"/>
                <w:szCs w:val="20"/>
                <w:color w:val="auto"/>
              </w:rPr>
            </w:pPr>
            <w:r>
              <w:rPr>
                <w:rFonts w:ascii="Arial" w:cs="Arial" w:eastAsia="Arial" w:hAnsi="Arial"/>
                <w:sz w:val="20"/>
                <w:szCs w:val="20"/>
                <w:color w:val="auto"/>
              </w:rPr>
              <w:t>1.3Term</w:t>
            </w:r>
          </w:p>
        </w:tc>
        <w:tc>
          <w:tcPr>
            <w:tcW w:w="2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5"/>
        </w:trPr>
        <w:tc>
          <w:tcPr>
            <w:tcW w:w="2580" w:type="dxa"/>
            <w:vAlign w:val="bottom"/>
          </w:tcPr>
          <w:p>
            <w:pPr>
              <w:ind w:left="640"/>
              <w:spacing w:after="0"/>
              <w:rPr>
                <w:sz w:val="20"/>
                <w:szCs w:val="20"/>
                <w:color w:val="auto"/>
              </w:rPr>
            </w:pPr>
            <w:r>
              <w:rPr>
                <w:rFonts w:ascii="Arial" w:cs="Arial" w:eastAsia="Arial" w:hAnsi="Arial"/>
                <w:sz w:val="20"/>
                <w:szCs w:val="20"/>
                <w:color w:val="auto"/>
              </w:rPr>
              <w:t>1.3.1Term:</w:t>
            </w: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9"/>
              </w:rPr>
              <w:t>The  term  of  this  Lease  (the  “</w:t>
            </w:r>
            <w:r>
              <w:rPr>
                <w:rFonts w:ascii="Arial" w:cs="Arial" w:eastAsia="Arial" w:hAnsi="Arial"/>
                <w:sz w:val="20"/>
                <w:szCs w:val="20"/>
                <w:b w:val="1"/>
                <w:bCs w:val="1"/>
                <w:color w:val="auto"/>
                <w:w w:val="99"/>
              </w:rPr>
              <w:t>Term</w:t>
            </w:r>
            <w:r>
              <w:rPr>
                <w:rFonts w:ascii="Arial" w:cs="Arial" w:eastAsia="Arial" w:hAnsi="Arial"/>
                <w:sz w:val="20"/>
                <w:szCs w:val="20"/>
                <w:color w:val="auto"/>
                <w:w w:val="99"/>
              </w:rPr>
              <w:t>”)  shall  begin  on  the</w:t>
            </w:r>
          </w:p>
        </w:tc>
      </w:tr>
      <w:tr>
        <w:trPr>
          <w:trHeight w:val="230"/>
        </w:trPr>
        <w:tc>
          <w:tcPr>
            <w:tcW w:w="2580" w:type="dxa"/>
            <w:vAlign w:val="bottom"/>
          </w:tcPr>
          <w:p>
            <w:pPr>
              <w:spacing w:after="0"/>
              <w:rPr>
                <w:sz w:val="19"/>
                <w:szCs w:val="19"/>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3"/>
              </w:rPr>
              <w:t>Commencement Date and expire on the Expiration Date (or any</w:t>
            </w:r>
          </w:p>
        </w:tc>
      </w:tr>
      <w:tr>
        <w:trPr>
          <w:trHeight w:val="250"/>
        </w:trPr>
        <w:tc>
          <w:tcPr>
            <w:tcW w:w="2580" w:type="dxa"/>
            <w:vAlign w:val="bottom"/>
          </w:tcPr>
          <w:p>
            <w:pPr>
              <w:spacing w:after="0"/>
              <w:rPr>
                <w:sz w:val="21"/>
                <w:szCs w:val="21"/>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0"/>
              </w:rPr>
              <w:t>earlier date on which this Lease is terminated as provided herein).</w:t>
            </w:r>
          </w:p>
        </w:tc>
      </w:tr>
      <w:tr>
        <w:trPr>
          <w:trHeight w:val="419"/>
        </w:trPr>
        <w:tc>
          <w:tcPr>
            <w:tcW w:w="2580" w:type="dxa"/>
            <w:vAlign w:val="bottom"/>
          </w:tcPr>
          <w:p>
            <w:pPr>
              <w:ind w:left="640"/>
              <w:spacing w:after="0"/>
              <w:rPr>
                <w:sz w:val="20"/>
                <w:szCs w:val="20"/>
                <w:color w:val="auto"/>
              </w:rPr>
            </w:pPr>
            <w:r>
              <w:rPr>
                <w:rFonts w:ascii="Arial" w:cs="Arial" w:eastAsia="Arial" w:hAnsi="Arial"/>
                <w:sz w:val="20"/>
                <w:szCs w:val="20"/>
                <w:color w:val="auto"/>
                <w:w w:val="92"/>
              </w:rPr>
              <w:t>1.3.2“</w:t>
            </w:r>
            <w:r>
              <w:rPr>
                <w:rFonts w:ascii="Arial" w:cs="Arial" w:eastAsia="Arial" w:hAnsi="Arial"/>
                <w:sz w:val="20"/>
                <w:szCs w:val="20"/>
                <w:b w:val="1"/>
                <w:bCs w:val="1"/>
                <w:color w:val="auto"/>
                <w:w w:val="92"/>
              </w:rPr>
              <w:t>Commencement</w:t>
            </w: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1"/>
              </w:rPr>
              <w:t>The earlier of (i) the first date on which Tenant conducts business</w:t>
            </w:r>
          </w:p>
        </w:tc>
      </w:tr>
      <w:tr>
        <w:trPr>
          <w:trHeight w:val="235"/>
        </w:trPr>
        <w:tc>
          <w:tcPr>
            <w:tcW w:w="2580" w:type="dxa"/>
            <w:vAlign w:val="bottom"/>
          </w:tcPr>
          <w:p>
            <w:pPr>
              <w:ind w:left="1300"/>
              <w:spacing w:after="0"/>
              <w:rPr>
                <w:sz w:val="20"/>
                <w:szCs w:val="20"/>
                <w:color w:val="auto"/>
              </w:rPr>
            </w:pPr>
            <w:r>
              <w:rPr>
                <w:rFonts w:ascii="Arial" w:cs="Arial" w:eastAsia="Arial" w:hAnsi="Arial"/>
                <w:sz w:val="20"/>
                <w:szCs w:val="20"/>
                <w:b w:val="1"/>
                <w:bCs w:val="1"/>
                <w:color w:val="auto"/>
              </w:rPr>
              <w:t>Date</w:t>
            </w:r>
            <w:r>
              <w:rPr>
                <w:rFonts w:ascii="Arial" w:cs="Arial" w:eastAsia="Arial" w:hAnsi="Arial"/>
                <w:sz w:val="20"/>
                <w:szCs w:val="20"/>
                <w:color w:val="auto"/>
              </w:rPr>
              <w:t>”:</w:t>
            </w:r>
          </w:p>
        </w:tc>
        <w:tc>
          <w:tcPr>
            <w:tcW w:w="5380" w:type="dxa"/>
            <w:vAlign w:val="bottom"/>
            <w:gridSpan w:val="3"/>
          </w:tcPr>
          <w:p>
            <w:pPr>
              <w:ind w:left="80"/>
              <w:spacing w:after="0"/>
              <w:rPr>
                <w:sz w:val="20"/>
                <w:szCs w:val="20"/>
                <w:color w:val="auto"/>
              </w:rPr>
            </w:pPr>
            <w:r>
              <w:rPr>
                <w:rFonts w:ascii="Arial" w:cs="Arial" w:eastAsia="Arial" w:hAnsi="Arial"/>
                <w:sz w:val="20"/>
                <w:szCs w:val="20"/>
                <w:color w:val="auto"/>
              </w:rPr>
              <w:t>in the Premises pursuant to this Lease, or (ii) June 1, 2021;</w:t>
            </w:r>
          </w:p>
        </w:tc>
      </w:tr>
      <w:tr>
        <w:trPr>
          <w:trHeight w:val="230"/>
        </w:trPr>
        <w:tc>
          <w:tcPr>
            <w:tcW w:w="2580" w:type="dxa"/>
            <w:vAlign w:val="bottom"/>
          </w:tcPr>
          <w:p>
            <w:pPr>
              <w:spacing w:after="0"/>
              <w:rPr>
                <w:sz w:val="19"/>
                <w:szCs w:val="19"/>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1"/>
              </w:rPr>
              <w:t>provided, however, that if Landlord fails to deliver the Premises to</w:t>
            </w:r>
          </w:p>
        </w:tc>
      </w:tr>
      <w:tr>
        <w:trPr>
          <w:trHeight w:val="230"/>
        </w:trPr>
        <w:tc>
          <w:tcPr>
            <w:tcW w:w="2580" w:type="dxa"/>
            <w:vAlign w:val="bottom"/>
          </w:tcPr>
          <w:p>
            <w:pPr>
              <w:spacing w:after="0"/>
              <w:rPr>
                <w:sz w:val="19"/>
                <w:szCs w:val="19"/>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2"/>
              </w:rPr>
              <w:t>Tenant pursuant to this Lease on or before the date described in</w:t>
            </w:r>
          </w:p>
        </w:tc>
      </w:tr>
      <w:tr>
        <w:trPr>
          <w:trHeight w:val="230"/>
        </w:trPr>
        <w:tc>
          <w:tcPr>
            <w:tcW w:w="2580" w:type="dxa"/>
            <w:vAlign w:val="bottom"/>
          </w:tcPr>
          <w:p>
            <w:pPr>
              <w:spacing w:after="0"/>
              <w:rPr>
                <w:sz w:val="19"/>
                <w:szCs w:val="19"/>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5"/>
              </w:rPr>
              <w:t>the preceding clause (ii) as a result of any holdover or unlawful</w:t>
            </w:r>
          </w:p>
        </w:tc>
      </w:tr>
      <w:tr>
        <w:trPr>
          <w:trHeight w:val="229"/>
        </w:trPr>
        <w:tc>
          <w:tcPr>
            <w:tcW w:w="2580" w:type="dxa"/>
            <w:vAlign w:val="bottom"/>
          </w:tcPr>
          <w:p>
            <w:pPr>
              <w:spacing w:after="0"/>
              <w:rPr>
                <w:sz w:val="19"/>
                <w:szCs w:val="19"/>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88"/>
              </w:rPr>
              <w:t>possession by another party, the Commencement Date shall be the</w:t>
            </w:r>
          </w:p>
        </w:tc>
      </w:tr>
      <w:tr>
        <w:trPr>
          <w:trHeight w:val="230"/>
        </w:trPr>
        <w:tc>
          <w:tcPr>
            <w:tcW w:w="2580" w:type="dxa"/>
            <w:vAlign w:val="bottom"/>
          </w:tcPr>
          <w:p>
            <w:pPr>
              <w:spacing w:after="0"/>
              <w:rPr>
                <w:sz w:val="19"/>
                <w:szCs w:val="19"/>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5"/>
              </w:rPr>
              <w:t>date on which Landlord delivers possession of the Premises to</w:t>
            </w:r>
          </w:p>
        </w:tc>
      </w:tr>
      <w:tr>
        <w:trPr>
          <w:trHeight w:val="250"/>
        </w:trPr>
        <w:tc>
          <w:tcPr>
            <w:tcW w:w="2580" w:type="dxa"/>
            <w:vAlign w:val="bottom"/>
          </w:tcPr>
          <w:p>
            <w:pPr>
              <w:spacing w:after="0"/>
              <w:rPr>
                <w:sz w:val="21"/>
                <w:szCs w:val="21"/>
                <w:color w:val="auto"/>
              </w:rPr>
            </w:pPr>
          </w:p>
        </w:tc>
        <w:tc>
          <w:tcPr>
            <w:tcW w:w="5380" w:type="dxa"/>
            <w:vAlign w:val="bottom"/>
            <w:gridSpan w:val="3"/>
          </w:tcPr>
          <w:p>
            <w:pPr>
              <w:ind w:left="80"/>
              <w:spacing w:after="0"/>
              <w:rPr>
                <w:sz w:val="20"/>
                <w:szCs w:val="20"/>
                <w:color w:val="auto"/>
              </w:rPr>
            </w:pPr>
            <w:r>
              <w:rPr>
                <w:rFonts w:ascii="Arial" w:cs="Arial" w:eastAsia="Arial" w:hAnsi="Arial"/>
                <w:sz w:val="20"/>
                <w:szCs w:val="20"/>
                <w:color w:val="auto"/>
                <w:w w:val="92"/>
              </w:rPr>
              <w:t>Tenant pursuant to this Lease free from occupancy by any party.</w:t>
            </w:r>
          </w:p>
        </w:tc>
      </w:tr>
    </w:tbl>
    <w:p>
      <w:pPr>
        <w:spacing w:after="0" w:line="189" w:lineRule="exact"/>
        <w:rPr>
          <w:sz w:val="20"/>
          <w:szCs w:val="20"/>
          <w:color w:val="auto"/>
        </w:rPr>
      </w:pPr>
    </w:p>
    <w:p>
      <w:pPr>
        <w:jc w:val="both"/>
        <w:ind w:left="3200" w:right="2740" w:hanging="2024"/>
        <w:spacing w:after="0" w:line="262" w:lineRule="auto"/>
        <w:rPr>
          <w:sz w:val="20"/>
          <w:szCs w:val="20"/>
          <w:color w:val="auto"/>
        </w:rPr>
      </w:pPr>
      <w:r>
        <w:rPr>
          <w:rFonts w:ascii="Arial" w:cs="Arial" w:eastAsia="Arial" w:hAnsi="Arial"/>
          <w:sz w:val="19"/>
          <w:szCs w:val="19"/>
          <w:color w:val="auto"/>
        </w:rPr>
        <w:t>1.3.3“</w:t>
      </w:r>
      <w:r>
        <w:rPr>
          <w:rFonts w:ascii="Arial" w:cs="Arial" w:eastAsia="Arial" w:hAnsi="Arial"/>
          <w:sz w:val="19"/>
          <w:szCs w:val="19"/>
          <w:b w:val="1"/>
          <w:bCs w:val="1"/>
          <w:color w:val="auto"/>
        </w:rPr>
        <w:t>Expiration Date</w:t>
      </w:r>
      <w:r>
        <w:rPr>
          <w:rFonts w:ascii="Arial" w:cs="Arial" w:eastAsia="Arial" w:hAnsi="Arial"/>
          <w:sz w:val="19"/>
          <w:szCs w:val="19"/>
          <w:color w:val="auto"/>
        </w:rPr>
        <w:t>”: The last day of the 24th full calendar month beginning on the Commencement Date; provided, however, that if the Commencement Date is not the first day of a month, then the Expiration Date shall be the last day of the 24th full calendar month beginning immediately after the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98" w:gutter="0" w:footer="0" w:header="0"/>
        </w:sectPr>
      </w:pPr>
    </w:p>
    <w:bookmarkStart w:id="23" w:name="page24"/>
    <w:bookmarkEnd w:id="23"/>
    <w:tbl>
      <w:tblPr>
        <w:tblLayout w:type="fixed"/>
        <w:tblInd w:w="54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Arial" w:cs="Arial" w:eastAsia="Arial" w:hAnsi="Arial"/>
                <w:sz w:val="20"/>
                <w:szCs w:val="20"/>
                <w:color w:val="auto"/>
              </w:rPr>
              <w:t>1.4“</w:t>
            </w:r>
            <w:r>
              <w:rPr>
                <w:rFonts w:ascii="Arial" w:cs="Arial" w:eastAsia="Arial" w:hAnsi="Arial"/>
                <w:sz w:val="20"/>
                <w:szCs w:val="20"/>
                <w:b w:val="1"/>
                <w:bCs w:val="1"/>
                <w:color w:val="auto"/>
              </w:rPr>
              <w:t>Base Rent</w:t>
            </w:r>
            <w:r>
              <w:rPr>
                <w:rFonts w:ascii="Arial" w:cs="Arial" w:eastAsia="Arial" w:hAnsi="Arial"/>
                <w:sz w:val="20"/>
                <w:szCs w:val="20"/>
                <w:color w:val="auto"/>
              </w:rPr>
              <w:t>”:</w:t>
            </w:r>
          </w:p>
        </w:tc>
        <w:tc>
          <w:tcPr>
            <w:tcW w:w="20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635"/>
        </w:trPr>
        <w:tc>
          <w:tcPr>
            <w:tcW w:w="23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0"/>
                <w:szCs w:val="20"/>
                <w:b w:val="1"/>
                <w:bCs w:val="1"/>
                <w:color w:val="auto"/>
                <w:w w:val="89"/>
              </w:rPr>
              <w:t>Annual Base Rent Per</w:t>
            </w:r>
          </w:p>
        </w:tc>
        <w:tc>
          <w:tcPr>
            <w:tcW w:w="2000" w:type="dxa"/>
            <w:vAlign w:val="bottom"/>
          </w:tcPr>
          <w:p>
            <w:pPr>
              <w:jc w:val="center"/>
              <w:ind w:right="41"/>
              <w:spacing w:after="0"/>
              <w:rPr>
                <w:sz w:val="20"/>
                <w:szCs w:val="20"/>
                <w:color w:val="auto"/>
              </w:rPr>
            </w:pPr>
            <w:r>
              <w:rPr>
                <w:rFonts w:ascii="Arial" w:cs="Arial" w:eastAsia="Arial" w:hAnsi="Arial"/>
                <w:sz w:val="20"/>
                <w:szCs w:val="20"/>
                <w:b w:val="1"/>
                <w:bCs w:val="1"/>
                <w:color w:val="auto"/>
                <w:w w:val="89"/>
              </w:rPr>
              <w:t>Monthly Base Rent</w:t>
            </w:r>
          </w:p>
        </w:tc>
        <w:tc>
          <w:tcPr>
            <w:tcW w:w="1260" w:type="dxa"/>
            <w:vAlign w:val="bottom"/>
          </w:tcPr>
          <w:p>
            <w:pPr>
              <w:jc w:val="center"/>
              <w:ind w:left="121"/>
              <w:spacing w:after="0"/>
              <w:rPr>
                <w:sz w:val="20"/>
                <w:szCs w:val="20"/>
                <w:color w:val="auto"/>
              </w:rPr>
            </w:pPr>
            <w:r>
              <w:rPr>
                <w:rFonts w:ascii="Arial" w:cs="Arial" w:eastAsia="Arial" w:hAnsi="Arial"/>
                <w:sz w:val="20"/>
                <w:szCs w:val="20"/>
                <w:b w:val="1"/>
                <w:bCs w:val="1"/>
                <w:color w:val="auto"/>
                <w:w w:val="93"/>
              </w:rPr>
              <w:t>Monthly</w:t>
            </w:r>
          </w:p>
        </w:tc>
      </w:tr>
      <w:tr>
        <w:trPr>
          <w:trHeight w:val="229"/>
        </w:trPr>
        <w:tc>
          <w:tcPr>
            <w:tcW w:w="2300" w:type="dxa"/>
            <w:vAlign w:val="bottom"/>
          </w:tcPr>
          <w:p>
            <w:pPr>
              <w:jc w:val="center"/>
              <w:ind w:left="581"/>
              <w:spacing w:after="0"/>
              <w:rPr>
                <w:sz w:val="20"/>
                <w:szCs w:val="20"/>
                <w:color w:val="auto"/>
              </w:rPr>
            </w:pPr>
            <w:r>
              <w:rPr>
                <w:rFonts w:ascii="Arial" w:cs="Arial" w:eastAsia="Arial" w:hAnsi="Arial"/>
                <w:sz w:val="20"/>
                <w:szCs w:val="20"/>
                <w:b w:val="1"/>
                <w:bCs w:val="1"/>
                <w:color w:val="auto"/>
                <w:w w:val="92"/>
              </w:rPr>
              <w:t>Period During</w:t>
            </w:r>
          </w:p>
        </w:tc>
        <w:tc>
          <w:tcPr>
            <w:tcW w:w="2020" w:type="dxa"/>
            <w:vAlign w:val="bottom"/>
          </w:tcPr>
          <w:p>
            <w:pPr>
              <w:jc w:val="center"/>
              <w:spacing w:after="0"/>
              <w:rPr>
                <w:sz w:val="20"/>
                <w:szCs w:val="20"/>
                <w:color w:val="auto"/>
              </w:rPr>
            </w:pPr>
            <w:r>
              <w:rPr>
                <w:rFonts w:ascii="Arial" w:cs="Arial" w:eastAsia="Arial" w:hAnsi="Arial"/>
                <w:sz w:val="20"/>
                <w:szCs w:val="20"/>
                <w:b w:val="1"/>
                <w:bCs w:val="1"/>
                <w:color w:val="auto"/>
                <w:w w:val="88"/>
              </w:rPr>
              <w:t>Rentable Square Foot</w:t>
            </w:r>
          </w:p>
        </w:tc>
        <w:tc>
          <w:tcPr>
            <w:tcW w:w="200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Per Rentable Square</w:t>
            </w:r>
          </w:p>
        </w:tc>
        <w:tc>
          <w:tcPr>
            <w:tcW w:w="1260" w:type="dxa"/>
            <w:vAlign w:val="bottom"/>
          </w:tcPr>
          <w:p>
            <w:pPr>
              <w:jc w:val="center"/>
              <w:ind w:left="121"/>
              <w:spacing w:after="0"/>
              <w:rPr>
                <w:sz w:val="20"/>
                <w:szCs w:val="20"/>
                <w:color w:val="auto"/>
              </w:rPr>
            </w:pPr>
            <w:r>
              <w:rPr>
                <w:rFonts w:ascii="Arial" w:cs="Arial" w:eastAsia="Arial" w:hAnsi="Arial"/>
                <w:sz w:val="20"/>
                <w:szCs w:val="20"/>
                <w:b w:val="1"/>
                <w:bCs w:val="1"/>
                <w:color w:val="auto"/>
                <w:w w:val="90"/>
              </w:rPr>
              <w:t>Installment</w:t>
            </w:r>
          </w:p>
        </w:tc>
      </w:tr>
      <w:tr>
        <w:trPr>
          <w:trHeight w:val="230"/>
        </w:trPr>
        <w:tc>
          <w:tcPr>
            <w:tcW w:w="2300" w:type="dxa"/>
            <w:vAlign w:val="bottom"/>
          </w:tcPr>
          <w:p>
            <w:pPr>
              <w:jc w:val="center"/>
              <w:ind w:left="581"/>
              <w:spacing w:after="0"/>
              <w:rPr>
                <w:sz w:val="20"/>
                <w:szCs w:val="20"/>
                <w:color w:val="auto"/>
              </w:rPr>
            </w:pPr>
            <w:r>
              <w:rPr>
                <w:rFonts w:ascii="Arial" w:cs="Arial" w:eastAsia="Arial" w:hAnsi="Arial"/>
                <w:sz w:val="20"/>
                <w:szCs w:val="20"/>
                <w:b w:val="1"/>
                <w:bCs w:val="1"/>
                <w:color w:val="auto"/>
                <w:w w:val="93"/>
              </w:rPr>
              <w:t>Term</w:t>
            </w:r>
          </w:p>
        </w:tc>
        <w:tc>
          <w:tcPr>
            <w:tcW w:w="4020" w:type="dxa"/>
            <w:vAlign w:val="bottom"/>
            <w:gridSpan w:val="2"/>
          </w:tcPr>
          <w:p>
            <w:pPr>
              <w:ind w:left="40"/>
              <w:spacing w:after="0"/>
              <w:rPr>
                <w:sz w:val="20"/>
                <w:szCs w:val="20"/>
                <w:color w:val="auto"/>
              </w:rPr>
            </w:pPr>
            <w:r>
              <w:rPr>
                <w:rFonts w:ascii="Arial" w:cs="Arial" w:eastAsia="Arial" w:hAnsi="Arial"/>
                <w:sz w:val="20"/>
                <w:szCs w:val="20"/>
                <w:b w:val="1"/>
                <w:bCs w:val="1"/>
                <w:color w:val="auto"/>
                <w:w w:val="93"/>
              </w:rPr>
              <w:t>(rounded to the nearest Foot (rounded to the</w:t>
            </w:r>
          </w:p>
        </w:tc>
        <w:tc>
          <w:tcPr>
            <w:tcW w:w="1260" w:type="dxa"/>
            <w:vAlign w:val="bottom"/>
          </w:tcPr>
          <w:p>
            <w:pPr>
              <w:jc w:val="center"/>
              <w:ind w:left="101"/>
              <w:spacing w:after="0"/>
              <w:rPr>
                <w:sz w:val="20"/>
                <w:szCs w:val="20"/>
                <w:color w:val="auto"/>
              </w:rPr>
            </w:pPr>
            <w:r>
              <w:rPr>
                <w:rFonts w:ascii="Arial" w:cs="Arial" w:eastAsia="Arial" w:hAnsi="Arial"/>
                <w:sz w:val="20"/>
                <w:szCs w:val="20"/>
                <w:b w:val="1"/>
                <w:bCs w:val="1"/>
                <w:color w:val="auto"/>
                <w:w w:val="86"/>
              </w:rPr>
              <w:t>of Base Rent</w:t>
            </w:r>
          </w:p>
        </w:tc>
      </w:tr>
      <w:tr>
        <w:trPr>
          <w:trHeight w:val="229"/>
        </w:trPr>
        <w:tc>
          <w:tcPr>
            <w:tcW w:w="23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20"/>
                <w:szCs w:val="20"/>
                <w:b w:val="1"/>
                <w:bCs w:val="1"/>
                <w:color w:val="auto"/>
                <w:w w:val="91"/>
              </w:rPr>
              <w:t>100th of a dollar)</w:t>
            </w:r>
          </w:p>
        </w:tc>
        <w:tc>
          <w:tcPr>
            <w:tcW w:w="2000" w:type="dxa"/>
            <w:vAlign w:val="bottom"/>
          </w:tcPr>
          <w:p>
            <w:pPr>
              <w:jc w:val="center"/>
              <w:ind w:right="41"/>
              <w:spacing w:after="0"/>
              <w:rPr>
                <w:sz w:val="20"/>
                <w:szCs w:val="20"/>
                <w:color w:val="auto"/>
              </w:rPr>
            </w:pPr>
            <w:r>
              <w:rPr>
                <w:rFonts w:ascii="Arial" w:cs="Arial" w:eastAsia="Arial" w:hAnsi="Arial"/>
                <w:sz w:val="20"/>
                <w:szCs w:val="20"/>
                <w:b w:val="1"/>
                <w:bCs w:val="1"/>
                <w:color w:val="auto"/>
                <w:w w:val="88"/>
              </w:rPr>
              <w:t>nearest 100th of a</w:t>
            </w:r>
          </w:p>
        </w:tc>
        <w:tc>
          <w:tcPr>
            <w:tcW w:w="1260" w:type="dxa"/>
            <w:vAlign w:val="bottom"/>
          </w:tcPr>
          <w:p>
            <w:pPr>
              <w:spacing w:after="0"/>
              <w:rPr>
                <w:sz w:val="19"/>
                <w:szCs w:val="19"/>
                <w:color w:val="auto"/>
              </w:rPr>
            </w:pPr>
          </w:p>
        </w:tc>
      </w:tr>
      <w:tr>
        <w:trPr>
          <w:trHeight w:val="256"/>
        </w:trPr>
        <w:tc>
          <w:tcPr>
            <w:tcW w:w="2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000" w:type="dxa"/>
            <w:vAlign w:val="bottom"/>
          </w:tcPr>
          <w:p>
            <w:pPr>
              <w:jc w:val="center"/>
              <w:ind w:right="41"/>
              <w:spacing w:after="0"/>
              <w:rPr>
                <w:sz w:val="20"/>
                <w:szCs w:val="20"/>
                <w:color w:val="auto"/>
              </w:rPr>
            </w:pPr>
            <w:r>
              <w:rPr>
                <w:rFonts w:ascii="Arial" w:cs="Arial" w:eastAsia="Arial" w:hAnsi="Arial"/>
                <w:sz w:val="20"/>
                <w:szCs w:val="20"/>
                <w:b w:val="1"/>
                <w:bCs w:val="1"/>
                <w:color w:val="auto"/>
                <w:w w:val="94"/>
              </w:rPr>
              <w:t>dollar)</w:t>
            </w:r>
          </w:p>
        </w:tc>
        <w:tc>
          <w:tcPr>
            <w:tcW w:w="1260" w:type="dxa"/>
            <w:vAlign w:val="bottom"/>
          </w:tcPr>
          <w:p>
            <w:pPr>
              <w:spacing w:after="0"/>
              <w:rPr>
                <w:sz w:val="22"/>
                <w:szCs w:val="22"/>
                <w:color w:val="auto"/>
              </w:rPr>
            </w:pPr>
          </w:p>
        </w:tc>
      </w:tr>
      <w:tr>
        <w:trPr>
          <w:trHeight w:val="425"/>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88"/>
              </w:rPr>
              <w:t>Commencement</w:t>
            </w:r>
          </w:p>
        </w:tc>
        <w:tc>
          <w:tcPr>
            <w:tcW w:w="2020" w:type="dxa"/>
            <w:vAlign w:val="bottom"/>
          </w:tcPr>
          <w:p>
            <w:pPr>
              <w:jc w:val="center"/>
              <w:spacing w:after="0"/>
              <w:rPr>
                <w:sz w:val="20"/>
                <w:szCs w:val="20"/>
                <w:color w:val="auto"/>
              </w:rPr>
            </w:pPr>
            <w:r>
              <w:rPr>
                <w:rFonts w:ascii="Arial" w:cs="Arial" w:eastAsia="Arial" w:hAnsi="Arial"/>
                <w:sz w:val="20"/>
                <w:szCs w:val="20"/>
                <w:color w:val="auto"/>
                <w:w w:val="88"/>
              </w:rPr>
              <w:t>$75.00</w:t>
            </w:r>
          </w:p>
        </w:tc>
        <w:tc>
          <w:tcPr>
            <w:tcW w:w="2000" w:type="dxa"/>
            <w:vAlign w:val="bottom"/>
          </w:tcPr>
          <w:p>
            <w:pPr>
              <w:jc w:val="center"/>
              <w:ind w:right="41"/>
              <w:spacing w:after="0"/>
              <w:rPr>
                <w:sz w:val="20"/>
                <w:szCs w:val="20"/>
                <w:color w:val="auto"/>
              </w:rPr>
            </w:pPr>
            <w:r>
              <w:rPr>
                <w:rFonts w:ascii="Arial" w:cs="Arial" w:eastAsia="Arial" w:hAnsi="Arial"/>
                <w:sz w:val="20"/>
                <w:szCs w:val="20"/>
                <w:color w:val="auto"/>
                <w:w w:val="91"/>
              </w:rPr>
              <w:t>$6.25</w:t>
            </w:r>
          </w:p>
        </w:tc>
        <w:tc>
          <w:tcPr>
            <w:tcW w:w="1260" w:type="dxa"/>
            <w:vAlign w:val="bottom"/>
          </w:tcPr>
          <w:p>
            <w:pPr>
              <w:jc w:val="center"/>
              <w:ind w:left="121"/>
              <w:spacing w:after="0"/>
              <w:rPr>
                <w:sz w:val="20"/>
                <w:szCs w:val="20"/>
                <w:color w:val="auto"/>
              </w:rPr>
            </w:pPr>
            <w:r>
              <w:rPr>
                <w:rFonts w:ascii="Arial" w:cs="Arial" w:eastAsia="Arial" w:hAnsi="Arial"/>
                <w:sz w:val="20"/>
                <w:szCs w:val="20"/>
                <w:color w:val="auto"/>
                <w:w w:val="87"/>
              </w:rPr>
              <w:t>$39,800.00</w:t>
            </w:r>
          </w:p>
        </w:tc>
      </w:tr>
      <w:tr>
        <w:trPr>
          <w:trHeight w:val="229"/>
        </w:trPr>
        <w:tc>
          <w:tcPr>
            <w:tcW w:w="2300" w:type="dxa"/>
            <w:vAlign w:val="bottom"/>
          </w:tcPr>
          <w:p>
            <w:pPr>
              <w:jc w:val="center"/>
              <w:ind w:left="601"/>
              <w:spacing w:after="0"/>
              <w:rPr>
                <w:sz w:val="20"/>
                <w:szCs w:val="20"/>
                <w:color w:val="auto"/>
              </w:rPr>
            </w:pPr>
            <w:r>
              <w:rPr>
                <w:rFonts w:ascii="Arial" w:cs="Arial" w:eastAsia="Arial" w:hAnsi="Arial"/>
                <w:sz w:val="20"/>
                <w:szCs w:val="20"/>
                <w:color w:val="auto"/>
                <w:w w:val="89"/>
              </w:rPr>
              <w:t>Date through last</w:t>
            </w:r>
          </w:p>
        </w:tc>
        <w:tc>
          <w:tcPr>
            <w:tcW w:w="2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94"/>
              </w:rPr>
              <w:t>day of 3rd full</w:t>
            </w:r>
          </w:p>
        </w:tc>
        <w:tc>
          <w:tcPr>
            <w:tcW w:w="2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2300" w:type="dxa"/>
            <w:vAlign w:val="bottom"/>
          </w:tcPr>
          <w:p>
            <w:pPr>
              <w:jc w:val="center"/>
              <w:ind w:left="601"/>
              <w:spacing w:after="0"/>
              <w:rPr>
                <w:sz w:val="20"/>
                <w:szCs w:val="20"/>
                <w:color w:val="auto"/>
              </w:rPr>
            </w:pPr>
            <w:r>
              <w:rPr>
                <w:rFonts w:ascii="Arial" w:cs="Arial" w:eastAsia="Arial" w:hAnsi="Arial"/>
                <w:sz w:val="20"/>
                <w:szCs w:val="20"/>
                <w:color w:val="auto"/>
                <w:w w:val="89"/>
              </w:rPr>
              <w:t>calendar month of</w:t>
            </w:r>
          </w:p>
        </w:tc>
        <w:tc>
          <w:tcPr>
            <w:tcW w:w="2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89"/>
              </w:rPr>
              <w:t>Term</w:t>
            </w:r>
          </w:p>
        </w:tc>
        <w:tc>
          <w:tcPr>
            <w:tcW w:w="20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25"/>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92"/>
              </w:rPr>
              <w:t>4th through 7th full</w:t>
            </w:r>
          </w:p>
        </w:tc>
        <w:tc>
          <w:tcPr>
            <w:tcW w:w="2020" w:type="dxa"/>
            <w:vAlign w:val="bottom"/>
          </w:tcPr>
          <w:p>
            <w:pPr>
              <w:jc w:val="center"/>
              <w:spacing w:after="0"/>
              <w:rPr>
                <w:sz w:val="20"/>
                <w:szCs w:val="20"/>
                <w:color w:val="auto"/>
              </w:rPr>
            </w:pPr>
            <w:r>
              <w:rPr>
                <w:rFonts w:ascii="Arial" w:cs="Arial" w:eastAsia="Arial" w:hAnsi="Arial"/>
                <w:sz w:val="20"/>
                <w:szCs w:val="20"/>
                <w:color w:val="auto"/>
                <w:w w:val="88"/>
              </w:rPr>
              <w:t>$63.00</w:t>
            </w:r>
          </w:p>
        </w:tc>
        <w:tc>
          <w:tcPr>
            <w:tcW w:w="2000" w:type="dxa"/>
            <w:vAlign w:val="bottom"/>
          </w:tcPr>
          <w:p>
            <w:pPr>
              <w:jc w:val="center"/>
              <w:ind w:right="41"/>
              <w:spacing w:after="0"/>
              <w:rPr>
                <w:sz w:val="20"/>
                <w:szCs w:val="20"/>
                <w:color w:val="auto"/>
              </w:rPr>
            </w:pPr>
            <w:r>
              <w:rPr>
                <w:rFonts w:ascii="Arial" w:cs="Arial" w:eastAsia="Arial" w:hAnsi="Arial"/>
                <w:sz w:val="20"/>
                <w:szCs w:val="20"/>
                <w:color w:val="auto"/>
                <w:w w:val="91"/>
              </w:rPr>
              <w:t>$5.25</w:t>
            </w:r>
          </w:p>
        </w:tc>
        <w:tc>
          <w:tcPr>
            <w:tcW w:w="1260" w:type="dxa"/>
            <w:vAlign w:val="bottom"/>
          </w:tcPr>
          <w:p>
            <w:pPr>
              <w:jc w:val="center"/>
              <w:ind w:left="121"/>
              <w:spacing w:after="0"/>
              <w:rPr>
                <w:sz w:val="20"/>
                <w:szCs w:val="20"/>
                <w:color w:val="auto"/>
              </w:rPr>
            </w:pPr>
            <w:r>
              <w:rPr>
                <w:rFonts w:ascii="Arial" w:cs="Arial" w:eastAsia="Arial" w:hAnsi="Arial"/>
                <w:sz w:val="20"/>
                <w:szCs w:val="20"/>
                <w:color w:val="auto"/>
                <w:w w:val="87"/>
              </w:rPr>
              <w:t>$33,432.00</w:t>
            </w:r>
          </w:p>
        </w:tc>
      </w:tr>
      <w:tr>
        <w:trPr>
          <w:trHeight w:val="229"/>
        </w:trPr>
        <w:tc>
          <w:tcPr>
            <w:tcW w:w="2300" w:type="dxa"/>
            <w:vAlign w:val="bottom"/>
          </w:tcPr>
          <w:p>
            <w:pPr>
              <w:jc w:val="center"/>
              <w:ind w:left="601"/>
              <w:spacing w:after="0"/>
              <w:rPr>
                <w:sz w:val="20"/>
                <w:szCs w:val="20"/>
                <w:color w:val="auto"/>
              </w:rPr>
            </w:pPr>
            <w:r>
              <w:rPr>
                <w:rFonts w:ascii="Arial" w:cs="Arial" w:eastAsia="Arial" w:hAnsi="Arial"/>
                <w:sz w:val="20"/>
                <w:szCs w:val="20"/>
                <w:color w:val="auto"/>
                <w:w w:val="89"/>
              </w:rPr>
              <w:t>calendar months of</w:t>
            </w:r>
          </w:p>
        </w:tc>
        <w:tc>
          <w:tcPr>
            <w:tcW w:w="2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89"/>
              </w:rPr>
              <w:t>Term</w:t>
            </w:r>
          </w:p>
        </w:tc>
        <w:tc>
          <w:tcPr>
            <w:tcW w:w="20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25"/>
        </w:trPr>
        <w:tc>
          <w:tcPr>
            <w:tcW w:w="2300" w:type="dxa"/>
            <w:vAlign w:val="bottom"/>
          </w:tcPr>
          <w:p>
            <w:pPr>
              <w:jc w:val="center"/>
              <w:ind w:left="601"/>
              <w:spacing w:after="0"/>
              <w:rPr>
                <w:sz w:val="20"/>
                <w:szCs w:val="20"/>
                <w:color w:val="auto"/>
              </w:rPr>
            </w:pPr>
            <w:r>
              <w:rPr>
                <w:rFonts w:ascii="Arial" w:cs="Arial" w:eastAsia="Arial" w:hAnsi="Arial"/>
                <w:sz w:val="20"/>
                <w:szCs w:val="20"/>
                <w:color w:val="auto"/>
                <w:w w:val="90"/>
              </w:rPr>
              <w:t>8th through 10th</w:t>
            </w:r>
          </w:p>
        </w:tc>
        <w:tc>
          <w:tcPr>
            <w:tcW w:w="2020" w:type="dxa"/>
            <w:vAlign w:val="bottom"/>
          </w:tcPr>
          <w:p>
            <w:pPr>
              <w:jc w:val="center"/>
              <w:spacing w:after="0"/>
              <w:rPr>
                <w:sz w:val="20"/>
                <w:szCs w:val="20"/>
                <w:color w:val="auto"/>
              </w:rPr>
            </w:pPr>
            <w:r>
              <w:rPr>
                <w:rFonts w:ascii="Arial" w:cs="Arial" w:eastAsia="Arial" w:hAnsi="Arial"/>
                <w:sz w:val="20"/>
                <w:szCs w:val="20"/>
                <w:color w:val="auto"/>
                <w:w w:val="88"/>
              </w:rPr>
              <w:t>$36.00</w:t>
            </w:r>
          </w:p>
        </w:tc>
        <w:tc>
          <w:tcPr>
            <w:tcW w:w="2000" w:type="dxa"/>
            <w:vAlign w:val="bottom"/>
          </w:tcPr>
          <w:p>
            <w:pPr>
              <w:jc w:val="center"/>
              <w:ind w:right="41"/>
              <w:spacing w:after="0"/>
              <w:rPr>
                <w:sz w:val="20"/>
                <w:szCs w:val="20"/>
                <w:color w:val="auto"/>
              </w:rPr>
            </w:pPr>
            <w:r>
              <w:rPr>
                <w:rFonts w:ascii="Arial" w:cs="Arial" w:eastAsia="Arial" w:hAnsi="Arial"/>
                <w:sz w:val="20"/>
                <w:szCs w:val="20"/>
                <w:color w:val="auto"/>
                <w:w w:val="91"/>
              </w:rPr>
              <w:t>$3.00</w:t>
            </w:r>
          </w:p>
        </w:tc>
        <w:tc>
          <w:tcPr>
            <w:tcW w:w="1260" w:type="dxa"/>
            <w:vAlign w:val="bottom"/>
          </w:tcPr>
          <w:p>
            <w:pPr>
              <w:jc w:val="center"/>
              <w:ind w:left="121"/>
              <w:spacing w:after="0"/>
              <w:rPr>
                <w:sz w:val="20"/>
                <w:szCs w:val="20"/>
                <w:color w:val="auto"/>
              </w:rPr>
            </w:pPr>
            <w:r>
              <w:rPr>
                <w:rFonts w:ascii="Arial" w:cs="Arial" w:eastAsia="Arial" w:hAnsi="Arial"/>
                <w:sz w:val="20"/>
                <w:szCs w:val="20"/>
                <w:color w:val="auto"/>
                <w:w w:val="87"/>
              </w:rPr>
              <w:t>$19,104.00</w:t>
            </w:r>
          </w:p>
        </w:tc>
      </w:tr>
      <w:tr>
        <w:trPr>
          <w:trHeight w:val="230"/>
        </w:trPr>
        <w:tc>
          <w:tcPr>
            <w:tcW w:w="2300" w:type="dxa"/>
            <w:vAlign w:val="bottom"/>
          </w:tcPr>
          <w:p>
            <w:pPr>
              <w:jc w:val="center"/>
              <w:ind w:left="601"/>
              <w:spacing w:after="0"/>
              <w:rPr>
                <w:sz w:val="20"/>
                <w:szCs w:val="20"/>
                <w:color w:val="auto"/>
              </w:rPr>
            </w:pPr>
            <w:r>
              <w:rPr>
                <w:rFonts w:ascii="Arial" w:cs="Arial" w:eastAsia="Arial" w:hAnsi="Arial"/>
                <w:sz w:val="20"/>
                <w:szCs w:val="20"/>
                <w:color w:val="auto"/>
                <w:w w:val="92"/>
              </w:rPr>
              <w:t>full calendar</w:t>
            </w:r>
          </w:p>
        </w:tc>
        <w:tc>
          <w:tcPr>
            <w:tcW w:w="2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89"/>
              </w:rPr>
              <w:t>months of Term</w:t>
            </w:r>
          </w:p>
        </w:tc>
        <w:tc>
          <w:tcPr>
            <w:tcW w:w="20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25"/>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90"/>
              </w:rPr>
              <w:t>11th through 12th</w:t>
            </w:r>
          </w:p>
        </w:tc>
        <w:tc>
          <w:tcPr>
            <w:tcW w:w="2020" w:type="dxa"/>
            <w:vAlign w:val="bottom"/>
          </w:tcPr>
          <w:p>
            <w:pPr>
              <w:jc w:val="center"/>
              <w:spacing w:after="0"/>
              <w:rPr>
                <w:sz w:val="20"/>
                <w:szCs w:val="20"/>
                <w:color w:val="auto"/>
              </w:rPr>
            </w:pPr>
            <w:r>
              <w:rPr>
                <w:rFonts w:ascii="Arial" w:cs="Arial" w:eastAsia="Arial" w:hAnsi="Arial"/>
                <w:sz w:val="20"/>
                <w:szCs w:val="20"/>
                <w:color w:val="auto"/>
                <w:w w:val="88"/>
              </w:rPr>
              <w:t>$48.00</w:t>
            </w:r>
          </w:p>
        </w:tc>
        <w:tc>
          <w:tcPr>
            <w:tcW w:w="2000" w:type="dxa"/>
            <w:vAlign w:val="bottom"/>
          </w:tcPr>
          <w:p>
            <w:pPr>
              <w:jc w:val="center"/>
              <w:ind w:right="41"/>
              <w:spacing w:after="0"/>
              <w:rPr>
                <w:sz w:val="20"/>
                <w:szCs w:val="20"/>
                <w:color w:val="auto"/>
              </w:rPr>
            </w:pPr>
            <w:r>
              <w:rPr>
                <w:rFonts w:ascii="Arial" w:cs="Arial" w:eastAsia="Arial" w:hAnsi="Arial"/>
                <w:sz w:val="20"/>
                <w:szCs w:val="20"/>
                <w:color w:val="auto"/>
                <w:w w:val="91"/>
              </w:rPr>
              <w:t>$4.00</w:t>
            </w:r>
          </w:p>
        </w:tc>
        <w:tc>
          <w:tcPr>
            <w:tcW w:w="1260" w:type="dxa"/>
            <w:vAlign w:val="bottom"/>
          </w:tcPr>
          <w:p>
            <w:pPr>
              <w:jc w:val="center"/>
              <w:ind w:left="121"/>
              <w:spacing w:after="0"/>
              <w:rPr>
                <w:sz w:val="20"/>
                <w:szCs w:val="20"/>
                <w:color w:val="auto"/>
              </w:rPr>
            </w:pPr>
            <w:r>
              <w:rPr>
                <w:rFonts w:ascii="Arial" w:cs="Arial" w:eastAsia="Arial" w:hAnsi="Arial"/>
                <w:sz w:val="20"/>
                <w:szCs w:val="20"/>
                <w:color w:val="auto"/>
                <w:w w:val="87"/>
              </w:rPr>
              <w:t>$25,472.00</w:t>
            </w:r>
          </w:p>
        </w:tc>
      </w:tr>
      <w:tr>
        <w:trPr>
          <w:trHeight w:val="229"/>
        </w:trPr>
        <w:tc>
          <w:tcPr>
            <w:tcW w:w="2300" w:type="dxa"/>
            <w:vAlign w:val="bottom"/>
          </w:tcPr>
          <w:p>
            <w:pPr>
              <w:jc w:val="center"/>
              <w:ind w:left="601"/>
              <w:spacing w:after="0"/>
              <w:rPr>
                <w:sz w:val="20"/>
                <w:szCs w:val="20"/>
                <w:color w:val="auto"/>
              </w:rPr>
            </w:pPr>
            <w:r>
              <w:rPr>
                <w:rFonts w:ascii="Arial" w:cs="Arial" w:eastAsia="Arial" w:hAnsi="Arial"/>
                <w:sz w:val="20"/>
                <w:szCs w:val="20"/>
                <w:color w:val="auto"/>
                <w:w w:val="92"/>
              </w:rPr>
              <w:t>full calendar</w:t>
            </w:r>
          </w:p>
        </w:tc>
        <w:tc>
          <w:tcPr>
            <w:tcW w:w="2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89"/>
              </w:rPr>
              <w:t>months of Term</w:t>
            </w:r>
          </w:p>
        </w:tc>
        <w:tc>
          <w:tcPr>
            <w:tcW w:w="20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25"/>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90"/>
              </w:rPr>
              <w:t>13th through 19th</w:t>
            </w:r>
          </w:p>
        </w:tc>
        <w:tc>
          <w:tcPr>
            <w:tcW w:w="2020" w:type="dxa"/>
            <w:vAlign w:val="bottom"/>
          </w:tcPr>
          <w:p>
            <w:pPr>
              <w:jc w:val="center"/>
              <w:spacing w:after="0"/>
              <w:rPr>
                <w:sz w:val="20"/>
                <w:szCs w:val="20"/>
                <w:color w:val="auto"/>
              </w:rPr>
            </w:pPr>
            <w:r>
              <w:rPr>
                <w:rFonts w:ascii="Arial" w:cs="Arial" w:eastAsia="Arial" w:hAnsi="Arial"/>
                <w:sz w:val="20"/>
                <w:szCs w:val="20"/>
                <w:color w:val="auto"/>
                <w:w w:val="88"/>
              </w:rPr>
              <w:t>$66.00</w:t>
            </w:r>
          </w:p>
        </w:tc>
        <w:tc>
          <w:tcPr>
            <w:tcW w:w="2000" w:type="dxa"/>
            <w:vAlign w:val="bottom"/>
          </w:tcPr>
          <w:p>
            <w:pPr>
              <w:jc w:val="center"/>
              <w:ind w:right="41"/>
              <w:spacing w:after="0"/>
              <w:rPr>
                <w:sz w:val="20"/>
                <w:szCs w:val="20"/>
                <w:color w:val="auto"/>
              </w:rPr>
            </w:pPr>
            <w:r>
              <w:rPr>
                <w:rFonts w:ascii="Arial" w:cs="Arial" w:eastAsia="Arial" w:hAnsi="Arial"/>
                <w:sz w:val="20"/>
                <w:szCs w:val="20"/>
                <w:color w:val="auto"/>
                <w:w w:val="91"/>
              </w:rPr>
              <w:t>$5.50</w:t>
            </w:r>
          </w:p>
        </w:tc>
        <w:tc>
          <w:tcPr>
            <w:tcW w:w="1260" w:type="dxa"/>
            <w:vAlign w:val="bottom"/>
          </w:tcPr>
          <w:p>
            <w:pPr>
              <w:jc w:val="center"/>
              <w:ind w:left="121"/>
              <w:spacing w:after="0"/>
              <w:rPr>
                <w:sz w:val="20"/>
                <w:szCs w:val="20"/>
                <w:color w:val="auto"/>
              </w:rPr>
            </w:pPr>
            <w:r>
              <w:rPr>
                <w:rFonts w:ascii="Arial" w:cs="Arial" w:eastAsia="Arial" w:hAnsi="Arial"/>
                <w:sz w:val="20"/>
                <w:szCs w:val="20"/>
                <w:color w:val="auto"/>
                <w:w w:val="87"/>
              </w:rPr>
              <w:t>$35,024.00</w:t>
            </w:r>
          </w:p>
        </w:tc>
      </w:tr>
      <w:tr>
        <w:trPr>
          <w:trHeight w:val="230"/>
        </w:trPr>
        <w:tc>
          <w:tcPr>
            <w:tcW w:w="2300" w:type="dxa"/>
            <w:vAlign w:val="bottom"/>
          </w:tcPr>
          <w:p>
            <w:pPr>
              <w:jc w:val="center"/>
              <w:ind w:left="601"/>
              <w:spacing w:after="0"/>
              <w:rPr>
                <w:sz w:val="20"/>
                <w:szCs w:val="20"/>
                <w:color w:val="auto"/>
              </w:rPr>
            </w:pPr>
            <w:r>
              <w:rPr>
                <w:rFonts w:ascii="Arial" w:cs="Arial" w:eastAsia="Arial" w:hAnsi="Arial"/>
                <w:sz w:val="20"/>
                <w:szCs w:val="20"/>
                <w:color w:val="auto"/>
                <w:w w:val="92"/>
              </w:rPr>
              <w:t>full calendar</w:t>
            </w:r>
          </w:p>
        </w:tc>
        <w:tc>
          <w:tcPr>
            <w:tcW w:w="2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89"/>
              </w:rPr>
              <w:t>months of Term</w:t>
            </w:r>
          </w:p>
        </w:tc>
        <w:tc>
          <w:tcPr>
            <w:tcW w:w="20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25"/>
        </w:trPr>
        <w:tc>
          <w:tcPr>
            <w:tcW w:w="2300" w:type="dxa"/>
            <w:vAlign w:val="bottom"/>
          </w:tcPr>
          <w:p>
            <w:pPr>
              <w:jc w:val="center"/>
              <w:ind w:left="601"/>
              <w:spacing w:after="0"/>
              <w:rPr>
                <w:sz w:val="20"/>
                <w:szCs w:val="20"/>
                <w:color w:val="auto"/>
              </w:rPr>
            </w:pPr>
            <w:r>
              <w:rPr>
                <w:rFonts w:ascii="Arial" w:cs="Arial" w:eastAsia="Arial" w:hAnsi="Arial"/>
                <w:sz w:val="20"/>
                <w:szCs w:val="20"/>
                <w:color w:val="auto"/>
                <w:w w:val="91"/>
              </w:rPr>
              <w:t>20th full calendar</w:t>
            </w:r>
          </w:p>
        </w:tc>
        <w:tc>
          <w:tcPr>
            <w:tcW w:w="2020" w:type="dxa"/>
            <w:vAlign w:val="bottom"/>
          </w:tcPr>
          <w:p>
            <w:pPr>
              <w:jc w:val="center"/>
              <w:spacing w:after="0"/>
              <w:rPr>
                <w:sz w:val="20"/>
                <w:szCs w:val="20"/>
                <w:color w:val="auto"/>
              </w:rPr>
            </w:pPr>
            <w:r>
              <w:rPr>
                <w:rFonts w:ascii="Arial" w:cs="Arial" w:eastAsia="Arial" w:hAnsi="Arial"/>
                <w:sz w:val="20"/>
                <w:szCs w:val="20"/>
                <w:color w:val="auto"/>
                <w:w w:val="88"/>
              </w:rPr>
              <w:t>$37.50</w:t>
            </w:r>
          </w:p>
        </w:tc>
        <w:tc>
          <w:tcPr>
            <w:tcW w:w="2000" w:type="dxa"/>
            <w:vAlign w:val="bottom"/>
          </w:tcPr>
          <w:p>
            <w:pPr>
              <w:jc w:val="center"/>
              <w:ind w:right="41"/>
              <w:spacing w:after="0"/>
              <w:rPr>
                <w:sz w:val="20"/>
                <w:szCs w:val="20"/>
                <w:color w:val="auto"/>
              </w:rPr>
            </w:pPr>
            <w:r>
              <w:rPr>
                <w:rFonts w:ascii="Arial" w:cs="Arial" w:eastAsia="Arial" w:hAnsi="Arial"/>
                <w:sz w:val="20"/>
                <w:szCs w:val="20"/>
                <w:color w:val="auto"/>
                <w:w w:val="91"/>
              </w:rPr>
              <w:t>$3.13</w:t>
            </w:r>
          </w:p>
        </w:tc>
        <w:tc>
          <w:tcPr>
            <w:tcW w:w="1260" w:type="dxa"/>
            <w:vAlign w:val="bottom"/>
          </w:tcPr>
          <w:p>
            <w:pPr>
              <w:jc w:val="center"/>
              <w:ind w:left="121"/>
              <w:spacing w:after="0"/>
              <w:rPr>
                <w:sz w:val="20"/>
                <w:szCs w:val="20"/>
                <w:color w:val="auto"/>
              </w:rPr>
            </w:pPr>
            <w:r>
              <w:rPr>
                <w:rFonts w:ascii="Arial" w:cs="Arial" w:eastAsia="Arial" w:hAnsi="Arial"/>
                <w:sz w:val="20"/>
                <w:szCs w:val="20"/>
                <w:color w:val="auto"/>
                <w:w w:val="87"/>
              </w:rPr>
              <w:t>$19,900.00</w:t>
            </w:r>
          </w:p>
        </w:tc>
      </w:tr>
      <w:tr>
        <w:trPr>
          <w:trHeight w:val="250"/>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90"/>
              </w:rPr>
              <w:t>month of Term</w:t>
            </w:r>
          </w:p>
        </w:tc>
        <w:tc>
          <w:tcPr>
            <w:tcW w:w="20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25"/>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91"/>
              </w:rPr>
              <w:t>21st full calendar</w:t>
            </w:r>
          </w:p>
        </w:tc>
        <w:tc>
          <w:tcPr>
            <w:tcW w:w="2020" w:type="dxa"/>
            <w:vAlign w:val="bottom"/>
          </w:tcPr>
          <w:p>
            <w:pPr>
              <w:jc w:val="center"/>
              <w:spacing w:after="0"/>
              <w:rPr>
                <w:sz w:val="20"/>
                <w:szCs w:val="20"/>
                <w:color w:val="auto"/>
              </w:rPr>
            </w:pPr>
            <w:r>
              <w:rPr>
                <w:rFonts w:ascii="Arial" w:cs="Arial" w:eastAsia="Arial" w:hAnsi="Arial"/>
                <w:sz w:val="20"/>
                <w:szCs w:val="20"/>
                <w:color w:val="auto"/>
                <w:w w:val="88"/>
              </w:rPr>
              <w:t>$75.00</w:t>
            </w:r>
          </w:p>
        </w:tc>
        <w:tc>
          <w:tcPr>
            <w:tcW w:w="2000" w:type="dxa"/>
            <w:vAlign w:val="bottom"/>
          </w:tcPr>
          <w:p>
            <w:pPr>
              <w:jc w:val="center"/>
              <w:ind w:right="41"/>
              <w:spacing w:after="0"/>
              <w:rPr>
                <w:sz w:val="20"/>
                <w:szCs w:val="20"/>
                <w:color w:val="auto"/>
              </w:rPr>
            </w:pPr>
            <w:r>
              <w:rPr>
                <w:rFonts w:ascii="Arial" w:cs="Arial" w:eastAsia="Arial" w:hAnsi="Arial"/>
                <w:sz w:val="20"/>
                <w:szCs w:val="20"/>
                <w:color w:val="auto"/>
                <w:w w:val="91"/>
              </w:rPr>
              <w:t>$6.25</w:t>
            </w:r>
          </w:p>
        </w:tc>
        <w:tc>
          <w:tcPr>
            <w:tcW w:w="1260" w:type="dxa"/>
            <w:vAlign w:val="bottom"/>
          </w:tcPr>
          <w:p>
            <w:pPr>
              <w:jc w:val="center"/>
              <w:ind w:left="121"/>
              <w:spacing w:after="0"/>
              <w:rPr>
                <w:sz w:val="20"/>
                <w:szCs w:val="20"/>
                <w:color w:val="auto"/>
              </w:rPr>
            </w:pPr>
            <w:r>
              <w:rPr>
                <w:rFonts w:ascii="Arial" w:cs="Arial" w:eastAsia="Arial" w:hAnsi="Arial"/>
                <w:sz w:val="20"/>
                <w:szCs w:val="20"/>
                <w:color w:val="auto"/>
                <w:w w:val="87"/>
              </w:rPr>
              <w:t>$39,800.00</w:t>
            </w:r>
          </w:p>
        </w:tc>
      </w:tr>
      <w:tr>
        <w:trPr>
          <w:trHeight w:val="229"/>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90"/>
              </w:rPr>
              <w:t>month of Term</w:t>
            </w:r>
          </w:p>
        </w:tc>
        <w:tc>
          <w:tcPr>
            <w:tcW w:w="2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92"/>
              </w:rPr>
              <w:t>through Expiration</w:t>
            </w:r>
          </w:p>
        </w:tc>
        <w:tc>
          <w:tcPr>
            <w:tcW w:w="2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2300" w:type="dxa"/>
            <w:vAlign w:val="bottom"/>
          </w:tcPr>
          <w:p>
            <w:pPr>
              <w:jc w:val="center"/>
              <w:ind w:left="581"/>
              <w:spacing w:after="0"/>
              <w:rPr>
                <w:sz w:val="20"/>
                <w:szCs w:val="20"/>
                <w:color w:val="auto"/>
              </w:rPr>
            </w:pPr>
            <w:r>
              <w:rPr>
                <w:rFonts w:ascii="Arial" w:cs="Arial" w:eastAsia="Arial" w:hAnsi="Arial"/>
                <w:sz w:val="20"/>
                <w:szCs w:val="20"/>
                <w:color w:val="auto"/>
                <w:w w:val="89"/>
              </w:rPr>
              <w:t>Date</w:t>
            </w:r>
          </w:p>
        </w:tc>
        <w:tc>
          <w:tcPr>
            <w:tcW w:w="20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09" w:lineRule="exact"/>
        <w:rPr>
          <w:sz w:val="20"/>
          <w:szCs w:val="20"/>
          <w:color w:val="auto"/>
        </w:rPr>
      </w:pPr>
    </w:p>
    <w:p>
      <w:pPr>
        <w:jc w:val="both"/>
        <w:ind w:left="760"/>
        <w:spacing w:after="0" w:line="250" w:lineRule="auto"/>
        <w:rPr>
          <w:sz w:val="20"/>
          <w:szCs w:val="20"/>
          <w:color w:val="auto"/>
        </w:rPr>
      </w:pPr>
      <w:r>
        <w:rPr>
          <w:rFonts w:ascii="Arial" w:cs="Arial" w:eastAsia="Arial" w:hAnsi="Arial"/>
          <w:sz w:val="20"/>
          <w:szCs w:val="20"/>
          <w:color w:val="auto"/>
        </w:rPr>
        <w:t>Notwithstanding the foregoing, Base Rent shall be abated (a) in the amount of $39,800.00 per month for each of the first three (3) full calendar months of the Term and (b) in the amount of $19,104.00 with respect to the eighth (8</w:t>
      </w:r>
      <w:r>
        <w:rPr>
          <w:rFonts w:ascii="Arial" w:cs="Arial" w:eastAsia="Arial" w:hAnsi="Arial"/>
          <w:sz w:val="16"/>
          <w:szCs w:val="16"/>
          <w:color w:val="auto"/>
        </w:rPr>
        <w:t>th</w:t>
      </w:r>
      <w:r>
        <w:rPr>
          <w:rFonts w:ascii="Arial" w:cs="Arial" w:eastAsia="Arial" w:hAnsi="Arial"/>
          <w:sz w:val="20"/>
          <w:szCs w:val="20"/>
          <w:color w:val="auto"/>
        </w:rPr>
        <w:t>) full calendar month of the Term.</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1.5“</w:t>
      </w:r>
      <w:r>
        <w:rPr>
          <w:rFonts w:ascii="Arial" w:cs="Arial" w:eastAsia="Arial" w:hAnsi="Arial"/>
          <w:sz w:val="20"/>
          <w:szCs w:val="20"/>
          <w:b w:val="1"/>
          <w:bCs w:val="1"/>
          <w:color w:val="auto"/>
        </w:rPr>
        <w:t>Base Year</w:t>
      </w:r>
      <w:r>
        <w:rPr>
          <w:rFonts w:ascii="Arial" w:cs="Arial" w:eastAsia="Arial" w:hAnsi="Arial"/>
          <w:sz w:val="20"/>
          <w:szCs w:val="20"/>
          <w:color w:val="auto"/>
        </w:rPr>
        <w:t>” for Expenses:</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Calendar year 2023.</w:t>
      </w:r>
    </w:p>
    <w:p>
      <w:pPr>
        <w:ind w:left="540"/>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Year</w:t>
      </w:r>
      <w:r>
        <w:rPr>
          <w:rFonts w:ascii="Arial" w:cs="Arial" w:eastAsia="Arial" w:hAnsi="Arial"/>
          <w:sz w:val="20"/>
          <w:szCs w:val="20"/>
          <w:color w:val="auto"/>
        </w:rPr>
        <w:t>” for Taxes:</w:t>
      </w:r>
    </w:p>
    <w:p>
      <w:pPr>
        <w:ind w:left="3320"/>
        <w:spacing w:after="0"/>
        <w:rPr>
          <w:sz w:val="20"/>
          <w:szCs w:val="20"/>
          <w:color w:val="auto"/>
        </w:rPr>
      </w:pPr>
      <w:r>
        <w:rPr>
          <w:rFonts w:ascii="Arial" w:cs="Arial" w:eastAsia="Arial" w:hAnsi="Arial"/>
          <w:sz w:val="20"/>
          <w:szCs w:val="20"/>
          <w:color w:val="auto"/>
        </w:rPr>
        <w:t>Calendar year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549" w:right="5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5"/>
        </w:trPr>
        <w:tc>
          <w:tcPr>
            <w:tcW w:w="3320" w:type="dxa"/>
            <w:vAlign w:val="bottom"/>
          </w:tcPr>
          <w:p>
            <w:pPr>
              <w:ind w:left="540"/>
              <w:spacing w:after="0"/>
              <w:rPr>
                <w:sz w:val="20"/>
                <w:szCs w:val="20"/>
                <w:color w:val="auto"/>
              </w:rPr>
            </w:pPr>
            <w:r>
              <w:rPr>
                <w:rFonts w:ascii="Arial" w:cs="Arial" w:eastAsia="Arial" w:hAnsi="Arial"/>
                <w:sz w:val="20"/>
                <w:szCs w:val="20"/>
                <w:color w:val="auto"/>
              </w:rPr>
              <w:t>1.6“</w:t>
            </w:r>
            <w:r>
              <w:rPr>
                <w:rFonts w:ascii="Arial" w:cs="Arial" w:eastAsia="Arial" w:hAnsi="Arial"/>
                <w:sz w:val="20"/>
                <w:szCs w:val="20"/>
                <w:b w:val="1"/>
                <w:bCs w:val="1"/>
                <w:color w:val="auto"/>
              </w:rPr>
              <w:t>Tenant’s Share</w:t>
            </w:r>
            <w:r>
              <w:rPr>
                <w:rFonts w:ascii="Arial" w:cs="Arial" w:eastAsia="Arial" w:hAnsi="Arial"/>
                <w:sz w:val="20"/>
                <w:szCs w:val="20"/>
                <w:color w:val="auto"/>
              </w:rPr>
              <w:t>”:</w:t>
            </w:r>
          </w:p>
        </w:tc>
        <w:tc>
          <w:tcPr>
            <w:tcW w:w="7940" w:type="dxa"/>
            <w:vAlign w:val="bottom"/>
            <w:gridSpan w:val="10"/>
          </w:tcPr>
          <w:p>
            <w:pPr>
              <w:spacing w:after="0"/>
              <w:rPr>
                <w:sz w:val="20"/>
                <w:szCs w:val="20"/>
                <w:color w:val="auto"/>
              </w:rPr>
            </w:pPr>
            <w:r>
              <w:rPr>
                <w:rFonts w:ascii="Arial" w:cs="Arial" w:eastAsia="Arial" w:hAnsi="Arial"/>
                <w:sz w:val="20"/>
                <w:szCs w:val="20"/>
                <w:color w:val="auto"/>
              </w:rPr>
              <w:t>1.9038% (based upon a total of 334,483 rentable square feet in</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the Building).</w:t>
            </w:r>
          </w:p>
        </w:tc>
        <w:tc>
          <w:tcPr>
            <w:tcW w:w="0" w:type="dxa"/>
            <w:vAlign w:val="bottom"/>
          </w:tcPr>
          <w:p>
            <w:pPr>
              <w:spacing w:after="0"/>
              <w:rPr>
                <w:sz w:val="1"/>
                <w:szCs w:val="1"/>
                <w:color w:val="auto"/>
              </w:rPr>
            </w:pPr>
          </w:p>
        </w:tc>
      </w:tr>
      <w:tr>
        <w:trPr>
          <w:trHeight w:val="425"/>
        </w:trPr>
        <w:tc>
          <w:tcPr>
            <w:tcW w:w="3320" w:type="dxa"/>
            <w:vAlign w:val="bottom"/>
          </w:tcPr>
          <w:p>
            <w:pPr>
              <w:spacing w:after="0"/>
              <w:rPr>
                <w:sz w:val="24"/>
                <w:szCs w:val="24"/>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Notwithstanding any contrary provision hereof, for purposes of</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the  definition  of  Tenant’s  Share,  the  second  sentence  of</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17"/>
                <w:szCs w:val="17"/>
                <w:color w:val="auto"/>
              </w:rPr>
            </w:pPr>
          </w:p>
        </w:tc>
        <w:tc>
          <w:tcPr>
            <w:tcW w:w="7940" w:type="dxa"/>
            <w:vAlign w:val="bottom"/>
            <w:gridSpan w:val="10"/>
          </w:tcPr>
          <w:p>
            <w:pPr>
              <w:spacing w:after="0" w:line="206" w:lineRule="exact"/>
              <w:rPr>
                <w:sz w:val="20"/>
                <w:szCs w:val="20"/>
                <w:color w:val="auto"/>
              </w:rPr>
            </w:pPr>
            <w:r>
              <w:rPr>
                <w:rFonts w:ascii="Arial" w:cs="Arial" w:eastAsia="Arial" w:hAnsi="Arial"/>
                <w:sz w:val="20"/>
                <w:szCs w:val="20"/>
                <w:color w:val="auto"/>
              </w:rPr>
              <w:t>Section  2.1.1,  and  Sections  2.2  and  4,  “Building”  means,</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320" w:type="dxa"/>
            <w:vAlign w:val="bottom"/>
          </w:tcPr>
          <w:p>
            <w:pPr>
              <w:spacing w:after="0"/>
              <w:rPr>
                <w:sz w:val="20"/>
                <w:szCs w:val="20"/>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collectively,  the  Related  Buildings  (defined  below),  and</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“Property”  means,  collectively,  the  Related  Buildings,  the</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parcel(s) of land upon which the Related Buildings are located</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and, at Landlord’s discretion, the parking facilities and other</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improvements, if any, serving the Related Buildings and the</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7940" w:type="dxa"/>
            <w:vAlign w:val="bottom"/>
            <w:gridSpan w:val="10"/>
          </w:tcPr>
          <w:p>
            <w:pPr>
              <w:spacing w:after="0" w:line="224" w:lineRule="exact"/>
              <w:rPr>
                <w:sz w:val="20"/>
                <w:szCs w:val="20"/>
                <w:color w:val="auto"/>
              </w:rPr>
            </w:pPr>
            <w:r>
              <w:rPr>
                <w:rFonts w:ascii="Arial" w:cs="Arial" w:eastAsia="Arial" w:hAnsi="Arial"/>
                <w:sz w:val="20"/>
                <w:szCs w:val="20"/>
                <w:color w:val="auto"/>
              </w:rPr>
              <w:t>parcels  of  land  upon  which  such  parking  facilities  and</w:t>
            </w: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improvements are located. As used herein, “</w:t>
            </w:r>
            <w:r>
              <w:rPr>
                <w:rFonts w:ascii="Arial" w:cs="Arial" w:eastAsia="Arial" w:hAnsi="Arial"/>
                <w:sz w:val="20"/>
                <w:szCs w:val="20"/>
                <w:b w:val="1"/>
                <w:bCs w:val="1"/>
                <w:color w:val="auto"/>
              </w:rPr>
              <w:t>Related Buildings</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means,  collectively,  the  two  (2)  buildings  located  at  201</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Redwood Shores Parkway and 203 Redwood Shores Parkway,</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Redwood City, California; provided, however, that, at Landlord’s</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option from time to time, any such building, other than the</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building(s) in which the Premises are located, may be removed</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from the Related Buildings (whether as a result of a sale or</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demolition of such building or otherwise) and any building</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owned by Landlord may be added to the Related Buildings</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(whether as a result of a purchase or development of such</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building or otherwise), in which event, effective as of the date of</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such removal or addition, Tenant’s Share, together with Expenses</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and Taxes for the Base Year, shall be recalculated accordingly.</w:t>
            </w:r>
          </w:p>
        </w:tc>
        <w:tc>
          <w:tcPr>
            <w:tcW w:w="0" w:type="dxa"/>
            <w:vAlign w:val="bottom"/>
          </w:tcPr>
          <w:p>
            <w:pPr>
              <w:spacing w:after="0"/>
              <w:rPr>
                <w:sz w:val="1"/>
                <w:szCs w:val="1"/>
                <w:color w:val="auto"/>
              </w:rPr>
            </w:pPr>
          </w:p>
        </w:tc>
      </w:tr>
      <w:tr>
        <w:trPr>
          <w:trHeight w:val="445"/>
        </w:trPr>
        <w:tc>
          <w:tcPr>
            <w:tcW w:w="3320" w:type="dxa"/>
            <w:vAlign w:val="bottom"/>
          </w:tcPr>
          <w:p>
            <w:pPr>
              <w:ind w:left="540"/>
              <w:spacing w:after="0"/>
              <w:rPr>
                <w:sz w:val="20"/>
                <w:szCs w:val="20"/>
                <w:color w:val="auto"/>
              </w:rPr>
            </w:pPr>
            <w:r>
              <w:rPr>
                <w:rFonts w:ascii="Arial" w:cs="Arial" w:eastAsia="Arial" w:hAnsi="Arial"/>
                <w:sz w:val="20"/>
                <w:szCs w:val="20"/>
                <w:color w:val="auto"/>
              </w:rPr>
              <w:t>1.7“</w:t>
            </w:r>
            <w:r>
              <w:rPr>
                <w:rFonts w:ascii="Arial" w:cs="Arial" w:eastAsia="Arial" w:hAnsi="Arial"/>
                <w:sz w:val="20"/>
                <w:szCs w:val="20"/>
                <w:b w:val="1"/>
                <w:bCs w:val="1"/>
                <w:color w:val="auto"/>
              </w:rPr>
              <w:t>Permitted Use</w:t>
            </w:r>
            <w:r>
              <w:rPr>
                <w:rFonts w:ascii="Arial" w:cs="Arial" w:eastAsia="Arial" w:hAnsi="Arial"/>
                <w:sz w:val="20"/>
                <w:szCs w:val="20"/>
                <w:color w:val="auto"/>
              </w:rPr>
              <w:t>”:</w:t>
            </w:r>
          </w:p>
        </w:tc>
        <w:tc>
          <w:tcPr>
            <w:tcW w:w="7940" w:type="dxa"/>
            <w:vAlign w:val="bottom"/>
            <w:gridSpan w:val="10"/>
          </w:tcPr>
          <w:p>
            <w:pPr>
              <w:spacing w:after="0"/>
              <w:rPr>
                <w:sz w:val="20"/>
                <w:szCs w:val="20"/>
                <w:color w:val="auto"/>
              </w:rPr>
            </w:pPr>
            <w:r>
              <w:rPr>
                <w:rFonts w:ascii="Arial" w:cs="Arial" w:eastAsia="Arial" w:hAnsi="Arial"/>
                <w:sz w:val="20"/>
                <w:szCs w:val="20"/>
                <w:color w:val="auto"/>
              </w:rPr>
              <w:t>General office use consistent with a first-class office building.</w:t>
            </w:r>
          </w:p>
        </w:tc>
        <w:tc>
          <w:tcPr>
            <w:tcW w:w="0" w:type="dxa"/>
            <w:vAlign w:val="bottom"/>
          </w:tcPr>
          <w:p>
            <w:pPr>
              <w:spacing w:after="0"/>
              <w:rPr>
                <w:sz w:val="1"/>
                <w:szCs w:val="1"/>
                <w:color w:val="auto"/>
              </w:rPr>
            </w:pPr>
          </w:p>
        </w:tc>
      </w:tr>
      <w:tr>
        <w:trPr>
          <w:trHeight w:val="401"/>
        </w:trPr>
        <w:tc>
          <w:tcPr>
            <w:tcW w:w="3320" w:type="dxa"/>
            <w:vAlign w:val="bottom"/>
          </w:tcPr>
          <w:p>
            <w:pPr>
              <w:ind w:left="540"/>
              <w:spacing w:after="0"/>
              <w:rPr>
                <w:sz w:val="20"/>
                <w:szCs w:val="20"/>
                <w:color w:val="auto"/>
              </w:rPr>
            </w:pPr>
            <w:r>
              <w:rPr>
                <w:rFonts w:ascii="Arial" w:cs="Arial" w:eastAsia="Arial" w:hAnsi="Arial"/>
                <w:sz w:val="20"/>
                <w:szCs w:val="20"/>
                <w:color w:val="auto"/>
              </w:rPr>
              <w:t>1.8.“</w:t>
            </w:r>
            <w:r>
              <w:rPr>
                <w:rFonts w:ascii="Arial" w:cs="Arial" w:eastAsia="Arial" w:hAnsi="Arial"/>
                <w:sz w:val="20"/>
                <w:szCs w:val="20"/>
                <w:b w:val="1"/>
                <w:bCs w:val="1"/>
                <w:color w:val="auto"/>
              </w:rPr>
              <w:t>Security Deposit</w:t>
            </w:r>
            <w:r>
              <w:rPr>
                <w:rFonts w:ascii="Arial" w:cs="Arial" w:eastAsia="Arial" w:hAnsi="Arial"/>
                <w:sz w:val="20"/>
                <w:szCs w:val="20"/>
                <w:color w:val="auto"/>
              </w:rPr>
              <w:t>”:</w:t>
            </w:r>
          </w:p>
        </w:tc>
        <w:tc>
          <w:tcPr>
            <w:tcW w:w="7940" w:type="dxa"/>
            <w:vAlign w:val="bottom"/>
            <w:gridSpan w:val="10"/>
          </w:tcPr>
          <w:p>
            <w:pPr>
              <w:spacing w:after="0"/>
              <w:rPr>
                <w:sz w:val="20"/>
                <w:szCs w:val="20"/>
                <w:color w:val="auto"/>
              </w:rPr>
            </w:pPr>
            <w:r>
              <w:rPr>
                <w:rFonts w:ascii="Arial" w:cs="Arial" w:eastAsia="Arial" w:hAnsi="Arial"/>
                <w:sz w:val="20"/>
                <w:szCs w:val="20"/>
                <w:color w:val="auto"/>
              </w:rPr>
              <w:t>$39,800.00, as more particularly described in Section 21.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320" w:type="dxa"/>
            <w:vAlign w:val="bottom"/>
          </w:tcPr>
          <w:p>
            <w:pPr>
              <w:ind w:left="540"/>
              <w:spacing w:after="0"/>
              <w:rPr>
                <w:sz w:val="20"/>
                <w:szCs w:val="20"/>
                <w:color w:val="auto"/>
              </w:rPr>
            </w:pPr>
            <w:r>
              <w:rPr>
                <w:rFonts w:ascii="Arial" w:cs="Arial" w:eastAsia="Arial" w:hAnsi="Arial"/>
                <w:sz w:val="20"/>
                <w:szCs w:val="20"/>
                <w:color w:val="auto"/>
              </w:rPr>
              <w:t>Prepaid Base Rent:</w:t>
            </w:r>
          </w:p>
        </w:tc>
        <w:tc>
          <w:tcPr>
            <w:tcW w:w="7940" w:type="dxa"/>
            <w:vAlign w:val="bottom"/>
            <w:gridSpan w:val="10"/>
          </w:tcPr>
          <w:p>
            <w:pPr>
              <w:spacing w:after="0"/>
              <w:rPr>
                <w:sz w:val="20"/>
                <w:szCs w:val="20"/>
                <w:color w:val="auto"/>
              </w:rPr>
            </w:pPr>
            <w:r>
              <w:rPr>
                <w:rFonts w:ascii="Arial" w:cs="Arial" w:eastAsia="Arial" w:hAnsi="Arial"/>
                <w:sz w:val="20"/>
                <w:szCs w:val="20"/>
                <w:color w:val="auto"/>
              </w:rPr>
              <w:t>$33,432.00, as more particularly described in Section 3.</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540"/>
              <w:spacing w:after="0"/>
              <w:rPr>
                <w:sz w:val="20"/>
                <w:szCs w:val="20"/>
                <w:color w:val="auto"/>
              </w:rPr>
            </w:pPr>
            <w:r>
              <w:rPr>
                <w:rFonts w:ascii="Arial" w:cs="Arial" w:eastAsia="Arial" w:hAnsi="Arial"/>
                <w:sz w:val="20"/>
                <w:szCs w:val="20"/>
                <w:color w:val="auto"/>
              </w:rPr>
              <w:t>1.9Parking:</w:t>
            </w: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3320" w:type="dxa"/>
            <w:vAlign w:val="bottom"/>
            <w:vMerge w:val="continue"/>
          </w:tcPr>
          <w:p>
            <w:pPr>
              <w:spacing w:after="0"/>
              <w:rPr>
                <w:sz w:val="24"/>
                <w:szCs w:val="24"/>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20 unreserved parking space(s), at the rate of $00.00 per space</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per month, as such rate may be adjusted (after the initial Term)</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from time to time to reflect Landlord’s then current rates.</w:t>
            </w:r>
          </w:p>
        </w:tc>
        <w:tc>
          <w:tcPr>
            <w:tcW w:w="0" w:type="dxa"/>
            <w:vAlign w:val="bottom"/>
          </w:tcPr>
          <w:p>
            <w:pPr>
              <w:spacing w:after="0"/>
              <w:rPr>
                <w:sz w:val="1"/>
                <w:szCs w:val="1"/>
                <w:color w:val="auto"/>
              </w:rPr>
            </w:pPr>
          </w:p>
        </w:tc>
      </w:tr>
      <w:tr>
        <w:trPr>
          <w:trHeight w:val="445"/>
        </w:trPr>
        <w:tc>
          <w:tcPr>
            <w:tcW w:w="3320" w:type="dxa"/>
            <w:vAlign w:val="bottom"/>
          </w:tcPr>
          <w:p>
            <w:pPr>
              <w:ind w:left="540"/>
              <w:spacing w:after="0"/>
              <w:rPr>
                <w:sz w:val="20"/>
                <w:szCs w:val="20"/>
                <w:color w:val="auto"/>
              </w:rPr>
            </w:pPr>
            <w:r>
              <w:rPr>
                <w:rFonts w:ascii="Arial" w:cs="Arial" w:eastAsia="Arial" w:hAnsi="Arial"/>
                <w:sz w:val="20"/>
                <w:szCs w:val="20"/>
                <w:color w:val="auto"/>
              </w:rPr>
              <w:t>1.10Address of Tenant:</w:t>
            </w:r>
          </w:p>
        </w:tc>
        <w:tc>
          <w:tcPr>
            <w:tcW w:w="7940" w:type="dxa"/>
            <w:vAlign w:val="bottom"/>
            <w:gridSpan w:val="10"/>
          </w:tcPr>
          <w:p>
            <w:pPr>
              <w:spacing w:after="0"/>
              <w:rPr>
                <w:sz w:val="20"/>
                <w:szCs w:val="20"/>
                <w:color w:val="auto"/>
              </w:rPr>
            </w:pPr>
            <w:r>
              <w:rPr>
                <w:rFonts w:ascii="Arial" w:cs="Arial" w:eastAsia="Arial" w:hAnsi="Arial"/>
                <w:sz w:val="20"/>
                <w:szCs w:val="20"/>
                <w:color w:val="auto"/>
              </w:rPr>
              <w:t>The Premises: Attn: CFO</w:t>
            </w:r>
          </w:p>
        </w:tc>
        <w:tc>
          <w:tcPr>
            <w:tcW w:w="0" w:type="dxa"/>
            <w:vAlign w:val="bottom"/>
          </w:tcPr>
          <w:p>
            <w:pPr>
              <w:spacing w:after="0"/>
              <w:rPr>
                <w:sz w:val="1"/>
                <w:szCs w:val="1"/>
                <w:color w:val="auto"/>
              </w:rPr>
            </w:pPr>
          </w:p>
        </w:tc>
      </w:tr>
      <w:tr>
        <w:trPr>
          <w:trHeight w:val="438"/>
        </w:trPr>
        <w:tc>
          <w:tcPr>
            <w:tcW w:w="3320" w:type="dxa"/>
            <w:vAlign w:val="bottom"/>
          </w:tcPr>
          <w:p>
            <w:pPr>
              <w:ind w:left="540"/>
              <w:spacing w:after="0"/>
              <w:rPr>
                <w:sz w:val="20"/>
                <w:szCs w:val="20"/>
                <w:color w:val="auto"/>
              </w:rPr>
            </w:pPr>
            <w:r>
              <w:rPr>
                <w:rFonts w:ascii="Arial" w:cs="Arial" w:eastAsia="Arial" w:hAnsi="Arial"/>
                <w:sz w:val="20"/>
                <w:szCs w:val="20"/>
                <w:color w:val="auto"/>
              </w:rPr>
              <w:t>1.11Address of Landlord:</w:t>
            </w:r>
          </w:p>
        </w:tc>
        <w:tc>
          <w:tcPr>
            <w:tcW w:w="7940" w:type="dxa"/>
            <w:vAlign w:val="bottom"/>
            <w:gridSpan w:val="10"/>
          </w:tcPr>
          <w:p>
            <w:pPr>
              <w:spacing w:after="0"/>
              <w:rPr>
                <w:sz w:val="20"/>
                <w:szCs w:val="20"/>
                <w:color w:val="auto"/>
              </w:rPr>
            </w:pPr>
            <w:r>
              <w:rPr>
                <w:rFonts w:ascii="Arial" w:cs="Arial" w:eastAsia="Arial" w:hAnsi="Arial"/>
                <w:sz w:val="20"/>
                <w:szCs w:val="20"/>
                <w:color w:val="auto"/>
              </w:rPr>
              <w:t>Hudson Towers at Shore Center</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c/o Hudson Pacific Properties</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333 Twin Dolphin Drive, Suite 100</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Redwood City, California 94065</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Attn: Building manager</w:t>
            </w:r>
          </w:p>
        </w:tc>
        <w:tc>
          <w:tcPr>
            <w:tcW w:w="0" w:type="dxa"/>
            <w:vAlign w:val="bottom"/>
          </w:tcPr>
          <w:p>
            <w:pPr>
              <w:spacing w:after="0"/>
              <w:rPr>
                <w:sz w:val="1"/>
                <w:szCs w:val="1"/>
                <w:color w:val="auto"/>
              </w:rPr>
            </w:pPr>
          </w:p>
        </w:tc>
      </w:tr>
      <w:tr>
        <w:trPr>
          <w:trHeight w:val="415"/>
        </w:trPr>
        <w:tc>
          <w:tcPr>
            <w:tcW w:w="3320" w:type="dxa"/>
            <w:vAlign w:val="bottom"/>
          </w:tcPr>
          <w:p>
            <w:pPr>
              <w:spacing w:after="0"/>
              <w:rPr>
                <w:sz w:val="24"/>
                <w:szCs w:val="24"/>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with copies to:</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3320" w:type="dxa"/>
            <w:vAlign w:val="bottom"/>
          </w:tcPr>
          <w:p>
            <w:pPr>
              <w:spacing w:after="0"/>
              <w:rPr>
                <w:sz w:val="24"/>
                <w:szCs w:val="24"/>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Hudson Towers at Shore Center</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c/o Hudson Pacific Properties</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333 Twin Dolphin Drive, Suite 100</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Redwood City, California 94065</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Attn: Managing Counsel</w:t>
            </w:r>
          </w:p>
        </w:tc>
        <w:tc>
          <w:tcPr>
            <w:tcW w:w="0" w:type="dxa"/>
            <w:vAlign w:val="bottom"/>
          </w:tcPr>
          <w:p>
            <w:pPr>
              <w:spacing w:after="0"/>
              <w:rPr>
                <w:sz w:val="1"/>
                <w:szCs w:val="1"/>
                <w:color w:val="auto"/>
              </w:rPr>
            </w:pPr>
          </w:p>
        </w:tc>
      </w:tr>
      <w:tr>
        <w:trPr>
          <w:trHeight w:val="415"/>
        </w:trPr>
        <w:tc>
          <w:tcPr>
            <w:tcW w:w="3320" w:type="dxa"/>
            <w:vAlign w:val="bottom"/>
          </w:tcPr>
          <w:p>
            <w:pPr>
              <w:spacing w:after="0"/>
              <w:rPr>
                <w:sz w:val="24"/>
                <w:szCs w:val="24"/>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and:</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3320" w:type="dxa"/>
            <w:vAlign w:val="bottom"/>
          </w:tcPr>
          <w:p>
            <w:pPr>
              <w:spacing w:after="0"/>
              <w:rPr>
                <w:sz w:val="24"/>
                <w:szCs w:val="24"/>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Hudson Towers at Shore Center</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c/o Hudson Pacific Properties</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11601 Wilshire Boulevard, Suite 900</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Los Angeles, California 90025</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Attn: Lease Administration</w:t>
            </w:r>
          </w:p>
        </w:tc>
        <w:tc>
          <w:tcPr>
            <w:tcW w:w="0" w:type="dxa"/>
            <w:vAlign w:val="bottom"/>
          </w:tcPr>
          <w:p>
            <w:pPr>
              <w:spacing w:after="0"/>
              <w:rPr>
                <w:sz w:val="1"/>
                <w:szCs w:val="1"/>
                <w:color w:val="auto"/>
              </w:rPr>
            </w:pPr>
          </w:p>
        </w:tc>
      </w:tr>
      <w:tr>
        <w:trPr>
          <w:trHeight w:val="648"/>
        </w:trPr>
        <w:tc>
          <w:tcPr>
            <w:tcW w:w="3320" w:type="dxa"/>
            <w:vAlign w:val="bottom"/>
          </w:tcPr>
          <w:p>
            <w:pPr>
              <w:ind w:left="540"/>
              <w:spacing w:after="0"/>
              <w:rPr>
                <w:sz w:val="20"/>
                <w:szCs w:val="20"/>
                <w:color w:val="auto"/>
              </w:rPr>
            </w:pPr>
            <w:r>
              <w:rPr>
                <w:rFonts w:ascii="Arial" w:cs="Arial" w:eastAsia="Arial" w:hAnsi="Arial"/>
                <w:sz w:val="20"/>
                <w:szCs w:val="20"/>
                <w:color w:val="auto"/>
              </w:rPr>
              <w:t>1.12Broker(s):</w:t>
            </w:r>
          </w:p>
        </w:tc>
        <w:tc>
          <w:tcPr>
            <w:tcW w:w="7940" w:type="dxa"/>
            <w:vAlign w:val="bottom"/>
            <w:gridSpan w:val="10"/>
          </w:tcPr>
          <w:p>
            <w:pPr>
              <w:spacing w:after="0"/>
              <w:rPr>
                <w:sz w:val="20"/>
                <w:szCs w:val="20"/>
                <w:color w:val="auto"/>
              </w:rPr>
            </w:pPr>
            <w:r>
              <w:rPr>
                <w:rFonts w:ascii="Arial" w:cs="Arial" w:eastAsia="Arial" w:hAnsi="Arial"/>
                <w:sz w:val="20"/>
                <w:szCs w:val="20"/>
                <w:color w:val="auto"/>
              </w:rPr>
              <w:t>Jones Lang LaSalle (“</w:t>
            </w:r>
            <w:r>
              <w:rPr>
                <w:rFonts w:ascii="Arial" w:cs="Arial" w:eastAsia="Arial" w:hAnsi="Arial"/>
                <w:sz w:val="20"/>
                <w:szCs w:val="20"/>
                <w:b w:val="1"/>
                <w:bCs w:val="1"/>
                <w:color w:val="auto"/>
              </w:rPr>
              <w:t>Tenant’s Broker</w:t>
            </w:r>
            <w:r>
              <w:rPr>
                <w:rFonts w:ascii="Arial" w:cs="Arial" w:eastAsia="Arial" w:hAnsi="Arial"/>
                <w:sz w:val="20"/>
                <w:szCs w:val="20"/>
                <w:color w:val="auto"/>
              </w:rPr>
              <w:t>”), representing Tenant,</w:t>
            </w: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2"/>
                <w:szCs w:val="22"/>
                <w:color w:val="auto"/>
              </w:rPr>
            </w:pPr>
          </w:p>
        </w:tc>
        <w:tc>
          <w:tcPr>
            <w:tcW w:w="7940" w:type="dxa"/>
            <w:vAlign w:val="bottom"/>
            <w:gridSpan w:val="10"/>
          </w:tcPr>
          <w:p>
            <w:pPr>
              <w:spacing w:after="0"/>
              <w:rPr>
                <w:sz w:val="20"/>
                <w:szCs w:val="20"/>
                <w:color w:val="auto"/>
              </w:rPr>
            </w:pPr>
            <w:r>
              <w:rPr>
                <w:rFonts w:ascii="Arial" w:cs="Arial" w:eastAsia="Arial" w:hAnsi="Arial"/>
                <w:sz w:val="20"/>
                <w:szCs w:val="20"/>
                <w:color w:val="auto"/>
              </w:rPr>
              <w:t>and N/A (“</w:t>
            </w:r>
            <w:r>
              <w:rPr>
                <w:rFonts w:ascii="Arial" w:cs="Arial" w:eastAsia="Arial" w:hAnsi="Arial"/>
                <w:sz w:val="20"/>
                <w:szCs w:val="20"/>
                <w:b w:val="1"/>
                <w:bCs w:val="1"/>
                <w:color w:val="auto"/>
              </w:rPr>
              <w:t>Landlord’s Broker</w:t>
            </w:r>
            <w:r>
              <w:rPr>
                <w:rFonts w:ascii="Arial" w:cs="Arial" w:eastAsia="Arial" w:hAnsi="Arial"/>
                <w:sz w:val="20"/>
                <w:szCs w:val="20"/>
                <w:color w:val="auto"/>
              </w:rPr>
              <w:t>”), representing Landlord.</w:t>
            </w:r>
          </w:p>
        </w:tc>
        <w:tc>
          <w:tcPr>
            <w:tcW w:w="0" w:type="dxa"/>
            <w:vAlign w:val="bottom"/>
          </w:tcPr>
          <w:p>
            <w:pPr>
              <w:spacing w:after="0"/>
              <w:rPr>
                <w:sz w:val="1"/>
                <w:szCs w:val="1"/>
                <w:color w:val="auto"/>
              </w:rPr>
            </w:pPr>
          </w:p>
        </w:tc>
      </w:tr>
      <w:tr>
        <w:trPr>
          <w:trHeight w:val="860"/>
        </w:trPr>
        <w:tc>
          <w:tcPr>
            <w:tcW w:w="3320" w:type="dxa"/>
            <w:vAlign w:val="bottom"/>
            <w:vMerge w:val="restart"/>
          </w:tcPr>
          <w:p>
            <w:pPr>
              <w:spacing w:after="0"/>
              <w:rPr>
                <w:sz w:val="20"/>
                <w:szCs w:val="20"/>
                <w:color w:val="auto"/>
              </w:rPr>
            </w:pPr>
            <w:r>
              <w:rPr>
                <w:rFonts w:ascii="Arial" w:cs="Arial" w:eastAsia="Arial" w:hAnsi="Arial"/>
                <w:sz w:val="14"/>
                <w:szCs w:val="14"/>
                <w:color w:val="auto"/>
              </w:rPr>
              <w:t>Lease Form_FSG Office_California (YR21)</w:t>
            </w:r>
          </w:p>
        </w:tc>
        <w:tc>
          <w:tcPr>
            <w:tcW w:w="2760" w:type="dxa"/>
            <w:vAlign w:val="bottom"/>
            <w:gridSpan w:val="4"/>
          </w:tcPr>
          <w:p>
            <w:pPr>
              <w:ind w:left="226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3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9" w:right="319" w:bottom="0" w:gutter="0" w:footer="0" w:header="0"/>
        </w:sectPr>
      </w:pPr>
    </w:p>
    <w:bookmarkStart w:id="25" w:name="page26"/>
    <w:bookmarkEnd w:id="25"/>
    <w:tbl>
      <w:tblPr>
        <w:tblLayout w:type="fixed"/>
        <w:tblInd w:w="540" w:type="dxa"/>
        <w:tblCellMar>
          <w:top w:w="0" w:type="dxa"/>
          <w:left w:w="0" w:type="dxa"/>
          <w:bottom w:w="0" w:type="dxa"/>
          <w:right w:w="0" w:type="dxa"/>
        </w:tblCellMar>
      </w:tblPr>
      <w:tr>
        <w:trPr>
          <w:trHeight w:val="235"/>
        </w:trPr>
        <w:tc>
          <w:tcPr>
            <w:tcW w:w="1740" w:type="dxa"/>
            <w:vAlign w:val="bottom"/>
          </w:tcPr>
          <w:p>
            <w:pPr>
              <w:spacing w:after="0"/>
              <w:rPr>
                <w:sz w:val="20"/>
                <w:szCs w:val="20"/>
                <w:color w:val="auto"/>
              </w:rPr>
            </w:pPr>
            <w:r>
              <w:rPr>
                <w:rFonts w:ascii="Arial" w:cs="Arial" w:eastAsia="Arial" w:hAnsi="Arial"/>
                <w:sz w:val="20"/>
                <w:szCs w:val="20"/>
                <w:color w:val="auto"/>
              </w:rPr>
              <w:t>1.13Building HVAC</w:t>
            </w:r>
          </w:p>
        </w:tc>
        <w:tc>
          <w:tcPr>
            <w:tcW w:w="6220" w:type="dxa"/>
            <w:vAlign w:val="bottom"/>
            <w:gridSpan w:val="5"/>
          </w:tcPr>
          <w:p>
            <w:pPr>
              <w:ind w:left="140"/>
              <w:spacing w:after="0"/>
              <w:rPr>
                <w:sz w:val="20"/>
                <w:szCs w:val="20"/>
                <w:color w:val="auto"/>
              </w:rPr>
            </w:pPr>
            <w:r>
              <w:rPr>
                <w:rFonts w:ascii="Arial" w:cs="Arial" w:eastAsia="Arial" w:hAnsi="Arial"/>
                <w:sz w:val="20"/>
                <w:szCs w:val="20"/>
                <w:color w:val="auto"/>
                <w:w w:val="96"/>
              </w:rPr>
              <w:t>“</w:t>
            </w:r>
            <w:r>
              <w:rPr>
                <w:rFonts w:ascii="Arial" w:cs="Arial" w:eastAsia="Arial" w:hAnsi="Arial"/>
                <w:sz w:val="20"/>
                <w:szCs w:val="20"/>
                <w:b w:val="1"/>
                <w:bCs w:val="1"/>
                <w:color w:val="auto"/>
                <w:w w:val="96"/>
              </w:rPr>
              <w:t>Building HVAC Hours</w:t>
            </w:r>
            <w:r>
              <w:rPr>
                <w:rFonts w:ascii="Arial" w:cs="Arial" w:eastAsia="Arial" w:hAnsi="Arial"/>
                <w:sz w:val="20"/>
                <w:szCs w:val="20"/>
                <w:color w:val="auto"/>
                <w:w w:val="96"/>
              </w:rPr>
              <w:t>” mean 8:00 a.m. to 6:00 p.m., Monday through</w:t>
            </w:r>
          </w:p>
        </w:tc>
      </w:tr>
      <w:tr>
        <w:trPr>
          <w:trHeight w:val="230"/>
        </w:trPr>
        <w:tc>
          <w:tcPr>
            <w:tcW w:w="1740" w:type="dxa"/>
            <w:vAlign w:val="bottom"/>
          </w:tcPr>
          <w:p>
            <w:pPr>
              <w:ind w:left="640"/>
              <w:spacing w:after="0"/>
              <w:rPr>
                <w:sz w:val="20"/>
                <w:szCs w:val="20"/>
                <w:color w:val="auto"/>
              </w:rPr>
            </w:pPr>
            <w:r>
              <w:rPr>
                <w:rFonts w:ascii="Arial" w:cs="Arial" w:eastAsia="Arial" w:hAnsi="Arial"/>
                <w:sz w:val="20"/>
                <w:szCs w:val="20"/>
                <w:color w:val="auto"/>
              </w:rPr>
              <w:t>Hours and</w:t>
            </w:r>
          </w:p>
        </w:tc>
        <w:tc>
          <w:tcPr>
            <w:tcW w:w="6220" w:type="dxa"/>
            <w:vAlign w:val="bottom"/>
            <w:gridSpan w:val="5"/>
          </w:tcPr>
          <w:p>
            <w:pPr>
              <w:ind w:left="140"/>
              <w:spacing w:after="0"/>
              <w:rPr>
                <w:sz w:val="20"/>
                <w:szCs w:val="20"/>
                <w:color w:val="auto"/>
              </w:rPr>
            </w:pPr>
            <w:r>
              <w:rPr>
                <w:rFonts w:ascii="Arial" w:cs="Arial" w:eastAsia="Arial" w:hAnsi="Arial"/>
                <w:sz w:val="20"/>
                <w:szCs w:val="20"/>
                <w:color w:val="auto"/>
                <w:w w:val="89"/>
              </w:rPr>
              <w:t>Friday, excluding the day of observation of New Year’s Day, Presidents Day,</w:t>
            </w:r>
          </w:p>
        </w:tc>
      </w:tr>
      <w:tr>
        <w:trPr>
          <w:trHeight w:val="229"/>
        </w:trPr>
        <w:tc>
          <w:tcPr>
            <w:tcW w:w="1740" w:type="dxa"/>
            <w:vAlign w:val="bottom"/>
          </w:tcPr>
          <w:p>
            <w:pPr>
              <w:ind w:left="640"/>
              <w:spacing w:after="0"/>
              <w:rPr>
                <w:sz w:val="20"/>
                <w:szCs w:val="20"/>
                <w:color w:val="auto"/>
              </w:rPr>
            </w:pPr>
            <w:r>
              <w:rPr>
                <w:rFonts w:ascii="Arial" w:cs="Arial" w:eastAsia="Arial" w:hAnsi="Arial"/>
                <w:sz w:val="20"/>
                <w:szCs w:val="20"/>
                <w:color w:val="auto"/>
              </w:rPr>
              <w:t>Holidays:</w:t>
            </w:r>
          </w:p>
        </w:tc>
        <w:tc>
          <w:tcPr>
            <w:tcW w:w="6220" w:type="dxa"/>
            <w:vAlign w:val="bottom"/>
            <w:gridSpan w:val="5"/>
          </w:tcPr>
          <w:p>
            <w:pPr>
              <w:ind w:left="140"/>
              <w:spacing w:after="0"/>
              <w:rPr>
                <w:sz w:val="20"/>
                <w:szCs w:val="20"/>
                <w:color w:val="auto"/>
              </w:rPr>
            </w:pPr>
            <w:r>
              <w:rPr>
                <w:rFonts w:ascii="Arial" w:cs="Arial" w:eastAsia="Arial" w:hAnsi="Arial"/>
                <w:sz w:val="20"/>
                <w:szCs w:val="20"/>
                <w:color w:val="auto"/>
                <w:w w:val="97"/>
              </w:rPr>
              <w:t>Memorial  Day,  Independence  Day,  Labor  Day,  Thanksgiving  Day,</w:t>
            </w:r>
          </w:p>
        </w:tc>
      </w:tr>
      <w:tr>
        <w:trPr>
          <w:trHeight w:val="230"/>
        </w:trPr>
        <w:tc>
          <w:tcPr>
            <w:tcW w:w="1740" w:type="dxa"/>
            <w:vAlign w:val="bottom"/>
          </w:tcPr>
          <w:p>
            <w:pPr>
              <w:spacing w:after="0"/>
              <w:rPr>
                <w:sz w:val="19"/>
                <w:szCs w:val="19"/>
                <w:color w:val="auto"/>
              </w:rPr>
            </w:pPr>
          </w:p>
        </w:tc>
        <w:tc>
          <w:tcPr>
            <w:tcW w:w="6220" w:type="dxa"/>
            <w:vAlign w:val="bottom"/>
            <w:gridSpan w:val="5"/>
          </w:tcPr>
          <w:p>
            <w:pPr>
              <w:ind w:left="140"/>
              <w:spacing w:after="0"/>
              <w:rPr>
                <w:sz w:val="20"/>
                <w:szCs w:val="20"/>
                <w:color w:val="auto"/>
              </w:rPr>
            </w:pPr>
            <w:r>
              <w:rPr>
                <w:rFonts w:ascii="Arial" w:cs="Arial" w:eastAsia="Arial" w:hAnsi="Arial"/>
                <w:sz w:val="20"/>
                <w:szCs w:val="20"/>
                <w:color w:val="auto"/>
                <w:w w:val="91"/>
              </w:rPr>
              <w:t>Christmas Day, and, at Landlord’s discretion, any other locally or nationally</w:t>
            </w:r>
          </w:p>
        </w:tc>
      </w:tr>
      <w:tr>
        <w:trPr>
          <w:trHeight w:val="223"/>
        </w:trPr>
        <w:tc>
          <w:tcPr>
            <w:tcW w:w="1740" w:type="dxa"/>
            <w:vAlign w:val="bottom"/>
          </w:tcPr>
          <w:p>
            <w:pPr>
              <w:spacing w:after="0"/>
              <w:rPr>
                <w:sz w:val="19"/>
                <w:szCs w:val="19"/>
                <w:color w:val="auto"/>
              </w:rPr>
            </w:pPr>
          </w:p>
        </w:tc>
        <w:tc>
          <w:tcPr>
            <w:tcW w:w="6220" w:type="dxa"/>
            <w:vAlign w:val="bottom"/>
            <w:gridSpan w:val="5"/>
          </w:tcPr>
          <w:p>
            <w:pPr>
              <w:ind w:left="140"/>
              <w:spacing w:after="0" w:line="224" w:lineRule="exact"/>
              <w:rPr>
                <w:sz w:val="20"/>
                <w:szCs w:val="20"/>
                <w:color w:val="auto"/>
              </w:rPr>
            </w:pPr>
            <w:r>
              <w:rPr>
                <w:rFonts w:ascii="Arial" w:cs="Arial" w:eastAsia="Arial" w:hAnsi="Arial"/>
                <w:sz w:val="20"/>
                <w:szCs w:val="20"/>
                <w:color w:val="auto"/>
                <w:w w:val="90"/>
              </w:rPr>
              <w:t>recognized holiday that is observed by other Comparable Buildings (defined</w:t>
            </w:r>
          </w:p>
        </w:tc>
      </w:tr>
      <w:tr>
        <w:trPr>
          <w:trHeight w:val="212"/>
        </w:trPr>
        <w:tc>
          <w:tcPr>
            <w:tcW w:w="1740" w:type="dxa"/>
            <w:vAlign w:val="bottom"/>
          </w:tcPr>
          <w:p>
            <w:pPr>
              <w:spacing w:after="0"/>
              <w:rPr>
                <w:sz w:val="18"/>
                <w:szCs w:val="18"/>
                <w:color w:val="auto"/>
              </w:rPr>
            </w:pPr>
          </w:p>
        </w:tc>
        <w:tc>
          <w:tcPr>
            <w:tcW w:w="6220" w:type="dxa"/>
            <w:vAlign w:val="bottom"/>
            <w:gridSpan w:val="5"/>
          </w:tcPr>
          <w:p>
            <w:pPr>
              <w:ind w:left="140"/>
              <w:spacing w:after="0" w:line="212" w:lineRule="exact"/>
              <w:rPr>
                <w:sz w:val="20"/>
                <w:szCs w:val="20"/>
                <w:color w:val="auto"/>
              </w:rPr>
            </w:pPr>
            <w:r>
              <w:rPr>
                <w:rFonts w:ascii="Arial" w:cs="Arial" w:eastAsia="Arial" w:hAnsi="Arial"/>
                <w:sz w:val="20"/>
                <w:szCs w:val="20"/>
                <w:color w:val="auto"/>
              </w:rPr>
              <w:t>in Section 25.10) (collectively, “</w:t>
            </w:r>
            <w:r>
              <w:rPr>
                <w:rFonts w:ascii="Arial" w:cs="Arial" w:eastAsia="Arial" w:hAnsi="Arial"/>
                <w:sz w:val="20"/>
                <w:szCs w:val="20"/>
                <w:b w:val="1"/>
                <w:bCs w:val="1"/>
                <w:color w:val="auto"/>
              </w:rPr>
              <w:t>Holidays</w:t>
            </w:r>
            <w:r>
              <w:rPr>
                <w:rFonts w:ascii="Arial" w:cs="Arial" w:eastAsia="Arial" w:hAnsi="Arial"/>
                <w:sz w:val="20"/>
                <w:szCs w:val="20"/>
                <w:color w:val="auto"/>
              </w:rPr>
              <w:t>”).</w:t>
            </w:r>
          </w:p>
        </w:tc>
      </w:tr>
      <w:tr>
        <w:trPr>
          <w:trHeight w:val="20"/>
        </w:trPr>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26"/>
        </w:trPr>
        <w:tc>
          <w:tcPr>
            <w:tcW w:w="1740" w:type="dxa"/>
            <w:vAlign w:val="bottom"/>
          </w:tcPr>
          <w:p>
            <w:pPr>
              <w:spacing w:after="0"/>
              <w:rPr>
                <w:sz w:val="20"/>
                <w:szCs w:val="20"/>
                <w:color w:val="auto"/>
              </w:rPr>
            </w:pPr>
            <w:r>
              <w:rPr>
                <w:rFonts w:ascii="Arial" w:cs="Arial" w:eastAsia="Arial" w:hAnsi="Arial"/>
                <w:sz w:val="20"/>
                <w:szCs w:val="20"/>
                <w:color w:val="auto"/>
              </w:rPr>
              <w:t>1.14“</w:t>
            </w:r>
            <w:r>
              <w:rPr>
                <w:rFonts w:ascii="Arial" w:cs="Arial" w:eastAsia="Arial" w:hAnsi="Arial"/>
                <w:sz w:val="20"/>
                <w:szCs w:val="20"/>
                <w:b w:val="1"/>
                <w:bCs w:val="1"/>
                <w:color w:val="auto"/>
              </w:rPr>
              <w:t>Tenant</w:t>
            </w:r>
          </w:p>
        </w:tc>
        <w:tc>
          <w:tcPr>
            <w:tcW w:w="6220" w:type="dxa"/>
            <w:vAlign w:val="bottom"/>
            <w:gridSpan w:val="5"/>
          </w:tcPr>
          <w:p>
            <w:pPr>
              <w:ind w:left="140"/>
              <w:spacing w:after="0"/>
              <w:rPr>
                <w:sz w:val="20"/>
                <w:szCs w:val="20"/>
                <w:color w:val="auto"/>
              </w:rPr>
            </w:pPr>
            <w:r>
              <w:rPr>
                <w:rFonts w:ascii="Arial" w:cs="Arial" w:eastAsia="Arial" w:hAnsi="Arial"/>
                <w:sz w:val="20"/>
                <w:szCs w:val="20"/>
                <w:color w:val="auto"/>
              </w:rPr>
              <w:t xml:space="preserve">Defined in </w:t>
            </w:r>
            <w:r>
              <w:rPr>
                <w:rFonts w:ascii="Arial" w:cs="Arial" w:eastAsia="Arial" w:hAnsi="Arial"/>
                <w:sz w:val="20"/>
                <w:szCs w:val="20"/>
                <w:b w:val="1"/>
                <w:bCs w:val="1"/>
                <w:color w:val="auto"/>
              </w:rPr>
              <w:t>Exhibit B</w:t>
            </w:r>
            <w:r>
              <w:rPr>
                <w:rFonts w:ascii="Arial" w:cs="Arial" w:eastAsia="Arial" w:hAnsi="Arial"/>
                <w:sz w:val="20"/>
                <w:szCs w:val="20"/>
                <w:color w:val="auto"/>
              </w:rPr>
              <w:t>, if any.</w:t>
            </w:r>
          </w:p>
        </w:tc>
      </w:tr>
      <w:tr>
        <w:trPr>
          <w:trHeight w:val="20"/>
        </w:trPr>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4"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auto"/>
        </w:rPr>
        <w:t>Improvements</w:t>
      </w:r>
      <w:r>
        <w:rPr>
          <w:rFonts w:ascii="Arial" w:cs="Arial" w:eastAsia="Arial" w:hAnsi="Arial"/>
          <w:sz w:val="20"/>
          <w:szCs w:val="20"/>
          <w:color w:val="auto"/>
        </w:rPr>
        <w:t>”:</w:t>
      </w:r>
    </w:p>
    <w:p>
      <w:pPr>
        <w:spacing w:after="0" w:line="216" w:lineRule="exact"/>
        <w:rPr>
          <w:sz w:val="20"/>
          <w:szCs w:val="20"/>
          <w:color w:val="auto"/>
        </w:rPr>
      </w:pPr>
    </w:p>
    <w:p>
      <w:pPr>
        <w:ind w:left="540"/>
        <w:spacing w:after="0"/>
        <w:tabs>
          <w:tab w:leader="none" w:pos="2400" w:val="left"/>
        </w:tabs>
        <w:rPr>
          <w:sz w:val="20"/>
          <w:szCs w:val="20"/>
          <w:color w:val="auto"/>
        </w:rPr>
      </w:pPr>
      <w:r>
        <w:rPr>
          <w:rFonts w:ascii="Arial" w:cs="Arial" w:eastAsia="Arial" w:hAnsi="Arial"/>
          <w:sz w:val="20"/>
          <w:szCs w:val="20"/>
          <w:color w:val="auto"/>
        </w:rPr>
        <w:t>1.15“</w:t>
      </w:r>
      <w:r>
        <w:rPr>
          <w:rFonts w:ascii="Arial" w:cs="Arial" w:eastAsia="Arial" w:hAnsi="Arial"/>
          <w:sz w:val="20"/>
          <w:szCs w:val="20"/>
          <w:b w:val="1"/>
          <w:bCs w:val="1"/>
          <w:color w:val="auto"/>
        </w:rPr>
        <w:t>Guarantor</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None.</w:t>
      </w:r>
    </w:p>
    <w:p>
      <w:pPr>
        <w:spacing w:after="0" w:line="216" w:lineRule="exact"/>
        <w:rPr>
          <w:sz w:val="20"/>
          <w:szCs w:val="20"/>
          <w:color w:val="auto"/>
        </w:rPr>
      </w:pPr>
    </w:p>
    <w:p>
      <w:pPr>
        <w:ind w:left="760" w:hanging="752"/>
        <w:spacing w:after="0"/>
        <w:tabs>
          <w:tab w:leader="none" w:pos="7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PREMISES AND COMMON AREAS.</w:t>
      </w:r>
    </w:p>
    <w:p>
      <w:pPr>
        <w:spacing w:after="0" w:line="216"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b w:val="1"/>
          <w:bCs w:val="1"/>
          <w:u w:val="single" w:color="auto"/>
          <w:color w:val="auto"/>
        </w:rPr>
        <w:t>The Premises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1138"/>
        <w:spacing w:after="0" w:line="243" w:lineRule="auto"/>
        <w:rPr>
          <w:sz w:val="20"/>
          <w:szCs w:val="20"/>
          <w:color w:val="auto"/>
        </w:rPr>
      </w:pPr>
      <w:r>
        <w:rPr>
          <w:rFonts w:ascii="Arial" w:cs="Arial" w:eastAsia="Arial" w:hAnsi="Arial"/>
          <w:sz w:val="20"/>
          <w:szCs w:val="20"/>
          <w:color w:val="auto"/>
        </w:rPr>
        <w:t xml:space="preserve">2.1.1 Subject to the terms hereof, Landlord hereby leases the Premises to Tenant and Tenant hereby leases the Premises from Landlord. Landlord and Tenant acknowledge that the rentable square footage of the Premises is as set forth in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and the rentable square footage of the Building is as set forth in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At any time Landlord may deliver to Tenant a notice substantially in the form of </w:t>
      </w:r>
      <w:r>
        <w:rPr>
          <w:rFonts w:ascii="Arial" w:cs="Arial" w:eastAsia="Arial" w:hAnsi="Arial"/>
          <w:sz w:val="20"/>
          <w:szCs w:val="20"/>
          <w:b w:val="1"/>
          <w:bCs w:val="1"/>
          <w:u w:val="single" w:color="auto"/>
          <w:color w:val="auto"/>
        </w:rPr>
        <w:t>Exhibit C</w:t>
      </w:r>
      <w:r>
        <w:rPr>
          <w:rFonts w:ascii="Arial" w:cs="Arial" w:eastAsia="Arial" w:hAnsi="Arial"/>
          <w:sz w:val="20"/>
          <w:szCs w:val="20"/>
          <w:color w:val="auto"/>
        </w:rPr>
        <w:t>, as a confirmation of the information set forth therein. Tenant shall execute and return (or, by notice to Landlord, reasonably object to) such notice within 10 business days after receiving it, and if Tenant fails to do so, Tenant shall be deemed to have executed and returned it without exception.</w:t>
      </w:r>
    </w:p>
    <w:p>
      <w:pPr>
        <w:spacing w:after="0" w:line="196" w:lineRule="exact"/>
        <w:rPr>
          <w:sz w:val="20"/>
          <w:szCs w:val="20"/>
          <w:color w:val="auto"/>
        </w:rPr>
      </w:pPr>
    </w:p>
    <w:p>
      <w:pPr>
        <w:jc w:val="both"/>
        <w:ind w:firstLine="1138"/>
        <w:spacing w:after="0" w:line="244" w:lineRule="auto"/>
        <w:rPr>
          <w:sz w:val="20"/>
          <w:szCs w:val="20"/>
          <w:color w:val="auto"/>
        </w:rPr>
      </w:pPr>
      <w:r>
        <w:rPr>
          <w:rFonts w:ascii="Arial" w:cs="Arial" w:eastAsia="Arial" w:hAnsi="Arial"/>
          <w:sz w:val="20"/>
          <w:szCs w:val="20"/>
          <w:color w:val="auto"/>
        </w:rPr>
        <w:t>2.1.2 Except as expressly provided herein, the Premises are accepted by Tenant in their configuration and condition existing on the date hereof (or in such other configuration and condition as any existing tenant of the Premises may cause to exist in accordance with its lease), without any obligation of Landlord to perform or pay for any alterations to the Premises, and without any representation or warranty regarding the configuration or condition of the Premises, the Building or the Project or their suitability for Tenant’s business.</w:t>
      </w:r>
    </w:p>
    <w:p>
      <w:pPr>
        <w:spacing w:after="0" w:line="188" w:lineRule="exact"/>
        <w:rPr>
          <w:sz w:val="20"/>
          <w:szCs w:val="20"/>
          <w:color w:val="auto"/>
        </w:rPr>
      </w:pPr>
    </w:p>
    <w:p>
      <w:pPr>
        <w:jc w:val="both"/>
        <w:ind w:firstLine="524"/>
        <w:spacing w:after="0" w:line="32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Common Areas</w:t>
      </w:r>
      <w:r>
        <w:rPr>
          <w:rFonts w:ascii="Arial" w:cs="Arial" w:eastAsia="Arial" w:hAnsi="Arial"/>
          <w:sz w:val="18"/>
          <w:szCs w:val="18"/>
          <w:b w:val="1"/>
          <w:bCs w:val="1"/>
          <w:color w:val="auto"/>
        </w:rPr>
        <w:t>.</w:t>
      </w:r>
      <w:r>
        <w:rPr>
          <w:rFonts w:ascii="Arial" w:cs="Arial" w:eastAsia="Arial" w:hAnsi="Arial"/>
          <w:sz w:val="18"/>
          <w:szCs w:val="18"/>
          <w:color w:val="auto"/>
        </w:rPr>
        <w:t xml:space="preserve"> Tenant may use, in common with Landlord and other parties and subject to the Rules and Regulations (defined in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any portions of the Property that are designated from time to time by Landlord for such use (the “</w:t>
      </w:r>
      <w:r>
        <w:rPr>
          <w:rFonts w:ascii="Arial" w:cs="Arial" w:eastAsia="Arial" w:hAnsi="Arial"/>
          <w:sz w:val="18"/>
          <w:szCs w:val="18"/>
          <w:b w:val="1"/>
          <w:bCs w:val="1"/>
          <w:color w:val="auto"/>
        </w:rPr>
        <w:t>Common Areas</w:t>
      </w:r>
      <w:r>
        <w:rPr>
          <w:rFonts w:ascii="Arial" w:cs="Arial" w:eastAsia="Arial" w:hAnsi="Arial"/>
          <w:sz w:val="18"/>
          <w:szCs w:val="18"/>
          <w:color w:val="auto"/>
        </w:rPr>
        <w:t>”).</w:t>
      </w:r>
    </w:p>
    <w:p>
      <w:pPr>
        <w:spacing w:after="0" w:line="118" w:lineRule="exact"/>
        <w:rPr>
          <w:sz w:val="20"/>
          <w:szCs w:val="20"/>
          <w:color w:val="auto"/>
        </w:rPr>
      </w:pPr>
    </w:p>
    <w:p>
      <w:pPr>
        <w:jc w:val="both"/>
        <w:ind w:firstLine="8"/>
        <w:spacing w:after="0" w:line="270" w:lineRule="auto"/>
        <w:tabs>
          <w:tab w:leader="none" w:pos="74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RENT. </w:t>
      </w:r>
      <w:r>
        <w:rPr>
          <w:rFonts w:ascii="Arial" w:cs="Arial" w:eastAsia="Arial" w:hAnsi="Arial"/>
          <w:sz w:val="18"/>
          <w:szCs w:val="18"/>
          <w:color w:val="auto"/>
        </w:rPr>
        <w:t>Tenant shall pay all Base Rent and Additional Rent (defined below) (collectively, “</w:t>
      </w:r>
      <w:r>
        <w:rPr>
          <w:rFonts w:ascii="Arial" w:cs="Arial" w:eastAsia="Arial" w:hAnsi="Arial"/>
          <w:sz w:val="18"/>
          <w:szCs w:val="18"/>
          <w:b w:val="1"/>
          <w:bCs w:val="1"/>
          <w:color w:val="auto"/>
        </w:rPr>
        <w:t>Rent</w:t>
      </w:r>
      <w:r>
        <w:rPr>
          <w:rFonts w:ascii="Arial" w:cs="Arial" w:eastAsia="Arial" w:hAnsi="Arial"/>
          <w:sz w:val="18"/>
          <w:szCs w:val="18"/>
          <w:color w:val="auto"/>
        </w:rPr>
        <w:t>”) to Landlord or Landlord’s agent,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prior notice or demand or any setoff or deduction, at the place Landlord may designate from time to time, in money of the United States of America that, at the time of payment, is legal tender for the payment of all obligations. As used herein, “</w:t>
      </w:r>
      <w:r>
        <w:rPr>
          <w:rFonts w:ascii="Arial" w:cs="Arial" w:eastAsia="Arial" w:hAnsi="Arial"/>
          <w:sz w:val="18"/>
          <w:szCs w:val="18"/>
          <w:b w:val="1"/>
          <w:bCs w:val="1"/>
          <w:color w:val="auto"/>
        </w:rPr>
        <w:t>Additional Rent</w:t>
      </w:r>
      <w:r>
        <w:rPr>
          <w:rFonts w:ascii="Arial" w:cs="Arial" w:eastAsia="Arial" w:hAnsi="Arial"/>
          <w:sz w:val="18"/>
          <w:szCs w:val="18"/>
          <w:color w:val="auto"/>
        </w:rPr>
        <w:t xml:space="preserve">” means all amounts, other than Base Rent, that Tenant is required to pay Landlord hereunder. Monthly payments of Base Rent and monthly payments of Additional Rent for Expenses (defined in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Taxes (defined in </w:t>
      </w:r>
      <w:r>
        <w:rPr>
          <w:rFonts w:ascii="Arial" w:cs="Arial" w:eastAsia="Arial" w:hAnsi="Arial"/>
          <w:sz w:val="18"/>
          <w:szCs w:val="18"/>
          <w:u w:val="single" w:color="auto"/>
          <w:color w:val="auto"/>
        </w:rPr>
        <w:t>Section 4.2.3</w:t>
      </w:r>
      <w:r>
        <w:rPr>
          <w:rFonts w:ascii="Arial" w:cs="Arial" w:eastAsia="Arial" w:hAnsi="Arial"/>
          <w:sz w:val="18"/>
          <w:szCs w:val="18"/>
          <w:color w:val="auto"/>
        </w:rPr>
        <w:t>) and parking (collectively, “</w:t>
      </w:r>
      <w:r>
        <w:rPr>
          <w:rFonts w:ascii="Arial" w:cs="Arial" w:eastAsia="Arial" w:hAnsi="Arial"/>
          <w:sz w:val="18"/>
          <w:szCs w:val="18"/>
          <w:b w:val="1"/>
          <w:bCs w:val="1"/>
          <w:color w:val="auto"/>
        </w:rPr>
        <w:t>Monthly</w:t>
      </w:r>
      <w:r>
        <w:rPr>
          <w:rFonts w:ascii="Arial" w:cs="Arial" w:eastAsia="Arial" w:hAnsi="Arial"/>
          <w:sz w:val="18"/>
          <w:szCs w:val="18"/>
          <w:color w:val="auto"/>
        </w:rPr>
        <w:t xml:space="preserve"> </w:t>
      </w:r>
      <w:r>
        <w:rPr>
          <w:rFonts w:ascii="Arial" w:cs="Arial" w:eastAsia="Arial" w:hAnsi="Arial"/>
          <w:sz w:val="18"/>
          <w:szCs w:val="18"/>
          <w:b w:val="1"/>
          <w:bCs w:val="1"/>
          <w:color w:val="auto"/>
        </w:rPr>
        <w:t>Rent</w:t>
      </w:r>
      <w:r>
        <w:rPr>
          <w:rFonts w:ascii="Arial" w:cs="Arial" w:eastAsia="Arial" w:hAnsi="Arial"/>
          <w:sz w:val="18"/>
          <w:szCs w:val="18"/>
          <w:color w:val="auto"/>
        </w:rPr>
        <w:t>”) shall be paid in advance on or before the first day of each calendar month during the Term; provided, however, that the installment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Base Rent for the first full calendar month for which Base Rent is payable hereunder shall be paid upon Tenant’s execution and delivery hereof. Except as otherwise provided herein, all other items of Additional Rent shall be paid within 30 days after Landlord’s request for payment. Rent for any partial calendar month shall be prorated based on the actual number of days in such month. Without limiting Landlord’s other rights or remedies, (a) if any installment of Rent is not received by Landlord or its designee within five (5) business days after its due date, Tenant shall pay Landlord a late charge equal to 5% of the overdue amount (provided, however, that such late charge shall not apply to any such delinquency unless either (i) such delinquency is not cured within five (5) business days after notice from Landlord, or (ii) Tenant previously received notice from Landlord of a delinquency that occurred earlier in the same calendar year); and (b) any Rent that is not paid within 10 days after its due date shall bear interest, from its due date until paid, at the lesser of 10% per annum or the highest rate permitted by Law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Tenant’s covenant to pay Rent is independent of every other covenant herein.</w:t>
      </w:r>
    </w:p>
    <w:p>
      <w:pPr>
        <w:spacing w:after="0" w:line="166"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EXPENSES AND TAXES.</w:t>
      </w:r>
    </w:p>
    <w:p>
      <w:pPr>
        <w:spacing w:after="0" w:line="216" w:lineRule="exact"/>
        <w:rPr>
          <w:sz w:val="20"/>
          <w:szCs w:val="20"/>
          <w:color w:val="auto"/>
        </w:rPr>
      </w:pPr>
    </w:p>
    <w:p>
      <w:pPr>
        <w:jc w:val="both"/>
        <w:ind w:firstLine="524"/>
        <w:spacing w:after="0" w:line="244"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b w:val="1"/>
          <w:bCs w:val="1"/>
          <w:u w:val="single" w:color="auto"/>
          <w:color w:val="auto"/>
        </w:rPr>
        <w:t>General Terms</w:t>
      </w:r>
      <w:r>
        <w:rPr>
          <w:rFonts w:ascii="Arial" w:cs="Arial" w:eastAsia="Arial" w:hAnsi="Arial"/>
          <w:sz w:val="20"/>
          <w:szCs w:val="20"/>
          <w:b w:val="1"/>
          <w:bCs w:val="1"/>
          <w:color w:val="auto"/>
        </w:rPr>
        <w:t>.</w:t>
      </w:r>
      <w:r>
        <w:rPr>
          <w:rFonts w:ascii="Arial" w:cs="Arial" w:eastAsia="Arial" w:hAnsi="Arial"/>
          <w:sz w:val="20"/>
          <w:szCs w:val="20"/>
          <w:color w:val="auto"/>
        </w:rPr>
        <w:t xml:space="preserve"> In addition to Base Rent, Tenant shall pay, in accordance with </w:t>
      </w:r>
      <w:r>
        <w:rPr>
          <w:rFonts w:ascii="Arial" w:cs="Arial" w:eastAsia="Arial" w:hAnsi="Arial"/>
          <w:sz w:val="20"/>
          <w:szCs w:val="20"/>
          <w:u w:val="single" w:color="auto"/>
          <w:color w:val="auto"/>
        </w:rPr>
        <w:t>Section 4.4</w:t>
      </w:r>
      <w:r>
        <w:rPr>
          <w:rFonts w:ascii="Arial" w:cs="Arial" w:eastAsia="Arial" w:hAnsi="Arial"/>
          <w:sz w:val="20"/>
          <w:szCs w:val="20"/>
          <w:color w:val="auto"/>
        </w:rPr>
        <w:t xml:space="preserve">, for each Expense Year (defined in </w:t>
      </w:r>
      <w:r>
        <w:rPr>
          <w:rFonts w:ascii="Arial" w:cs="Arial" w:eastAsia="Arial" w:hAnsi="Arial"/>
          <w:sz w:val="20"/>
          <w:szCs w:val="20"/>
          <w:u w:val="single" w:color="auto"/>
          <w:color w:val="auto"/>
        </w:rPr>
        <w:t>Section 4.2.1</w:t>
      </w:r>
      <w:r>
        <w:rPr>
          <w:rFonts w:ascii="Arial" w:cs="Arial" w:eastAsia="Arial" w:hAnsi="Arial"/>
          <w:sz w:val="20"/>
          <w:szCs w:val="20"/>
          <w:color w:val="auto"/>
        </w:rPr>
        <w:t>), an amount equal to the sum of (a) Tenant’s Share of any amount (the “</w:t>
      </w:r>
      <w:r>
        <w:rPr>
          <w:rFonts w:ascii="Arial" w:cs="Arial" w:eastAsia="Arial" w:hAnsi="Arial"/>
          <w:sz w:val="20"/>
          <w:szCs w:val="20"/>
          <w:b w:val="1"/>
          <w:bCs w:val="1"/>
          <w:color w:val="auto"/>
        </w:rPr>
        <w:t>Expense Excess</w:t>
      </w:r>
      <w:r>
        <w:rPr>
          <w:rFonts w:ascii="Arial" w:cs="Arial" w:eastAsia="Arial" w:hAnsi="Arial"/>
          <w:sz w:val="20"/>
          <w:szCs w:val="20"/>
          <w:color w:val="auto"/>
        </w:rPr>
        <w:t>”) by which Expenses for such Expense Year exceed Expenses for the Base Year, plus (b) Tenant’s Share of any amount (the “</w:t>
      </w:r>
      <w:r>
        <w:rPr>
          <w:rFonts w:ascii="Arial" w:cs="Arial" w:eastAsia="Arial" w:hAnsi="Arial"/>
          <w:sz w:val="20"/>
          <w:szCs w:val="20"/>
          <w:b w:val="1"/>
          <w:bCs w:val="1"/>
          <w:color w:val="auto"/>
        </w:rPr>
        <w:t>Tax Excess</w:t>
      </w:r>
      <w:r>
        <w:rPr>
          <w:rFonts w:ascii="Arial" w:cs="Arial" w:eastAsia="Arial" w:hAnsi="Arial"/>
          <w:sz w:val="20"/>
          <w:szCs w:val="20"/>
          <w:color w:val="auto"/>
        </w:rPr>
        <w:t>”) by which Taxes for such Expense Year exceed Taxes for the Base Year. No decrease in Expenses or Taxes for any Expense Year below the corresponding amount for the Base Year shall entitle Tenant to any decrease in Base Rent or any credit against amounts due hereunder. Tenant’s Share of the Expense Excess and Tenant’s Share of the Tax Excess for any partial Expense Year shall be prorated based on the number of days in such Expense Year.</w:t>
      </w:r>
    </w:p>
    <w:p>
      <w:pPr>
        <w:spacing w:after="0" w:line="186" w:lineRule="exact"/>
        <w:rPr>
          <w:sz w:val="20"/>
          <w:szCs w:val="20"/>
          <w:color w:val="auto"/>
        </w:rPr>
      </w:pPr>
    </w:p>
    <w:p>
      <w:pPr>
        <w:ind w:left="520"/>
        <w:spacing w:after="0"/>
        <w:tabs>
          <w:tab w:leader="none" w:pos="14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As used herein, the following terms have the following meanings:</w:t>
      </w:r>
    </w:p>
    <w:p>
      <w:pPr>
        <w:spacing w:after="0" w:line="216" w:lineRule="exact"/>
        <w:rPr>
          <w:sz w:val="20"/>
          <w:szCs w:val="20"/>
          <w:color w:val="auto"/>
        </w:rPr>
      </w:pPr>
    </w:p>
    <w:p>
      <w:pPr>
        <w:jc w:val="both"/>
        <w:ind w:right="20" w:firstLine="1138"/>
        <w:spacing w:after="0" w:line="267" w:lineRule="auto"/>
        <w:rPr>
          <w:sz w:val="20"/>
          <w:szCs w:val="20"/>
          <w:color w:val="auto"/>
        </w:rPr>
      </w:pPr>
      <w:r>
        <w:rPr>
          <w:rFonts w:ascii="Arial" w:cs="Arial" w:eastAsia="Arial" w:hAnsi="Arial"/>
          <w:sz w:val="20"/>
          <w:szCs w:val="20"/>
          <w:color w:val="auto"/>
        </w:rPr>
        <w:t>4.2.1 “</w:t>
      </w:r>
      <w:r>
        <w:rPr>
          <w:rFonts w:ascii="Arial" w:cs="Arial" w:eastAsia="Arial" w:hAnsi="Arial"/>
          <w:sz w:val="20"/>
          <w:szCs w:val="20"/>
          <w:b w:val="1"/>
          <w:bCs w:val="1"/>
          <w:color w:val="auto"/>
        </w:rPr>
        <w:t>Expense Year</w:t>
      </w:r>
      <w:r>
        <w:rPr>
          <w:rFonts w:ascii="Arial" w:cs="Arial" w:eastAsia="Arial" w:hAnsi="Arial"/>
          <w:sz w:val="20"/>
          <w:szCs w:val="20"/>
          <w:color w:val="auto"/>
        </w:rPr>
        <w:t>” means each calendar year (other than the Base Year and any preceding calendar year) in which any portion of the Term occurs.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603" w:gutter="0" w:footer="0" w:header="0"/>
        </w:sectPr>
      </w:pPr>
    </w:p>
    <w:bookmarkStart w:id="26" w:name="page27"/>
    <w:bookmarkEnd w:id="26"/>
    <w:p>
      <w:pPr>
        <w:jc w:val="both"/>
        <w:ind w:firstLine="1138"/>
        <w:spacing w:after="0" w:line="268" w:lineRule="auto"/>
        <w:rPr>
          <w:sz w:val="20"/>
          <w:szCs w:val="20"/>
          <w:color w:val="auto"/>
        </w:rPr>
      </w:pPr>
      <w:r>
        <w:rPr>
          <w:rFonts w:ascii="Arial" w:cs="Arial" w:eastAsia="Arial" w:hAnsi="Arial"/>
          <w:sz w:val="18"/>
          <w:szCs w:val="18"/>
          <w:color w:val="auto"/>
        </w:rPr>
        <w:t>4.2.2 “</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means all expenses, costs and amounts that Landlord pays or accrues during the Base Year or any Expense Year because of or in connection with the ownership, management, maintenance, security, repair, replacement, restoration or operation of the Property. Landlord shall act in a reasonable manner in incurring Expenses. Expenses shall include (i) the cost of supplying all utilities, the cost of operating, repairing, maintaining and renovating the utility, telephone, mechanical, sanitary, storm-drainage, and elevator systems, and the cost of maintenance and service contracts in connection therewith; (ii) the cost of licenses, certificates, permits and inspections, the cost of contesting any Laws that may affect Expenses, and the costs of complying with any governmentally-mandated transportation-management or similar program; (iii) the cost of all insurance premiums and deductibles; (iv) the cost of landscaping and relamping; (v) the cost of parking-area operation, repair, restoration, and maintenance; (vi) a management fee in the amount (which fee may be imputed if Landlord has internalized management or otherwise acts as its own property manager and which fee is hereby acknowledged to be reasonable) of 3% of gross annual receipts from the Property (excluding the management fee), together with other fees and costs, including consulting fees, legal fees and accounting fees, of all contractors and consultants in connection with the management, operation, maintenance and repair of the Property; (vii) the fair rental value of any management office space; (viii) wages, salaries and other compensation, expenses and benefits, including taxes levied thereon, of all persons engaged in the operation, maintenance and security of the Property, and costs of training, uniforms, and employee enrichment for such persons; (ix) the costs of operation, repair, maintenance and replacement of all systems and equipment (and components thereof) of the Property; (x) the cost of janitorial, alarm, security and other services, replacement of wall and floor coverings, ceiling tiles and fixtures in Common Areas, maintenance and replacement of curbs and walkways, repair to roofs and re-roofing; (xi) rental or acquisition costs of supplies, tools, equipment, materials and personal property used in the maintenance, operation and repair of the Property; (xii) the cost of capital improvements or any other items that are (A) intended to reduce current or future Expenses, enhance the safety or security of the Property or its occupants, or enhance the environmental sustainability of the Property’s operations, (B) replacements or modifications of the nonstructural portions of the Base Building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or Common Areas that are required to keep the Base Building or Common Areas in good condition, or (C) required under any Law; (xiii) the cost of tenant-relation programs reasonably established by Landlord; and (xiv) payments under any existing or future reciprocal easement agreement, transportation management agreement, cost-sharing agreement or other covenant, condition, restriction or similar instrument affecting the Property.</w:t>
      </w:r>
    </w:p>
    <w:p>
      <w:pPr>
        <w:spacing w:after="0" w:line="18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Notwithstanding the foregoing, Expenses shall not include: (a) capital expenditures not described in clauses (xi) or (xii) above (in addition, any capital expenditure shall be included in Expenses only if paid or accrued after the Base Year and shall be amortized (including actual or imputed interest on the amortized cost) over the lesser of (i) the useful life of the item purchased through such capital expenditure, as reasonably determined by Landlord, or (ii) the period of time that Landlord reasonably estimates will be required for any Expense savings resulting from such capital expenditure to equal such capital expenditure; provided, however, that any capital expenditure that is included in Expenses solely on the grounds that it is intended to reduce current or future Expenses shall be so amortized over the period of time described in the preceding clause (ii)); (b) depreciation; (c) principal payments of mortgage or other non-operating debts of Landlord; (d) costs of repairs to the extent Landlord is reimbursed by insurance or condemnation proceeds; (e) except as provided in clause (xiii) above, costs of leasing space in the Building, including brokerage commissions, lease concessions, rental abatements and construction allowances granted to specific tenants; (f) costs of selling, financing or refinancing the Building; (g) fines, penalties or interest resulting from late payment of Taxes or Expenses; (h) organizational expenses of creating or operating the entity that constitutes Landlord; or (i) damages paid to Tenant hereunder or to other tenants of the Building under their respective leases.</w:t>
      </w:r>
    </w:p>
    <w:p>
      <w:pPr>
        <w:spacing w:after="0" w:line="17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 xml:space="preserve">If, during any portion of the Base Year or any Expense Year, the Building is not 100% occupied (or a service provided by Landlord to Tenant is not provided by Landlord to a tenant that provides such service itself, or any tenant of the Building is entitled to free rent, rent abatement or the like), Expenses which vary with occupancy for such year shall be determined as if the Building had been 100% occupied (and all services provided by Landlord to Tenant had been provided by Landlord to all tenants, and no tenant of the Building had been entitled to free rent, rent abatement or the like) during such portion of such year. Notwithstanding any contrary provision hereof, Expenses for the Base Year shall exclude (a) any market-wide cost increases resulting from extraordinary circumstances, including Force Majeure (defined in </w:t>
      </w:r>
      <w:r>
        <w:rPr>
          <w:rFonts w:ascii="Arial" w:cs="Arial" w:eastAsia="Arial" w:hAnsi="Arial"/>
          <w:sz w:val="18"/>
          <w:szCs w:val="18"/>
          <w:u w:val="single" w:color="auto"/>
          <w:color w:val="auto"/>
        </w:rPr>
        <w:t>Section 25.2</w:t>
      </w:r>
      <w:r>
        <w:rPr>
          <w:rFonts w:ascii="Arial" w:cs="Arial" w:eastAsia="Arial" w:hAnsi="Arial"/>
          <w:sz w:val="18"/>
          <w:szCs w:val="18"/>
          <w:color w:val="auto"/>
        </w:rPr>
        <w:t>), boycotts, strikes, conservation surcharges, embargoes or shortages, and (b) at Landlord’s option, the cost of any repair or replacement that Landlord reasonably expects will not recur on an annual or more frequent basis; provided, however, that if (i) any amounts of a given type (as determined in good faith by Landlord) that would otherwise be included in Expenses for the Base Year are excluded from such Expenses pursuant to the preceding clause (a) or (b) (collectively, an “</w:t>
      </w:r>
      <w:r>
        <w:rPr>
          <w:rFonts w:ascii="Arial" w:cs="Arial" w:eastAsia="Arial" w:hAnsi="Arial"/>
          <w:sz w:val="18"/>
          <w:szCs w:val="18"/>
          <w:b w:val="1"/>
          <w:bCs w:val="1"/>
          <w:color w:val="auto"/>
        </w:rPr>
        <w:t>Excluded Base Year Amount</w:t>
      </w:r>
      <w:r>
        <w:rPr>
          <w:rFonts w:ascii="Arial" w:cs="Arial" w:eastAsia="Arial" w:hAnsi="Arial"/>
          <w:sz w:val="18"/>
          <w:szCs w:val="18"/>
          <w:color w:val="auto"/>
        </w:rPr>
        <w:t>”), and (ii) any amounts of the same type (as determined in good faith by Landlord) are incurred in, and would otherwise be included in Expenses for, any Expense Year, then such amounts incurred in such Expense Year shall be included in Expenses for such Expense Year only to the extent, if any, that they collectively exceed such Excluded Base Year Amount.</w:t>
      </w:r>
    </w:p>
    <w:p>
      <w:pPr>
        <w:spacing w:after="0" w:line="166" w:lineRule="exact"/>
        <w:rPr>
          <w:sz w:val="20"/>
          <w:szCs w:val="20"/>
          <w:color w:val="auto"/>
        </w:rPr>
      </w:pPr>
    </w:p>
    <w:p>
      <w:pPr>
        <w:jc w:val="both"/>
        <w:ind w:firstLine="1138"/>
        <w:spacing w:after="0" w:line="255" w:lineRule="auto"/>
        <w:rPr>
          <w:sz w:val="20"/>
          <w:szCs w:val="20"/>
          <w:color w:val="auto"/>
        </w:rPr>
      </w:pPr>
      <w:r>
        <w:rPr>
          <w:rFonts w:ascii="Arial" w:cs="Arial" w:eastAsia="Arial" w:hAnsi="Arial"/>
          <w:sz w:val="19"/>
          <w:szCs w:val="19"/>
          <w:color w:val="auto"/>
        </w:rPr>
        <w:t>4.2.3 “</w:t>
      </w:r>
      <w:r>
        <w:rPr>
          <w:rFonts w:ascii="Arial" w:cs="Arial" w:eastAsia="Arial" w:hAnsi="Arial"/>
          <w:sz w:val="19"/>
          <w:szCs w:val="19"/>
          <w:b w:val="1"/>
          <w:bCs w:val="1"/>
          <w:color w:val="auto"/>
        </w:rPr>
        <w:t>Taxes</w:t>
      </w:r>
      <w:r>
        <w:rPr>
          <w:rFonts w:ascii="Arial" w:cs="Arial" w:eastAsia="Arial" w:hAnsi="Arial"/>
          <w:sz w:val="19"/>
          <w:szCs w:val="19"/>
          <w:color w:val="auto"/>
        </w:rPr>
        <w:t>” means all federal, state, county or local governmental or municipal taxes, fees, charges, assessments, levies, licenses or other impositions, whether general, special, ordinary or extraordinary, that are paid or accrued during the Base Year or any Expense Year (without regard to any different fiscal year used by such governmental or municipal authority) because of or in connection with the ownership, leasing or operation of the Property. Taxes shall include (a) real estate taxes; (b) general and special assessments; (c) transit taxes; (d) leasehold taxes; (e) personal property taxes imposed upon the fixtures, machinery, equipment, apparatus, systems, appurtenances, furniture and other personal property used in connection with the Property; (f) any tax on the rent, right to rent or other receipts from any portion of the Property or as against the business of leasing any portion of the Property; (g) any assessment, tax, fee, levy or charge imposed by any governmental agency, or by any non-governmental entity pursuant to any private cost-sharing agreement, in order to fund the provision or enhancement of any fire-protection, street-, sidewalk- or road-maintenance, refuse-removal or other service that is (or, before the enactment of Proposition 13, was) normally provided by governmental agencies to property owners or occupants without charge (other than through real property taxes); and (h) payments in lieu of taxes under any tax increment financing agreement, abatement agreement, agreement to construct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36" w:gutter="0" w:footer="0" w:header="0"/>
        </w:sectPr>
      </w:pPr>
    </w:p>
    <w:bookmarkStart w:id="27" w:name="page28"/>
    <w:bookmarkEnd w:id="27"/>
    <w:p>
      <w:pPr>
        <w:jc w:val="both"/>
        <w:spacing w:after="0" w:line="273" w:lineRule="auto"/>
        <w:rPr>
          <w:sz w:val="20"/>
          <w:szCs w:val="20"/>
          <w:color w:val="auto"/>
        </w:rPr>
      </w:pPr>
      <w:r>
        <w:rPr>
          <w:rFonts w:ascii="Arial" w:cs="Arial" w:eastAsia="Arial" w:hAnsi="Arial"/>
          <w:sz w:val="18"/>
          <w:szCs w:val="18"/>
          <w:color w:val="auto"/>
        </w:rPr>
        <w:t xml:space="preserve">improvements, or other agreement with any governmental body or agency or taxing authority. Any costs and expenses (including reasonable attorneys’ and consultants’ fees) incurred in attempting to protest, reduce or minimize Taxes shall be included in Taxes for the year in which they are incurred. Notwithstanding any contrary provision hereof, Taxes shall be determined without regard to any “green building” credit and shall exclude (i) all excess profits taxes, franchise taxes, gift taxes, capital stock taxes, inheritance and succession taxes, transfer taxes, estate taxes, federal and state income taxes, and other taxes to the extent (x) applicable to Landlord’s general or net income (as opposed to rents or receipts attributable to operations at the Property), or (y) measured solely by the square footage, rent, fees, services, tenant allowances or similar amounts, rights or obligations described or provided in or under any particular lease, license or similar agreement or transaction at the Building; (ii) any Expenses, and (iii) any items required to be paid or reimbursed by Tenant under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162" w:lineRule="exact"/>
        <w:rPr>
          <w:sz w:val="20"/>
          <w:szCs w:val="20"/>
          <w:color w:val="auto"/>
        </w:rPr>
      </w:pPr>
    </w:p>
    <w:p>
      <w:pPr>
        <w:jc w:val="both"/>
        <w:ind w:firstLine="524"/>
        <w:spacing w:after="0" w:line="27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u w:val="single" w:color="auto"/>
          <w:color w:val="auto"/>
        </w:rPr>
        <w:t>Allocation</w:t>
      </w:r>
      <w:r>
        <w:rPr>
          <w:rFonts w:ascii="Arial" w:cs="Arial" w:eastAsia="Arial" w:hAnsi="Arial"/>
          <w:sz w:val="19"/>
          <w:szCs w:val="19"/>
          <w:b w:val="1"/>
          <w:bCs w:val="1"/>
          <w:color w:val="auto"/>
        </w:rPr>
        <w:t>.</w:t>
      </w:r>
      <w:r>
        <w:rPr>
          <w:rFonts w:ascii="Arial" w:cs="Arial" w:eastAsia="Arial" w:hAnsi="Arial"/>
          <w:sz w:val="19"/>
          <w:szCs w:val="19"/>
          <w:color w:val="auto"/>
        </w:rPr>
        <w:t xml:space="preserve"> Landlord, in its reasonable discretion, may equitably allocate Expenses among office, retail or other portions or occupants of the Property. If Landlord incurs Expenses or Taxes for the Property together with another property, Landlord, in its reasonable discretion, shall equitably allocate such shared amounts between the Property and such other property.</w:t>
      </w:r>
    </w:p>
    <w:p>
      <w:pPr>
        <w:spacing w:after="0" w:line="162"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b w:val="1"/>
          <w:bCs w:val="1"/>
          <w:u w:val="single" w:color="auto"/>
          <w:color w:val="auto"/>
        </w:rPr>
        <w:t>Calculation and Payment of Expense Excess and Tax Excess</w:t>
      </w:r>
      <w:r>
        <w:rPr>
          <w:rFonts w:ascii="Arial" w:cs="Arial" w:eastAsia="Arial" w:hAnsi="Arial"/>
          <w:sz w:val="16"/>
          <w:szCs w:val="16"/>
          <w:b w:val="1"/>
          <w:bCs w:val="1"/>
          <w:color w:val="auto"/>
        </w:rPr>
        <w:t>.</w:t>
      </w:r>
    </w:p>
    <w:p>
      <w:pPr>
        <w:spacing w:after="0" w:line="216" w:lineRule="exact"/>
        <w:rPr>
          <w:sz w:val="20"/>
          <w:szCs w:val="20"/>
          <w:color w:val="auto"/>
        </w:rPr>
      </w:pPr>
    </w:p>
    <w:p>
      <w:pPr>
        <w:jc w:val="both"/>
        <w:ind w:firstLine="1138"/>
        <w:spacing w:after="0" w:line="257" w:lineRule="auto"/>
        <w:rPr>
          <w:sz w:val="20"/>
          <w:szCs w:val="20"/>
          <w:color w:val="auto"/>
        </w:rPr>
      </w:pPr>
      <w:r>
        <w:rPr>
          <w:rFonts w:ascii="Arial" w:cs="Arial" w:eastAsia="Arial" w:hAnsi="Arial"/>
          <w:sz w:val="19"/>
          <w:szCs w:val="19"/>
          <w:color w:val="auto"/>
        </w:rPr>
        <w:t xml:space="preserve">4.4.1 </w:t>
      </w:r>
      <w:r>
        <w:rPr>
          <w:rFonts w:ascii="Arial" w:cs="Arial" w:eastAsia="Arial" w:hAnsi="Arial"/>
          <w:sz w:val="19"/>
          <w:szCs w:val="19"/>
          <w:b w:val="1"/>
          <w:bCs w:val="1"/>
          <w:color w:val="auto"/>
        </w:rPr>
        <w:t>Statement of Actual Expenses and Taxes; Payment by Tenant.</w:t>
      </w:r>
      <w:r>
        <w:rPr>
          <w:rFonts w:ascii="Arial" w:cs="Arial" w:eastAsia="Arial" w:hAnsi="Arial"/>
          <w:sz w:val="19"/>
          <w:szCs w:val="19"/>
          <w:color w:val="auto"/>
        </w:rPr>
        <w:t xml:space="preserve"> Landlord shall give to Tenant, after the end of each Expense Year, a statement (the “</w:t>
      </w:r>
      <w:r>
        <w:rPr>
          <w:rFonts w:ascii="Arial" w:cs="Arial" w:eastAsia="Arial" w:hAnsi="Arial"/>
          <w:sz w:val="19"/>
          <w:szCs w:val="19"/>
          <w:b w:val="1"/>
          <w:bCs w:val="1"/>
          <w:color w:val="auto"/>
        </w:rPr>
        <w:t>Statement</w:t>
      </w:r>
      <w:r>
        <w:rPr>
          <w:rFonts w:ascii="Arial" w:cs="Arial" w:eastAsia="Arial" w:hAnsi="Arial"/>
          <w:sz w:val="19"/>
          <w:szCs w:val="19"/>
          <w:color w:val="auto"/>
        </w:rPr>
        <w:t xml:space="preserve">”) setting forth the actual Expenses, Taxes, Expense Excess and Tax Excess for such Expense Year. If the amount paid by Tenant for such Expense Year pursuant to </w:t>
      </w:r>
      <w:r>
        <w:rPr>
          <w:rFonts w:ascii="Arial" w:cs="Arial" w:eastAsia="Arial" w:hAnsi="Arial"/>
          <w:sz w:val="19"/>
          <w:szCs w:val="19"/>
          <w:u w:val="single" w:color="auto"/>
          <w:color w:val="auto"/>
        </w:rPr>
        <w:t>Section 4.4.2</w:t>
      </w:r>
      <w:r>
        <w:rPr>
          <w:rFonts w:ascii="Arial" w:cs="Arial" w:eastAsia="Arial" w:hAnsi="Arial"/>
          <w:sz w:val="19"/>
          <w:szCs w:val="19"/>
          <w:color w:val="auto"/>
        </w:rPr>
        <w:t xml:space="preserve"> is less or more than the sum of Tenant’s Share of the actual Expense Excess plus Tenant’s Share of the actual Tax Excess (as such amounts are set forth in such Statement), Tenant shall pay Landlord the amount of such underpayment, or receive a credit in the amount of such overpayment, with or against the Rent then or next due hereunder; provided, however, that if this Lease has expired or terminated and Tenant has vacated the Premises, Tenant shall pay Landlord the amount of such underpayment, or Landlord shall pay Tenant the amount of such overpayment (less any Rent due), within 30 days after delivery of such Statement. Any failure of Landlord to timely deliver the Statement for any Expense Year shall not diminish either party’s rights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w:t>
      </w:r>
    </w:p>
    <w:p>
      <w:pPr>
        <w:spacing w:after="0" w:line="176" w:lineRule="exact"/>
        <w:rPr>
          <w:sz w:val="20"/>
          <w:szCs w:val="20"/>
          <w:color w:val="auto"/>
        </w:rPr>
      </w:pPr>
    </w:p>
    <w:p>
      <w:pPr>
        <w:jc w:val="both"/>
        <w:ind w:firstLine="1138"/>
        <w:spacing w:after="0" w:line="255" w:lineRule="auto"/>
        <w:rPr>
          <w:sz w:val="20"/>
          <w:szCs w:val="20"/>
          <w:color w:val="auto"/>
        </w:rPr>
      </w:pPr>
      <w:r>
        <w:rPr>
          <w:rFonts w:ascii="Arial" w:cs="Arial" w:eastAsia="Arial" w:hAnsi="Arial"/>
          <w:sz w:val="19"/>
          <w:szCs w:val="19"/>
          <w:color w:val="auto"/>
        </w:rPr>
        <w:t xml:space="preserve">4.4.2 </w:t>
      </w:r>
      <w:r>
        <w:rPr>
          <w:rFonts w:ascii="Arial" w:cs="Arial" w:eastAsia="Arial" w:hAnsi="Arial"/>
          <w:sz w:val="19"/>
          <w:szCs w:val="19"/>
          <w:b w:val="1"/>
          <w:bCs w:val="1"/>
          <w:color w:val="auto"/>
        </w:rPr>
        <w:t>Statement of Estimated Expenses and Taxes.</w:t>
      </w:r>
      <w:r>
        <w:rPr>
          <w:rFonts w:ascii="Arial" w:cs="Arial" w:eastAsia="Arial" w:hAnsi="Arial"/>
          <w:sz w:val="19"/>
          <w:szCs w:val="19"/>
          <w:color w:val="auto"/>
        </w:rPr>
        <w:t xml:space="preserve"> Landlord shall give to Tenant, for each Expense Year, a statement (the “</w:t>
      </w:r>
      <w:r>
        <w:rPr>
          <w:rFonts w:ascii="Arial" w:cs="Arial" w:eastAsia="Arial" w:hAnsi="Arial"/>
          <w:sz w:val="19"/>
          <w:szCs w:val="19"/>
          <w:b w:val="1"/>
          <w:bCs w:val="1"/>
          <w:color w:val="auto"/>
        </w:rPr>
        <w:t>Estimate Statement</w:t>
      </w:r>
      <w:r>
        <w:rPr>
          <w:rFonts w:ascii="Arial" w:cs="Arial" w:eastAsia="Arial" w:hAnsi="Arial"/>
          <w:sz w:val="19"/>
          <w:szCs w:val="19"/>
          <w:color w:val="auto"/>
        </w:rPr>
        <w:t>”) setting forth Landlord’s reasonable estimates of the Expenses, Taxes, Expense Excess (the “</w:t>
      </w:r>
      <w:r>
        <w:rPr>
          <w:rFonts w:ascii="Arial" w:cs="Arial" w:eastAsia="Arial" w:hAnsi="Arial"/>
          <w:sz w:val="19"/>
          <w:szCs w:val="19"/>
          <w:b w:val="1"/>
          <w:bCs w:val="1"/>
          <w:color w:val="auto"/>
        </w:rPr>
        <w:t>Estimated Expense</w:t>
      </w:r>
      <w:r>
        <w:rPr>
          <w:rFonts w:ascii="Arial" w:cs="Arial" w:eastAsia="Arial" w:hAnsi="Arial"/>
          <w:sz w:val="19"/>
          <w:szCs w:val="19"/>
          <w:color w:val="auto"/>
        </w:rPr>
        <w:t xml:space="preserve"> </w:t>
      </w:r>
      <w:r>
        <w:rPr>
          <w:rFonts w:ascii="Arial" w:cs="Arial" w:eastAsia="Arial" w:hAnsi="Arial"/>
          <w:sz w:val="19"/>
          <w:szCs w:val="19"/>
          <w:b w:val="1"/>
          <w:bCs w:val="1"/>
          <w:color w:val="auto"/>
        </w:rPr>
        <w:t>Excess</w:t>
      </w:r>
      <w:r>
        <w:rPr>
          <w:rFonts w:ascii="Arial" w:cs="Arial" w:eastAsia="Arial" w:hAnsi="Arial"/>
          <w:sz w:val="19"/>
          <w:szCs w:val="19"/>
          <w:color w:val="auto"/>
        </w:rPr>
        <w:t>”) and Tax Excess (the “</w:t>
      </w:r>
      <w:r>
        <w:rPr>
          <w:rFonts w:ascii="Arial" w:cs="Arial" w:eastAsia="Arial" w:hAnsi="Arial"/>
          <w:sz w:val="19"/>
          <w:szCs w:val="19"/>
          <w:b w:val="1"/>
          <w:bCs w:val="1"/>
          <w:color w:val="auto"/>
        </w:rPr>
        <w:t>Estimated Tax Excess</w:t>
      </w:r>
      <w:r>
        <w:rPr>
          <w:rFonts w:ascii="Arial" w:cs="Arial" w:eastAsia="Arial" w:hAnsi="Arial"/>
          <w:sz w:val="19"/>
          <w:szCs w:val="19"/>
          <w:color w:val="auto"/>
        </w:rPr>
        <w:t>”) for such Expense Year. Upon receiving an Estimate Statement, Tenant shall pay,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its next installment of Base Rent, an amount equal to the excess of (a) the amount obtained by multiplying (i) the sum of Tenant’s Share of the Estimated Expense Excess plus Tenant’s Share of the Estimated Tax Excess (as such amounts are set forth in such Estimate Statement), by (ii) a fraction, the numerator of which is the number of months that have elapsed in the applicable Expense Year (including the month of such payment) and the denominator of which is 12, over (b) any amount previously paid by Tenant for such Expense Year pursuant to this </w:t>
      </w:r>
      <w:r>
        <w:rPr>
          <w:rFonts w:ascii="Arial" w:cs="Arial" w:eastAsia="Arial" w:hAnsi="Arial"/>
          <w:sz w:val="19"/>
          <w:szCs w:val="19"/>
          <w:u w:val="single" w:color="auto"/>
          <w:color w:val="auto"/>
        </w:rPr>
        <w:t>Section 4.4.2</w:t>
      </w:r>
      <w:r>
        <w:rPr>
          <w:rFonts w:ascii="Arial" w:cs="Arial" w:eastAsia="Arial" w:hAnsi="Arial"/>
          <w:sz w:val="19"/>
          <w:szCs w:val="19"/>
          <w:color w:val="auto"/>
        </w:rPr>
        <w:t xml:space="preserve">. Until Landlord delivers a new Estimate Statement (which Landlord may do at any time), Tenant shall pay monthly, with the monthly Base Rent installments, an amount equal to one-twelfth (1/12) of the sum of Tenant’s Share of the Estimated Expense Excess plus Tenant’s Share of the Estimated Tax Excess, as such amounts are set forth in the previous Estimate Statement. Any failure of Landlord to timely deliver any Estimate Statement shall not diminish Landlord’s rights to receive payments and revise any previous Estimate Statement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w:t>
      </w:r>
    </w:p>
    <w:p>
      <w:pPr>
        <w:spacing w:after="0" w:line="184" w:lineRule="exact"/>
        <w:rPr>
          <w:sz w:val="20"/>
          <w:szCs w:val="20"/>
          <w:color w:val="auto"/>
        </w:rPr>
      </w:pPr>
    </w:p>
    <w:p>
      <w:pPr>
        <w:jc w:val="both"/>
        <w:ind w:firstLine="1138"/>
        <w:spacing w:after="0" w:line="258" w:lineRule="auto"/>
        <w:rPr>
          <w:sz w:val="20"/>
          <w:szCs w:val="20"/>
          <w:color w:val="auto"/>
        </w:rPr>
      </w:pPr>
      <w:r>
        <w:rPr>
          <w:rFonts w:ascii="Arial" w:cs="Arial" w:eastAsia="Arial" w:hAnsi="Arial"/>
          <w:sz w:val="19"/>
          <w:szCs w:val="19"/>
          <w:color w:val="auto"/>
        </w:rPr>
        <w:t xml:space="preserve">4.4.3 </w:t>
      </w:r>
      <w:r>
        <w:rPr>
          <w:rFonts w:ascii="Arial" w:cs="Arial" w:eastAsia="Arial" w:hAnsi="Arial"/>
          <w:sz w:val="19"/>
          <w:szCs w:val="19"/>
          <w:b w:val="1"/>
          <w:bCs w:val="1"/>
          <w:color w:val="auto"/>
        </w:rPr>
        <w:t>Retroactive Adjustment of Taxes.</w:t>
      </w:r>
      <w:r>
        <w:rPr>
          <w:rFonts w:ascii="Arial" w:cs="Arial" w:eastAsia="Arial" w:hAnsi="Arial"/>
          <w:sz w:val="19"/>
          <w:szCs w:val="19"/>
          <w:color w:val="auto"/>
        </w:rPr>
        <w:t xml:space="preserve"> Notwithstanding any contrary provision hereof, if, after Landlord’s delivery of any Statement, an increase or decrease in Taxes occurs for the applicable Expense Year or for the Base Year (whether by reason of reassessment, error, or otherwise), Taxes for such Expense Year or the Base Year, as the case may be, and the Tax Excess for such Expense Year shall be retroactively adjusted. If, as a result of such adjustment, it is determined that Tenant has under- or overpaid Tenant’s Share of such Tax Excess, Tenant shall pay Landlord the amount of such underpayment, or receive a credit in the amount of such overpayment, with or against the Rent then or next due hereunder; provided, however, that if this Lease has expired or terminated and Tenant has vacated the Premises, Tenant shall pay Landlord the amount of such underpayment, or Landlord shall pay Tenant the amount of such overpayment (less any Rent due), within 30 days after such adjustment is made.</w:t>
      </w:r>
    </w:p>
    <w:p>
      <w:pPr>
        <w:spacing w:after="0" w:line="173" w:lineRule="exact"/>
        <w:rPr>
          <w:sz w:val="20"/>
          <w:szCs w:val="20"/>
          <w:color w:val="auto"/>
        </w:rPr>
      </w:pPr>
    </w:p>
    <w:p>
      <w:pPr>
        <w:jc w:val="both"/>
        <w:ind w:firstLine="524"/>
        <w:spacing w:after="0" w:line="31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u w:val="single" w:color="auto"/>
          <w:color w:val="auto"/>
        </w:rPr>
        <w:t>Charges for Which Tenant Is Directly Responsible</w:t>
      </w:r>
      <w:r>
        <w:rPr>
          <w:rFonts w:ascii="Arial" w:cs="Arial" w:eastAsia="Arial" w:hAnsi="Arial"/>
          <w:sz w:val="16"/>
          <w:szCs w:val="16"/>
          <w:b w:val="1"/>
          <w:bCs w:val="1"/>
          <w:color w:val="auto"/>
        </w:rPr>
        <w:t>.</w:t>
      </w:r>
      <w:r>
        <w:rPr>
          <w:rFonts w:ascii="Arial" w:cs="Arial" w:eastAsia="Arial" w:hAnsi="Arial"/>
          <w:sz w:val="16"/>
          <w:szCs w:val="16"/>
          <w:color w:val="auto"/>
        </w:rPr>
        <w:t xml:space="preserve"> Notwithstanding any contrary provision hereof, Tenant, promptly upon demand, shall pay (or if paid by Landlord, reimburse Landlord for) each of the following to the extent levied against Landlord or Landlord’s property: (a) any tax based upon or measured by (i) the cost or value of Tenant’s trade fixtures, equipment, furniture or other personal property, or (ii) the cost or value of the Leasehold Improvements (defined in </w:t>
      </w:r>
      <w:r>
        <w:rPr>
          <w:rFonts w:ascii="Arial" w:cs="Arial" w:eastAsia="Arial" w:hAnsi="Arial"/>
          <w:sz w:val="16"/>
          <w:szCs w:val="16"/>
          <w:u w:val="single" w:color="auto"/>
          <w:color w:val="auto"/>
        </w:rPr>
        <w:t>Section 7.1</w:t>
      </w:r>
      <w:r>
        <w:rPr>
          <w:rFonts w:ascii="Arial" w:cs="Arial" w:eastAsia="Arial" w:hAnsi="Arial"/>
          <w:sz w:val="16"/>
          <w:szCs w:val="16"/>
          <w:color w:val="auto"/>
        </w:rPr>
        <w:t>) to the extent such cost or value exceeds that of a Building-standard build-out, as determined by Landlord; (b) any rent tax, sales tax, service tax, transfer tax, value added tax, use tax, business tax, gross income tax, gross receipts tax, or other tax, assessment, fee, levy or charge measured solely by the square footage, Rent, services, tenant allowances or similar amounts, rights or obligations described or provided in or under this Lease; (c) any tax assessed upon the possession, leasing, operation, management, maintenance, alteration, repair, use or occupancy by Tenant of any portion of the Property; and (d) any tax assessed on this transaction or on any document to which Tenant is a party that creates an interest or estate in the Premises.</w:t>
      </w:r>
    </w:p>
    <w:p>
      <w:pPr>
        <w:spacing w:after="0" w:line="136"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u w:val="single" w:color="auto"/>
          <w:color w:val="auto"/>
        </w:rPr>
        <w:t>Books and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Within 60 days after receiving any Statement (the “</w:t>
      </w:r>
      <w:r>
        <w:rPr>
          <w:rFonts w:ascii="Arial" w:cs="Arial" w:eastAsia="Arial" w:hAnsi="Arial"/>
          <w:sz w:val="18"/>
          <w:szCs w:val="18"/>
          <w:b w:val="1"/>
          <w:bCs w:val="1"/>
          <w:color w:val="auto"/>
        </w:rPr>
        <w:t>Review Notice Period</w:t>
      </w:r>
      <w:r>
        <w:rPr>
          <w:rFonts w:ascii="Arial" w:cs="Arial" w:eastAsia="Arial" w:hAnsi="Arial"/>
          <w:sz w:val="18"/>
          <w:szCs w:val="18"/>
          <w:color w:val="auto"/>
        </w:rPr>
        <w:t>”), Tenant may give Landlord notice (“</w:t>
      </w:r>
      <w:r>
        <w:rPr>
          <w:rFonts w:ascii="Arial" w:cs="Arial" w:eastAsia="Arial" w:hAnsi="Arial"/>
          <w:sz w:val="18"/>
          <w:szCs w:val="18"/>
          <w:b w:val="1"/>
          <w:bCs w:val="1"/>
          <w:color w:val="auto"/>
        </w:rPr>
        <w:t>Review Notice</w:t>
      </w:r>
      <w:r>
        <w:rPr>
          <w:rFonts w:ascii="Arial" w:cs="Arial" w:eastAsia="Arial" w:hAnsi="Arial"/>
          <w:sz w:val="18"/>
          <w:szCs w:val="18"/>
          <w:color w:val="auto"/>
        </w:rPr>
        <w:t>”) stating that Tenant elects to review Landlord’s calculation of the Expense Excess and/or Tax Excess for the Expense Year to which such Statement applies and identifying with reasonable specificity the records of Landlord reasonably relating to such matters that Tenant desires to review. Within a reasonable time after receiving a timely Review Notice (and, at Landlord’s option, an executed confidentiality agreement as described below), Landlord shall deliver to Tenant, or make available for inspection at a location reasonably designated by Landlord, copies of such records. Within 60 days after such records are made available to Tenant (the “</w:t>
      </w:r>
      <w:r>
        <w:rPr>
          <w:rFonts w:ascii="Arial" w:cs="Arial" w:eastAsia="Arial" w:hAnsi="Arial"/>
          <w:sz w:val="18"/>
          <w:szCs w:val="18"/>
          <w:b w:val="1"/>
          <w:bCs w:val="1"/>
          <w:color w:val="auto"/>
        </w:rPr>
        <w:t>Objection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536" w:gutter="0" w:footer="0" w:header="0"/>
        </w:sectPr>
      </w:pPr>
    </w:p>
    <w:bookmarkStart w:id="28" w:name="page29"/>
    <w:bookmarkEnd w:id="28"/>
    <w:p>
      <w:pPr>
        <w:jc w:val="both"/>
        <w:spacing w:after="0" w:line="268" w:lineRule="auto"/>
        <w:rPr>
          <w:sz w:val="20"/>
          <w:szCs w:val="20"/>
          <w:color w:val="auto"/>
        </w:rPr>
      </w:pPr>
      <w:r>
        <w:rPr>
          <w:rFonts w:ascii="Arial" w:cs="Arial" w:eastAsia="Arial" w:hAnsi="Arial"/>
          <w:sz w:val="18"/>
          <w:szCs w:val="18"/>
          <w:b w:val="1"/>
          <w:bCs w:val="1"/>
          <w:color w:val="auto"/>
        </w:rPr>
        <w:t>Period</w:t>
      </w:r>
      <w:r>
        <w:rPr>
          <w:rFonts w:ascii="Arial" w:cs="Arial" w:eastAsia="Arial" w:hAnsi="Arial"/>
          <w:sz w:val="18"/>
          <w:szCs w:val="18"/>
          <w:color w:val="auto"/>
        </w:rPr>
        <w:t>”), Tenant may deliver to Landlord notice (an “</w:t>
      </w:r>
      <w:r>
        <w:rPr>
          <w:rFonts w:ascii="Arial" w:cs="Arial" w:eastAsia="Arial" w:hAnsi="Arial"/>
          <w:sz w:val="18"/>
          <w:szCs w:val="18"/>
          <w:b w:val="1"/>
          <w:bCs w:val="1"/>
          <w:color w:val="auto"/>
        </w:rPr>
        <w:t>Objection Notice</w:t>
      </w:r>
      <w:r>
        <w:rPr>
          <w:rFonts w:ascii="Arial" w:cs="Arial" w:eastAsia="Arial" w:hAnsi="Arial"/>
          <w:sz w:val="18"/>
          <w:szCs w:val="18"/>
          <w:color w:val="auto"/>
        </w:rPr>
        <w:t>”) stating with reasonable specificity any objections to the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which event Landlord and Tenant shall work together in good faith to resolve Tenant’s objections. Tenant may not deliver more than one Review Notice or more than one Objection Notice with respect to any Statement. If Tenant fails to give Landlord a Review Notice before the expiration of the Review Notice Period or fails to give Landlord an Objection Notice before the expiration of the Objection Period, Tenant shall be deemed to have approved the Statement. Notwithstanding any contrary provision hereof, Landlord shall not be required to deliver or make available to Tenant records relating to the Base Year, and Tenant may not object to Expenses or Taxes for the Base Year, other than in connection with the first review for an Expense Year performed by Tenant pursuant to this </w:t>
      </w:r>
      <w:r>
        <w:rPr>
          <w:rFonts w:ascii="Arial" w:cs="Arial" w:eastAsia="Arial" w:hAnsi="Arial"/>
          <w:sz w:val="18"/>
          <w:szCs w:val="18"/>
          <w:u w:val="single" w:color="auto"/>
          <w:color w:val="auto"/>
        </w:rPr>
        <w:t>Section 4.6</w:t>
      </w:r>
      <w:r>
        <w:rPr>
          <w:rFonts w:ascii="Arial" w:cs="Arial" w:eastAsia="Arial" w:hAnsi="Arial"/>
          <w:sz w:val="18"/>
          <w:szCs w:val="18"/>
          <w:color w:val="auto"/>
        </w:rPr>
        <w:t>. If Tenant retains an agent to review Landlord’s records, the agent must be with a CPA firm licensed to do business in the State of California with experience reviewing books and records kept for Comparable Buildings and its fees shall not be contingent, in whole or in part, upon the outcome of the review. Tenant shall be responsible for all costs of such review. The records and any related information obtained from Landlord shall be treated as confidential, and as applicable only to the Premises, by Tenant, its auditors, consultants, and any other parties reviewing the same on behalf of Tenant (collectively, “</w:t>
      </w:r>
      <w:r>
        <w:rPr>
          <w:rFonts w:ascii="Arial" w:cs="Arial" w:eastAsia="Arial" w:hAnsi="Arial"/>
          <w:sz w:val="18"/>
          <w:szCs w:val="18"/>
          <w:b w:val="1"/>
          <w:bCs w:val="1"/>
          <w:color w:val="auto"/>
        </w:rPr>
        <w:t>Tenant’s Auditors</w:t>
      </w:r>
      <w:r>
        <w:rPr>
          <w:rFonts w:ascii="Arial" w:cs="Arial" w:eastAsia="Arial" w:hAnsi="Arial"/>
          <w:sz w:val="18"/>
          <w:szCs w:val="18"/>
          <w:color w:val="auto"/>
        </w:rPr>
        <w:t>”). Before making any records available for review, Landlord may require Tenant and Tenant’s Auditors to execute a reasonable confidentiality agreement, in which event Tenant shall cause the same to be executed and delivered to Landlord within 30 days after receiving it from Landlord, and if Tenant fails to do so, the Objection Period shall be reduced by one day for each day by which such execution and delivery follows the expiration of such 30-day period. Notwithstanding any contrary provision hereof, Tenant may not examine Landlord’s records or dispute any Statement if any Rent remains unpaid past its due date. If, for any Expense Year, Landlord and Tenant determine that the sum of Tenant’s Share of the actual Expense Excess plus Tenant’s Share of the actual Tax Excess is less or more than the amount reported, Tenant shall receive a credit in the amount of its overpayment, or pay Landlord the amount of its underpayment, against or with the Rent next due hereunder; provided, however, that if this Lease has expired or terminated and Tenant has vacated the Premises, Landlord shall pay Tenant the amount of its overpayment (less any Rent due), or Tenant shall pay Landlord the amount of its underpayment, within 30 days after such determination.</w:t>
      </w:r>
    </w:p>
    <w:p>
      <w:pPr>
        <w:spacing w:after="0" w:line="182"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USE; COMPLIANCE WITH LAWS.  </w:t>
      </w:r>
      <w:r>
        <w:rPr>
          <w:rFonts w:ascii="Arial" w:cs="Arial" w:eastAsia="Arial" w:hAnsi="Arial"/>
          <w:sz w:val="19"/>
          <w:szCs w:val="19"/>
          <w:color w:val="auto"/>
        </w:rPr>
        <w:t>Tenant shall not (a) use the Premises for any purpose other than the Permitted Use, or</w:t>
      </w:r>
    </w:p>
    <w:p>
      <w:pPr>
        <w:spacing w:after="0" w:line="33" w:lineRule="exact"/>
        <w:rPr>
          <w:rFonts w:ascii="Arial" w:cs="Arial" w:eastAsia="Arial" w:hAnsi="Arial"/>
          <w:sz w:val="19"/>
          <w:szCs w:val="19"/>
          <w:b w:val="1"/>
          <w:bCs w:val="1"/>
          <w:color w:val="auto"/>
        </w:rPr>
      </w:pPr>
    </w:p>
    <w:p>
      <w:pPr>
        <w:jc w:val="both"/>
        <w:spacing w:after="0" w:line="266" w:lineRule="auto"/>
        <w:rPr>
          <w:rFonts w:ascii="Arial" w:cs="Arial" w:eastAsia="Arial" w:hAnsi="Arial"/>
          <w:sz w:val="19"/>
          <w:szCs w:val="19"/>
          <w:b w:val="1"/>
          <w:bCs w:val="1"/>
          <w:color w:val="auto"/>
        </w:rPr>
      </w:pPr>
      <w:r>
        <w:rPr>
          <w:rFonts w:ascii="Arial" w:cs="Arial" w:eastAsia="Arial" w:hAnsi="Arial"/>
          <w:sz w:val="18"/>
          <w:szCs w:val="18"/>
          <w:color w:val="auto"/>
        </w:rPr>
        <w:t>(b) do anything in or about the Premises that violates any of the Rules and Regulations, damages the reputation of the Project, interferes with, injures or annoys other occupants of the Project, or constitutes a nuisance. Tenant, at its expense, shall comply with all Laws relating to</w:t>
      </w:r>
    </w:p>
    <w:p>
      <w:pPr>
        <w:jc w:val="both"/>
        <w:spacing w:after="0" w:line="268" w:lineRule="auto"/>
        <w:rPr>
          <w:rFonts w:ascii="Arial" w:cs="Arial" w:eastAsia="Arial" w:hAnsi="Arial"/>
          <w:sz w:val="19"/>
          <w:szCs w:val="19"/>
          <w:b w:val="1"/>
          <w:bCs w:val="1"/>
          <w:color w:val="auto"/>
        </w:rPr>
      </w:pPr>
      <w:r>
        <w:rPr>
          <w:rFonts w:ascii="Arial" w:cs="Arial" w:eastAsia="Arial" w:hAnsi="Arial"/>
          <w:sz w:val="18"/>
          <w:szCs w:val="18"/>
          <w:color w:val="auto"/>
        </w:rPr>
        <w:t>(i) the operation of its business at the Project, (ii) the use, condition, configuration or occupancy of the Premises, (iii) any Supplemental Systems (defined below) serving the Premises, whether located inside or outside of the Premises, or (iv) the portions of Base Building Systems (defined below) located in the Premises. If, in order to comply with any such Law, Tenant must obtain or deliver any permit, certificate or other document evidencing such compliance, Tenant shall provide a copy of such document to Landlord promptly after obtaining or delivering it. If a change to any Common Area or the Base Building (other than any portion of a Base Building System located in the Premises) becomes required under Law (or if any such requirement is enforced) as a result of any Tenant-Requested Improvement (defined below), the installation of any trade fixture, or any particular use of the Premises (as distinguished from general office use), then Tenant, upon demand, shall (x) at Landlord’s option, either make such change at Tenant’s cost or pay Landlord the cost of making such change, and (y) pay Landlord a coordination fee equal to 5% of the cost of such change. As used herein, “</w:t>
      </w:r>
      <w:r>
        <w:rPr>
          <w:rFonts w:ascii="Arial" w:cs="Arial" w:eastAsia="Arial" w:hAnsi="Arial"/>
          <w:sz w:val="18"/>
          <w:szCs w:val="18"/>
          <w:b w:val="1"/>
          <w:bCs w:val="1"/>
          <w:color w:val="auto"/>
        </w:rPr>
        <w:t>Law</w:t>
      </w:r>
      <w:r>
        <w:rPr>
          <w:rFonts w:ascii="Arial" w:cs="Arial" w:eastAsia="Arial" w:hAnsi="Arial"/>
          <w:sz w:val="18"/>
          <w:szCs w:val="18"/>
          <w:color w:val="auto"/>
        </w:rPr>
        <w:t>” means any existing or future law, ordinance, regulation or requirement of any governmental authority having jurisdiction over the Project or the parties. As used herein, “</w:t>
      </w:r>
      <w:r>
        <w:rPr>
          <w:rFonts w:ascii="Arial" w:cs="Arial" w:eastAsia="Arial" w:hAnsi="Arial"/>
          <w:sz w:val="18"/>
          <w:szCs w:val="18"/>
          <w:b w:val="1"/>
          <w:bCs w:val="1"/>
          <w:color w:val="auto"/>
        </w:rPr>
        <w:t>Supplemental System</w:t>
      </w:r>
      <w:r>
        <w:rPr>
          <w:rFonts w:ascii="Arial" w:cs="Arial" w:eastAsia="Arial" w:hAnsi="Arial"/>
          <w:sz w:val="18"/>
          <w:szCs w:val="18"/>
          <w:color w:val="auto"/>
        </w:rPr>
        <w:t xml:space="preserve">” means any Unit (defined in </w:t>
      </w:r>
      <w:r>
        <w:rPr>
          <w:rFonts w:ascii="Arial" w:cs="Arial" w:eastAsia="Arial" w:hAnsi="Arial"/>
          <w:sz w:val="18"/>
          <w:szCs w:val="18"/>
          <w:u w:val="single" w:color="auto"/>
          <w:color w:val="auto"/>
        </w:rPr>
        <w:t>Section 25.5</w:t>
      </w:r>
      <w:r>
        <w:rPr>
          <w:rFonts w:ascii="Arial" w:cs="Arial" w:eastAsia="Arial" w:hAnsi="Arial"/>
          <w:sz w:val="18"/>
          <w:szCs w:val="18"/>
          <w:color w:val="auto"/>
        </w:rPr>
        <w:t>), supplemental fire-suppression system, kitchen (including any hot water heater, dishwasher, garbage disposal, insta-hot dispenser, or plumbing), shower or similar facility, or any other system that would not customarily be considered part of the base building of a first-class multi-tenant office building. As used herein, “</w:t>
      </w:r>
      <w:r>
        <w:rPr>
          <w:rFonts w:ascii="Arial" w:cs="Arial" w:eastAsia="Arial" w:hAnsi="Arial"/>
          <w:sz w:val="18"/>
          <w:szCs w:val="18"/>
          <w:b w:val="1"/>
          <w:bCs w:val="1"/>
          <w:color w:val="auto"/>
        </w:rPr>
        <w:t>Base Building System</w:t>
      </w:r>
      <w:r>
        <w:rPr>
          <w:rFonts w:ascii="Arial" w:cs="Arial" w:eastAsia="Arial" w:hAnsi="Arial"/>
          <w:sz w:val="18"/>
          <w:szCs w:val="18"/>
          <w:color w:val="auto"/>
        </w:rPr>
        <w:t>” means any mechanical (including HVAC), electrical, plumbing or fire/life-safety system serving the Building, other than a Supplemental System. As used herein, “</w:t>
      </w:r>
      <w:r>
        <w:rPr>
          <w:rFonts w:ascii="Arial" w:cs="Arial" w:eastAsia="Arial" w:hAnsi="Arial"/>
          <w:sz w:val="18"/>
          <w:szCs w:val="18"/>
          <w:b w:val="1"/>
          <w:bCs w:val="1"/>
          <w:color w:val="auto"/>
        </w:rPr>
        <w:t>Base Building</w:t>
      </w:r>
      <w:r>
        <w:rPr>
          <w:rFonts w:ascii="Arial" w:cs="Arial" w:eastAsia="Arial" w:hAnsi="Arial"/>
          <w:sz w:val="18"/>
          <w:szCs w:val="18"/>
          <w:color w:val="auto"/>
        </w:rPr>
        <w:t>” means the structural portions of the Building, together with the Base Building Systems. As used herein, “</w:t>
      </w:r>
      <w:r>
        <w:rPr>
          <w:rFonts w:ascii="Arial" w:cs="Arial" w:eastAsia="Arial" w:hAnsi="Arial"/>
          <w:sz w:val="18"/>
          <w:szCs w:val="18"/>
          <w:b w:val="1"/>
          <w:bCs w:val="1"/>
          <w:color w:val="auto"/>
        </w:rPr>
        <w:t>Tenant-Requested Improvement</w:t>
      </w:r>
      <w:r>
        <w:rPr>
          <w:rFonts w:ascii="Arial" w:cs="Arial" w:eastAsia="Arial" w:hAnsi="Arial"/>
          <w:sz w:val="18"/>
          <w:szCs w:val="18"/>
          <w:color w:val="auto"/>
        </w:rPr>
        <w:t xml:space="preserve">” means any Leasehold Improvements (defined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below) installed by or for the benefit of Tenant, whether pursuant to this Lease or pursuant to any prior lease or other agreement to which Tenant was a party.</w:t>
      </w:r>
    </w:p>
    <w:p>
      <w:pPr>
        <w:spacing w:after="0" w:line="166"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SERVICES.</w:t>
      </w:r>
    </w:p>
    <w:p>
      <w:pPr>
        <w:spacing w:after="0" w:line="216"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Standard Services</w:t>
      </w:r>
      <w:r>
        <w:rPr>
          <w:rFonts w:ascii="Arial" w:cs="Arial" w:eastAsia="Arial" w:hAnsi="Arial"/>
          <w:sz w:val="18"/>
          <w:szCs w:val="18"/>
          <w:b w:val="1"/>
          <w:bCs w:val="1"/>
          <w:color w:val="auto"/>
        </w:rPr>
        <w:t>.</w:t>
      </w:r>
      <w:r>
        <w:rPr>
          <w:rFonts w:ascii="Arial" w:cs="Arial" w:eastAsia="Arial" w:hAnsi="Arial"/>
          <w:sz w:val="18"/>
          <w:szCs w:val="18"/>
          <w:color w:val="auto"/>
        </w:rPr>
        <w:t xml:space="preserve"> Landlord shall provide the following services on all days (unless otherwise stated below): (a) subject to limitations imposed by Law, customary heating, ventilation and air conditioning (“</w:t>
      </w:r>
      <w:r>
        <w:rPr>
          <w:rFonts w:ascii="Arial" w:cs="Arial" w:eastAsia="Arial" w:hAnsi="Arial"/>
          <w:sz w:val="18"/>
          <w:szCs w:val="18"/>
          <w:b w:val="1"/>
          <w:bCs w:val="1"/>
          <w:color w:val="auto"/>
        </w:rPr>
        <w:t>HVAC</w:t>
      </w:r>
      <w:r>
        <w:rPr>
          <w:rFonts w:ascii="Arial" w:cs="Arial" w:eastAsia="Arial" w:hAnsi="Arial"/>
          <w:sz w:val="18"/>
          <w:szCs w:val="18"/>
          <w:color w:val="auto"/>
        </w:rPr>
        <w:t>”) in season during Building HVAC Hours, stubbed to the Premises; (b) electricity supplied by the applicable public utility, stubbed to the Premises; (c) water supplied by the applicable public utility (i) for use in lavatories and any drinking facilities located in Common Areas within the Building, and (ii) stubbed to the Building core for use in any plumbing fixtures located in the Premises; (d) janitorial services to the Premises, except on weekends and Holidays; and (e) elevator service (subject to scheduling by Landlord, and payment of Landlord’s standard usage fee, for any freight service).</w:t>
      </w:r>
    </w:p>
    <w:p>
      <w:pPr>
        <w:spacing w:after="0" w:line="160" w:lineRule="exact"/>
        <w:rPr>
          <w:sz w:val="20"/>
          <w:szCs w:val="20"/>
          <w:color w:val="auto"/>
        </w:rPr>
      </w:pPr>
    </w:p>
    <w:p>
      <w:pPr>
        <w:jc w:val="both"/>
        <w:ind w:firstLine="524"/>
        <w:spacing w:after="0" w:line="27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Above-Standard Use</w:t>
      </w:r>
      <w:r>
        <w:rPr>
          <w:rFonts w:ascii="Arial" w:cs="Arial" w:eastAsia="Arial" w:hAnsi="Arial"/>
          <w:sz w:val="18"/>
          <w:szCs w:val="18"/>
          <w:b w:val="1"/>
          <w:bCs w:val="1"/>
          <w:color w:val="auto"/>
        </w:rPr>
        <w:t>.</w:t>
      </w:r>
      <w:r>
        <w:rPr>
          <w:rFonts w:ascii="Arial" w:cs="Arial" w:eastAsia="Arial" w:hAnsi="Arial"/>
          <w:sz w:val="18"/>
          <w:szCs w:val="18"/>
          <w:color w:val="auto"/>
        </w:rPr>
        <w:t xml:space="preserve"> Landlord shall provide HVAC service outside Building HVAC Hours if Tenant gives Landlord such prior notice and pays Landlord such hourly cost per zone as Landlord may require. Tenant shall not, without Landlord’s prior consent, use equipment that may affect the temperature maintained by the air conditioning system or consume above-Building-standard amounts of any water furnished for the Premises by Landlord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If Tenant’s consumption of electricity or water exceeds the rate Landlord reasonably deems to be standard for the Building, Tenant shall pay Landlord, upon billing, the cost of such excess consumption, including any costs of installing, operating and maintaining any equipment that is installed in order to supply or measure such excess electricity or water. The connected electrical load of Tenant’s incidental-use equipment shall not exceed the Building-standard electrical design load, and Tenant’s electrical usage shall not exceed the capacity of the feeders to the Project or the risers or wiring installation.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both"/>
        <w:ind w:firstLine="524"/>
        <w:spacing w:after="0" w:line="242"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b w:val="1"/>
          <w:bCs w:val="1"/>
          <w:u w:val="single" w:color="auto"/>
          <w:color w:val="auto"/>
        </w:rPr>
        <w:t>Interruption</w:t>
      </w:r>
      <w:r>
        <w:rPr>
          <w:rFonts w:ascii="Arial" w:cs="Arial" w:eastAsia="Arial" w:hAnsi="Arial"/>
          <w:sz w:val="20"/>
          <w:szCs w:val="20"/>
          <w:b w:val="1"/>
          <w:bCs w:val="1"/>
          <w:color w:val="auto"/>
        </w:rPr>
        <w: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11</w:t>
      </w:r>
      <w:r>
        <w:rPr>
          <w:rFonts w:ascii="Arial" w:cs="Arial" w:eastAsia="Arial" w:hAnsi="Arial"/>
          <w:sz w:val="20"/>
          <w:szCs w:val="20"/>
          <w:color w:val="auto"/>
        </w:rPr>
        <w:t>, any failure to furnish, delay in furnishing, or diminution in the quality or quantity of any service resulting from any application of Law, failure of equipment, performance of maintenance, repairs, improvements or alterations, utility interruption, or event of Force Majeure (each, a “</w:t>
      </w:r>
      <w:r>
        <w:rPr>
          <w:rFonts w:ascii="Arial" w:cs="Arial" w:eastAsia="Arial" w:hAnsi="Arial"/>
          <w:sz w:val="20"/>
          <w:szCs w:val="20"/>
          <w:b w:val="1"/>
          <w:bCs w:val="1"/>
          <w:color w:val="auto"/>
        </w:rPr>
        <w:t>Service Interruption</w:t>
      </w:r>
      <w:r>
        <w:rPr>
          <w:rFonts w:ascii="Arial" w:cs="Arial" w:eastAsia="Arial" w:hAnsi="Arial"/>
          <w:sz w:val="20"/>
          <w:szCs w:val="20"/>
          <w:color w:val="auto"/>
        </w:rPr>
        <w:t xml:space="preserve">”) shall not render Landlord liable to Tenant, constitute a constructive eviction, or excuse Tenant from any obligation hereunder. Notwithstanding the foregoing, if all or a material portion of the Premises is made untenantable or inaccessible for more than five (5) consecutive business days after notice from Tenant to Landlord by a Service Interruption that (a) does not result from a Casualty (defined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a Taking (defined in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or an Act of Tenant (defined in </w:t>
      </w:r>
      <w:r>
        <w:rPr>
          <w:rFonts w:ascii="Arial" w:cs="Arial" w:eastAsia="Arial" w:hAnsi="Arial"/>
          <w:sz w:val="20"/>
          <w:szCs w:val="20"/>
          <w:u w:val="single" w:color="auto"/>
          <w:color w:val="auto"/>
        </w:rPr>
        <w:t>Section 10.1</w:t>
      </w:r>
      <w:r>
        <w:rPr>
          <w:rFonts w:ascii="Arial" w:cs="Arial" w:eastAsia="Arial" w:hAnsi="Arial"/>
          <w:sz w:val="20"/>
          <w:szCs w:val="20"/>
          <w:color w:val="auto"/>
        </w:rPr>
        <w:t>), and (b) can be corrected through Landlord’s reasonable efforts, then, as Tenant’s sole remedy, Monthly Rent shall abate for the period beginning on the day immediately following such 5-business-day period and ending on the day such Service Interruption ends, but only in proportion to the percentage of the rentable square footage of the Premises made untenantable or inaccessible and not occupied by Tenant.</w:t>
      </w:r>
    </w:p>
    <w:p>
      <w:pPr>
        <w:spacing w:after="0" w:line="192" w:lineRule="exact"/>
        <w:rPr>
          <w:sz w:val="20"/>
          <w:szCs w:val="20"/>
          <w:color w:val="auto"/>
        </w:rPr>
      </w:pPr>
    </w:p>
    <w:p>
      <w:pPr>
        <w:ind w:left="760" w:hanging="752"/>
        <w:spacing w:after="0"/>
        <w:tabs>
          <w:tab w:leader="none" w:pos="7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REPAIRS AND ALTERATIONS.</w:t>
      </w:r>
    </w:p>
    <w:p>
      <w:pPr>
        <w:spacing w:after="0" w:line="216" w:lineRule="exact"/>
        <w:rPr>
          <w:sz w:val="20"/>
          <w:szCs w:val="20"/>
          <w:color w:val="auto"/>
        </w:rPr>
      </w:pPr>
    </w:p>
    <w:p>
      <w:pPr>
        <w:jc w:val="both"/>
        <w:ind w:firstLine="524"/>
        <w:spacing w:after="0" w:line="27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Repairs</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Tenant, at its expense, shall perform all maintenance and repairs (including replacements) to the Premises, and keep the Premises in as good condition and repair as existed when Tenant took possession and as thereafter improved, except for reasonable wear and tear and repairs that are Landlord’s express responsibility hereunder. Tenant’s maintenance and repair obligations shall include (a) all leasehold improvements in the Premises, including any Tenant Improvements, any Alterations (defined in </w:t>
      </w:r>
      <w:r>
        <w:rPr>
          <w:rFonts w:ascii="Arial" w:cs="Arial" w:eastAsia="Arial" w:hAnsi="Arial"/>
          <w:sz w:val="18"/>
          <w:szCs w:val="18"/>
          <w:u w:val="single" w:color="auto"/>
          <w:color w:val="auto"/>
        </w:rPr>
        <w:t>Section 7.2</w:t>
      </w:r>
      <w:r>
        <w:rPr>
          <w:rFonts w:ascii="Arial" w:cs="Arial" w:eastAsia="Arial" w:hAnsi="Arial"/>
          <w:sz w:val="18"/>
          <w:szCs w:val="18"/>
          <w:color w:val="auto"/>
        </w:rPr>
        <w:t>), and any leasehold improvements installed pursuant to any prior lease (the “</w:t>
      </w:r>
      <w:r>
        <w:rPr>
          <w:rFonts w:ascii="Arial" w:cs="Arial" w:eastAsia="Arial" w:hAnsi="Arial"/>
          <w:sz w:val="18"/>
          <w:szCs w:val="18"/>
          <w:b w:val="1"/>
          <w:bCs w:val="1"/>
          <w:color w:val="auto"/>
        </w:rPr>
        <w:t>Leasehold Improvements</w:t>
      </w:r>
      <w:r>
        <w:rPr>
          <w:rFonts w:ascii="Arial" w:cs="Arial" w:eastAsia="Arial" w:hAnsi="Arial"/>
          <w:sz w:val="18"/>
          <w:szCs w:val="18"/>
          <w:color w:val="auto"/>
        </w:rPr>
        <w:t xml:space="preserve">”), but excluding the Base Building; (b) any Supplemental Systems serving the Premises, whether located inside or outside of the Premises; and (c) all Lines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trade fixtures. Notwithstanding the foregoing, if a Default (defined in </w:t>
      </w:r>
      <w:r>
        <w:rPr>
          <w:rFonts w:ascii="Arial" w:cs="Arial" w:eastAsia="Arial" w:hAnsi="Arial"/>
          <w:sz w:val="18"/>
          <w:szCs w:val="18"/>
          <w:u w:val="single" w:color="auto"/>
          <w:color w:val="auto"/>
        </w:rPr>
        <w:t>Section 19.1</w:t>
      </w:r>
      <w:r>
        <w:rPr>
          <w:rFonts w:ascii="Arial" w:cs="Arial" w:eastAsia="Arial" w:hAnsi="Arial"/>
          <w:sz w:val="18"/>
          <w:szCs w:val="18"/>
          <w:color w:val="auto"/>
        </w:rPr>
        <w:t>) or an emergency exists, Landlord may, at its option, perform such maintenance and repairs on Tenant’s behalf, in which case Tenant shall pay Landlord, upon demand, the cost of such work plus a coordination fee equal to 5% of such cost. Landlord shall perform all maintenance and repairs to (i) the roof and exterior walls and windows of the Building, (ii) the Base Building, and (iii) the Common Areas.</w:t>
      </w:r>
    </w:p>
    <w:p>
      <w:pPr>
        <w:spacing w:after="0" w:line="165" w:lineRule="exact"/>
        <w:rPr>
          <w:sz w:val="20"/>
          <w:szCs w:val="20"/>
          <w:color w:val="auto"/>
        </w:rPr>
      </w:pPr>
    </w:p>
    <w:p>
      <w:pPr>
        <w:jc w:val="both"/>
        <w:ind w:firstLine="524"/>
        <w:spacing w:after="0" w:line="26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Alterations</w:t>
      </w:r>
      <w:r>
        <w:rPr>
          <w:rFonts w:ascii="Arial" w:cs="Arial" w:eastAsia="Arial" w:hAnsi="Arial"/>
          <w:sz w:val="18"/>
          <w:szCs w:val="18"/>
          <w:b w:val="1"/>
          <w:bCs w:val="1"/>
          <w:color w:val="auto"/>
        </w:rPr>
        <w:t>.</w:t>
      </w:r>
      <w:r>
        <w:rPr>
          <w:rFonts w:ascii="Arial" w:cs="Arial" w:eastAsia="Arial" w:hAnsi="Arial"/>
          <w:sz w:val="18"/>
          <w:szCs w:val="18"/>
          <w:color w:val="auto"/>
        </w:rPr>
        <w:t xml:space="preserve"> Tenant may not make any improvement, alteration, addition or change to the Premises or to any mechanical, plumbing or HVAC facility or other system serving the Premises (an “</w:t>
      </w:r>
      <w:r>
        <w:rPr>
          <w:rFonts w:ascii="Arial" w:cs="Arial" w:eastAsia="Arial" w:hAnsi="Arial"/>
          <w:sz w:val="18"/>
          <w:szCs w:val="18"/>
          <w:b w:val="1"/>
          <w:bCs w:val="1"/>
          <w:color w:val="auto"/>
        </w:rPr>
        <w:t>Alteration</w:t>
      </w:r>
      <w:r>
        <w:rPr>
          <w:rFonts w:ascii="Arial" w:cs="Arial" w:eastAsia="Arial" w:hAnsi="Arial"/>
          <w:sz w:val="18"/>
          <w:szCs w:val="18"/>
          <w:color w:val="auto"/>
        </w:rPr>
        <w:t>”) without Landlord’s prior consent, which consent shall be requested by Tenant not less than 30 days before commencement of work and shall not be unreasonably withheld by Landlord. Notwithstanding the foregoing, provided that Landlord receives 10 business days’ prior notice, Landlord’s prior consent shall not be required for any Alteration that (i) is reasonably estimated (together with any other Alterations performed without Landlord’s consent pursuant to this sentence during the 12-month period ending on the date of such notice) to cost less than $10,000.00; (ii) is not visible from outside the Premises; (iii) does not affect any system or structural component of the Building; and (iv) does not require work to be performed inside the walls or above the ceiling of the Premises (the “</w:t>
      </w:r>
      <w:r>
        <w:rPr>
          <w:rFonts w:ascii="Arial" w:cs="Arial" w:eastAsia="Arial" w:hAnsi="Arial"/>
          <w:sz w:val="18"/>
          <w:szCs w:val="18"/>
          <w:b w:val="1"/>
          <w:bCs w:val="1"/>
          <w:color w:val="auto"/>
        </w:rPr>
        <w:t>Cosmetic Alterations</w:t>
      </w:r>
      <w:r>
        <w:rPr>
          <w:rFonts w:ascii="Arial" w:cs="Arial" w:eastAsia="Arial" w:hAnsi="Arial"/>
          <w:sz w:val="18"/>
          <w:szCs w:val="18"/>
          <w:color w:val="auto"/>
        </w:rPr>
        <w:t>”). For any Alteration (Cosmetic Alterations excluded),</w:t>
      </w:r>
    </w:p>
    <w:p>
      <w:pPr>
        <w:spacing w:after="0" w:line="2" w:lineRule="exact"/>
        <w:rPr>
          <w:sz w:val="20"/>
          <w:szCs w:val="20"/>
          <w:color w:val="auto"/>
        </w:rPr>
      </w:pPr>
    </w:p>
    <w:p>
      <w:pPr>
        <w:jc w:val="both"/>
        <w:ind w:firstLine="8"/>
        <w:spacing w:after="0" w:line="266"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Tenant, before beginning work, shall deliver to Landlord, and obtain Landlord’s approval of, plans and specifications; (b) Landlord, in its discretion, may require Tenant to obtain security for performance satisfactory to Landlord; (c) Tenant shall deliver to Landlord “as built” drawings (in CAD format, if requested by Landlord), completion affidavits, full and final lien waivers, and all governmental approvals; and</w:t>
      </w:r>
    </w:p>
    <w:p>
      <w:pPr>
        <w:ind w:right="20" w:firstLine="8"/>
        <w:spacing w:after="0" w:line="297"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Tenant shall pay Landlord upon demand (i) Landlord’s reasonable out-of-pocket expenses incurred in reviewing the work, and (ii) a coordination fee equal to 5% of the cost of the work; provided, however, that this clause (d) shall not apply to any Tenant Improvements.</w:t>
      </w:r>
    </w:p>
    <w:p>
      <w:pPr>
        <w:spacing w:after="0" w:line="141" w:lineRule="exact"/>
        <w:rPr>
          <w:sz w:val="20"/>
          <w:szCs w:val="20"/>
          <w:color w:val="auto"/>
        </w:rPr>
      </w:pPr>
    </w:p>
    <w:p>
      <w:pPr>
        <w:jc w:val="both"/>
        <w:ind w:firstLine="524"/>
        <w:spacing w:after="0" w:line="27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Tenant Work</w:t>
      </w:r>
      <w:r>
        <w:rPr>
          <w:rFonts w:ascii="Arial" w:cs="Arial" w:eastAsia="Arial" w:hAnsi="Arial"/>
          <w:sz w:val="18"/>
          <w:szCs w:val="18"/>
          <w:b w:val="1"/>
          <w:bCs w:val="1"/>
          <w:color w:val="auto"/>
        </w:rPr>
        <w:t>.</w:t>
      </w:r>
      <w:r>
        <w:rPr>
          <w:rFonts w:ascii="Arial" w:cs="Arial" w:eastAsia="Arial" w:hAnsi="Arial"/>
          <w:sz w:val="18"/>
          <w:szCs w:val="18"/>
          <w:color w:val="auto"/>
        </w:rPr>
        <w:t xml:space="preserve"> Before beginning any repair or Alteration or any work affecting Lines (collectively, “</w:t>
      </w:r>
      <w:r>
        <w:rPr>
          <w:rFonts w:ascii="Arial" w:cs="Arial" w:eastAsia="Arial" w:hAnsi="Arial"/>
          <w:sz w:val="18"/>
          <w:szCs w:val="18"/>
          <w:b w:val="1"/>
          <w:bCs w:val="1"/>
          <w:color w:val="auto"/>
        </w:rPr>
        <w:t>Tenant Work</w:t>
      </w:r>
      <w:r>
        <w:rPr>
          <w:rFonts w:ascii="Arial" w:cs="Arial" w:eastAsia="Arial" w:hAnsi="Arial"/>
          <w:sz w:val="18"/>
          <w:szCs w:val="18"/>
          <w:color w:val="auto"/>
        </w:rPr>
        <w:t>”), Tenant shall deliver to Landlord, and obtain Landlord’s approval of, (a) names of contractors, subcontractors, mechanics, laborers and materialmen; (b) evidence of contractors’ and subcontractors’ insurance in amounts and coverages as Landlord may reasonably require; and</w:t>
      </w:r>
    </w:p>
    <w:p>
      <w:pPr>
        <w:spacing w:after="0" w:line="2" w:lineRule="exact"/>
        <w:rPr>
          <w:sz w:val="20"/>
          <w:szCs w:val="20"/>
          <w:color w:val="auto"/>
        </w:rPr>
      </w:pPr>
    </w:p>
    <w:p>
      <w:pPr>
        <w:jc w:val="both"/>
        <w:ind w:firstLine="8"/>
        <w:spacing w:after="0" w:line="270" w:lineRule="auto"/>
        <w:tabs>
          <w:tab w:leader="none" w:pos="2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any required governmental permits. Tenant shall perform all Tenant Work (i) in a good and workmanlike manner using materials of a quality reasonably approved by Landlord; (ii) in compliance with any approved plans and specifications, all Laws, the National Electric Code, and Landlord’s construction rules and regulations; and (iii) in a manner that does not impair the Base Building. If, as a result of any Tenant Work, Landlord becomes required under Law to perform any inspection, give any notice, or cause such Tenant Work to be performed in any particular manner, Tenant shall comply with such requirement and promptly provide Landlord with reasonable documentation of such compliance. Landlord’s approval of Tenant’s plans and specifications shall not relieve Tenant from any obligation under this </w:t>
      </w:r>
      <w:r>
        <w:rPr>
          <w:rFonts w:ascii="Arial" w:cs="Arial" w:eastAsia="Arial" w:hAnsi="Arial"/>
          <w:sz w:val="18"/>
          <w:szCs w:val="18"/>
          <w:u w:val="single" w:color="auto"/>
          <w:color w:val="auto"/>
        </w:rPr>
        <w:t>Section 7.3</w:t>
      </w:r>
      <w:r>
        <w:rPr>
          <w:rFonts w:ascii="Arial" w:cs="Arial" w:eastAsia="Arial" w:hAnsi="Arial"/>
          <w:sz w:val="18"/>
          <w:szCs w:val="18"/>
          <w:color w:val="auto"/>
        </w:rPr>
        <w:t>. In performing any Tenant Work, Tenant shall not use contractors, services, labor, materials or equipment that, in Landlord’s reasonable judgment, would disturb labor harmony with any workforce or trades engaged in performing other work or services at the Project.</w:t>
      </w:r>
    </w:p>
    <w:p>
      <w:pPr>
        <w:spacing w:after="0" w:line="167" w:lineRule="exact"/>
        <w:rPr>
          <w:sz w:val="20"/>
          <w:szCs w:val="20"/>
          <w:color w:val="auto"/>
        </w:rPr>
      </w:pPr>
    </w:p>
    <w:p>
      <w:pPr>
        <w:jc w:val="both"/>
        <w:ind w:firstLine="8"/>
        <w:spacing w:after="0" w:line="271" w:lineRule="auto"/>
        <w:tabs>
          <w:tab w:leader="none" w:pos="74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LANDLORD’S PROPERTY. </w:t>
      </w:r>
      <w:r>
        <w:rPr>
          <w:rFonts w:ascii="Arial" w:cs="Arial" w:eastAsia="Arial" w:hAnsi="Arial"/>
          <w:sz w:val="18"/>
          <w:szCs w:val="18"/>
          <w:color w:val="auto"/>
        </w:rPr>
        <w:t>All Leasehold Improvements shall become Landlord’s property upon installation and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compensation to Tenant. Notwithstanding the foregoing, if any Tenant-Requested Improvements (other than any Unit, which shall be governed by </w:t>
      </w:r>
      <w:r>
        <w:rPr>
          <w:rFonts w:ascii="Arial" w:cs="Arial" w:eastAsia="Arial" w:hAnsi="Arial"/>
          <w:sz w:val="18"/>
          <w:szCs w:val="18"/>
          <w:u w:val="single" w:color="auto"/>
          <w:color w:val="auto"/>
        </w:rPr>
        <w:t>Section 25.5</w:t>
      </w:r>
      <w:r>
        <w:rPr>
          <w:rFonts w:ascii="Arial" w:cs="Arial" w:eastAsia="Arial" w:hAnsi="Arial"/>
          <w:sz w:val="18"/>
          <w:szCs w:val="18"/>
          <w:color w:val="auto"/>
        </w:rPr>
        <w:t>) are not, in Landlord’s reasonable judgment, Building-standard, then before the expiration or earlier termination hereof, Tenant shall, at Landlord’s election, either (a) at Tenant’s expense, and except as otherwise notified by Landlord, remove such Tenant-Requested Improvements, repair any resulting damage to the Premises or Building, and restore the affected portion of the Premises to its configuration and condition existing before the installation of such Tenant-Requested Improvements (or, at Landlord’s election, to a Building-standard tenant-improved configuration and condition as determined by Landlord), or (b) pay Landlord an amount equal to the estimated cost of such work, as reasonably determined by Landlord. If Tenant fails to timely perform any work required under clause (a) of the preceding sentence, Landlord may perform such work at Tenant’s expense. If, when it requests Landlord’s approval of any Tenant-Requested Improvements or Alterations, Tenant specifically requests that Landlord identify any such Tenant-Requested Improvements or Alterations that, in Landlord’s judgment, are not Building-standard, Landlord shall do so when it provides such approval. Notwithstanding the foregoing, Tenant shall not be required to remove any of the Tenant-Requested Improvements existing as of the date hereof.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522" w:gutter="0" w:footer="0" w:header="0"/>
        </w:sectPr>
      </w:pPr>
    </w:p>
    <w:bookmarkStart w:id="30" w:name="page31"/>
    <w:bookmarkEnd w:id="30"/>
    <w:p>
      <w:pPr>
        <w:jc w:val="both"/>
        <w:ind w:firstLine="8"/>
        <w:spacing w:after="0" w:line="285" w:lineRule="auto"/>
        <w:tabs>
          <w:tab w:leader="none" w:pos="747"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LIENS. </w:t>
      </w:r>
      <w:r>
        <w:rPr>
          <w:rFonts w:ascii="Arial" w:cs="Arial" w:eastAsia="Arial" w:hAnsi="Arial"/>
          <w:sz w:val="18"/>
          <w:szCs w:val="18"/>
          <w:color w:val="auto"/>
        </w:rPr>
        <w:t>Tenant shall keep the Project free from any lien arising out of any work performed, material furnished or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by or on behalf of Tenant. Tenant shall remove any such lien within 10 business days after notice from Landlord, and if Tenant fails to do so, Landlord, without limiting its remedies, may pay the amount necessary to cause such removal, whether or not such lien is valid. The amount so paid, together with reasonable attorneys’ fees and expenses, shall be reimbursed by Tenant upon demand.</w:t>
      </w:r>
    </w:p>
    <w:p>
      <w:pPr>
        <w:spacing w:after="0" w:line="15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INDEMNIFICATION; INSURANCE.</w:t>
      </w:r>
    </w:p>
    <w:p>
      <w:pPr>
        <w:spacing w:after="0" w:line="216" w:lineRule="exact"/>
        <w:rPr>
          <w:sz w:val="20"/>
          <w:szCs w:val="20"/>
          <w:color w:val="auto"/>
        </w:rPr>
      </w:pPr>
    </w:p>
    <w:p>
      <w:pPr>
        <w:jc w:val="both"/>
        <w:ind w:firstLine="524"/>
        <w:spacing w:after="0" w:line="270"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Waiver and Indemnification</w:t>
      </w:r>
      <w:r>
        <w:rPr>
          <w:rFonts w:ascii="Arial" w:cs="Arial" w:eastAsia="Arial" w:hAnsi="Arial"/>
          <w:sz w:val="18"/>
          <w:szCs w:val="18"/>
          <w:b w:val="1"/>
          <w:bCs w:val="1"/>
          <w:color w:val="auto"/>
        </w:rPr>
        <w:t>.</w:t>
      </w:r>
      <w:r>
        <w:rPr>
          <w:rFonts w:ascii="Arial" w:cs="Arial" w:eastAsia="Arial" w:hAnsi="Arial"/>
          <w:sz w:val="18"/>
          <w:szCs w:val="18"/>
          <w:color w:val="auto"/>
        </w:rPr>
        <w:t xml:space="preserve"> Tenant waives all claims against Landlord, its Security Holders (defined in </w:t>
      </w:r>
      <w:r>
        <w:rPr>
          <w:rFonts w:ascii="Arial" w:cs="Arial" w:eastAsia="Arial" w:hAnsi="Arial"/>
          <w:sz w:val="18"/>
          <w:szCs w:val="18"/>
          <w:u w:val="single" w:color="auto"/>
          <w:color w:val="auto"/>
        </w:rPr>
        <w:t>Section 17</w:t>
      </w:r>
      <w:r>
        <w:rPr>
          <w:rFonts w:ascii="Arial" w:cs="Arial" w:eastAsia="Arial" w:hAnsi="Arial"/>
          <w:sz w:val="18"/>
          <w:szCs w:val="18"/>
          <w:color w:val="auto"/>
        </w:rPr>
        <w:t>), Landlord’s managing agent(s), their (direct or indirect) owners, and the beneficiaries, trustees, officers, directors, employees and agents of each of the foregoing (including Landlord, the “</w:t>
      </w:r>
      <w:r>
        <w:rPr>
          <w:rFonts w:ascii="Arial" w:cs="Arial" w:eastAsia="Arial" w:hAnsi="Arial"/>
          <w:sz w:val="18"/>
          <w:szCs w:val="18"/>
          <w:b w:val="1"/>
          <w:bCs w:val="1"/>
          <w:color w:val="auto"/>
        </w:rPr>
        <w:t>Landlord Parties</w:t>
      </w:r>
      <w:r>
        <w:rPr>
          <w:rFonts w:ascii="Arial" w:cs="Arial" w:eastAsia="Arial" w:hAnsi="Arial"/>
          <w:sz w:val="18"/>
          <w:szCs w:val="18"/>
          <w:color w:val="auto"/>
        </w:rPr>
        <w:t>”) for (i) any damage to person or property (or resulting from the loss of use thereof), except to the extent such damage is caused by any negligence, willful misconduct or breach of this Lease of or by any Landlord Party, or (ii) any failure to prevent or control any criminal or otherwise wrongful conduct by any third party or to apprehend any third party who has engaged in such conduct. Tenant shall indemnify, defend, protect, and hold the Landlord Parties harmless from any obligation, loss, claim, action, liability, penalty, damage, cost or expense (including reasonable attorneys’ and consultants’ fees and expenses) (each, a “</w:t>
      </w:r>
      <w:r>
        <w:rPr>
          <w:rFonts w:ascii="Arial" w:cs="Arial" w:eastAsia="Arial" w:hAnsi="Arial"/>
          <w:sz w:val="18"/>
          <w:szCs w:val="18"/>
          <w:b w:val="1"/>
          <w:bCs w:val="1"/>
          <w:color w:val="auto"/>
        </w:rPr>
        <w:t>Claim</w:t>
      </w:r>
      <w:r>
        <w:rPr>
          <w:rFonts w:ascii="Arial" w:cs="Arial" w:eastAsia="Arial" w:hAnsi="Arial"/>
          <w:sz w:val="18"/>
          <w:szCs w:val="18"/>
          <w:color w:val="auto"/>
        </w:rPr>
        <w:t>”) that is imposed or asserted by any third party and arises from (a) any cause in, on or about the Premises, or (b) any negligence, willful misconduct or breach of this Lease of or by Tenant, any party claiming by, through or under Tenant, their (direct or indirect) owners, or any of their respective beneficiaries, trustees, officers, directors, employees, agents, contractors, licensees or invitees (each, an “</w:t>
      </w:r>
      <w:r>
        <w:rPr>
          <w:rFonts w:ascii="Arial" w:cs="Arial" w:eastAsia="Arial" w:hAnsi="Arial"/>
          <w:sz w:val="18"/>
          <w:szCs w:val="18"/>
          <w:b w:val="1"/>
          <w:bCs w:val="1"/>
          <w:color w:val="auto"/>
        </w:rPr>
        <w:t>Act of</w:t>
      </w:r>
      <w:r>
        <w:rPr>
          <w:rFonts w:ascii="Arial" w:cs="Arial" w:eastAsia="Arial" w:hAnsi="Arial"/>
          <w:sz w:val="18"/>
          <w:szCs w:val="18"/>
          <w:color w:val="auto"/>
        </w:rPr>
        <w:t xml:space="preserve"> </w:t>
      </w:r>
      <w:r>
        <w:rPr>
          <w:rFonts w:ascii="Arial" w:cs="Arial" w:eastAsia="Arial" w:hAnsi="Arial"/>
          <w:sz w:val="18"/>
          <w:szCs w:val="18"/>
          <w:b w:val="1"/>
          <w:bCs w:val="1"/>
          <w:color w:val="auto"/>
        </w:rPr>
        <w:t>Tenant</w:t>
      </w:r>
      <w:r>
        <w:rPr>
          <w:rFonts w:ascii="Arial" w:cs="Arial" w:eastAsia="Arial" w:hAnsi="Arial"/>
          <w:sz w:val="18"/>
          <w:szCs w:val="18"/>
          <w:color w:val="auto"/>
        </w:rPr>
        <w:t>”), except to the extent such Claim arises from any negligence, willful misconduct or breach of this Lease of or by any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Landlord shall indemnify, defend, protect, and hold Tenant, its (direct or indirect) owners, and their respective beneficiaries, trustees, officers, directors, employees and agents (including Tenant, the “</w:t>
      </w:r>
      <w:r>
        <w:rPr>
          <w:rFonts w:ascii="Arial" w:cs="Arial" w:eastAsia="Arial" w:hAnsi="Arial"/>
          <w:sz w:val="18"/>
          <w:szCs w:val="18"/>
          <w:b w:val="1"/>
          <w:bCs w:val="1"/>
          <w:color w:val="auto"/>
        </w:rPr>
        <w:t>Tenant Parties</w:t>
      </w:r>
      <w:r>
        <w:rPr>
          <w:rFonts w:ascii="Arial" w:cs="Arial" w:eastAsia="Arial" w:hAnsi="Arial"/>
          <w:sz w:val="18"/>
          <w:szCs w:val="18"/>
          <w:color w:val="auto"/>
        </w:rPr>
        <w:t>”) harmless from any Claim that is imposed or asserted by any third party and arises from any negligence, willful misconduct or breach of this Lease of or by any Landlord Party, except to the extent such Claim arises from any negligence, willful misconduct or breach of this Lease of or by any Tenant Party.</w:t>
      </w:r>
    </w:p>
    <w:p>
      <w:pPr>
        <w:spacing w:after="0" w:line="166" w:lineRule="exact"/>
        <w:rPr>
          <w:sz w:val="20"/>
          <w:szCs w:val="20"/>
          <w:color w:val="auto"/>
        </w:rPr>
      </w:pPr>
    </w:p>
    <w:p>
      <w:pPr>
        <w:ind w:left="520"/>
        <w:spacing w:after="0"/>
        <w:tabs>
          <w:tab w:leader="none" w:pos="15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b w:val="1"/>
          <w:bCs w:val="1"/>
          <w:u w:val="single" w:color="auto"/>
          <w:color w:val="auto"/>
        </w:rPr>
        <w:t>Tenant’s Insurance</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Tenant shall maintain the following coverages in the following amounts:</w:t>
      </w:r>
    </w:p>
    <w:p>
      <w:pPr>
        <w:spacing w:after="0" w:line="222" w:lineRule="exact"/>
        <w:rPr>
          <w:sz w:val="20"/>
          <w:szCs w:val="20"/>
          <w:color w:val="auto"/>
        </w:rPr>
      </w:pPr>
    </w:p>
    <w:p>
      <w:pPr>
        <w:jc w:val="both"/>
        <w:ind w:firstLine="1144"/>
        <w:spacing w:after="0" w:line="278" w:lineRule="auto"/>
        <w:rPr>
          <w:sz w:val="20"/>
          <w:szCs w:val="20"/>
          <w:color w:val="auto"/>
        </w:rPr>
      </w:pPr>
      <w:r>
        <w:rPr>
          <w:rFonts w:ascii="Arial" w:cs="Arial" w:eastAsia="Arial" w:hAnsi="Arial"/>
          <w:sz w:val="18"/>
          <w:szCs w:val="18"/>
          <w:color w:val="auto"/>
        </w:rPr>
        <w:t>10.2.1 Commercial General Liability Insurance, written on an occurrence basis, with a combined single limit for bodily injury and property damages of not less than Three Million Dollars ($3,000,000) per occurrence and Five Million Dollars ($5,000,000), in the annual aggregate, which shall apply separately to each location of Tenant, including products liability coverage if applicable, blanket contractual coverage including written contracts, and personal and bodily injury coverage, covering the insuring provisions of this Lease and the performance of Tenant of the indemnity and exemption of Landlord from liability agreements set forth in this Lease.</w:t>
      </w:r>
    </w:p>
    <w:p>
      <w:pPr>
        <w:spacing w:after="0" w:line="159" w:lineRule="exact"/>
        <w:rPr>
          <w:sz w:val="20"/>
          <w:szCs w:val="20"/>
          <w:color w:val="auto"/>
        </w:rPr>
      </w:pPr>
    </w:p>
    <w:p>
      <w:pPr>
        <w:jc w:val="both"/>
        <w:ind w:firstLine="1123"/>
        <w:spacing w:after="0" w:line="242" w:lineRule="auto"/>
        <w:rPr>
          <w:sz w:val="20"/>
          <w:szCs w:val="20"/>
          <w:color w:val="auto"/>
        </w:rPr>
      </w:pPr>
      <w:r>
        <w:rPr>
          <w:rFonts w:ascii="Arial" w:cs="Arial" w:eastAsia="Arial" w:hAnsi="Arial"/>
          <w:sz w:val="20"/>
          <w:szCs w:val="20"/>
          <w:color w:val="auto"/>
        </w:rPr>
        <w:t>10.2.2 Property Insurance covering (i) all improvements in the Premises (“</w:t>
      </w:r>
      <w:r>
        <w:rPr>
          <w:rFonts w:ascii="Arial" w:cs="Arial" w:eastAsia="Arial" w:hAnsi="Arial"/>
          <w:sz w:val="20"/>
          <w:szCs w:val="20"/>
          <w:b w:val="1"/>
          <w:bCs w:val="1"/>
          <w:color w:val="auto"/>
        </w:rPr>
        <w:t>Tenant-Insured Improvements</w:t>
      </w:r>
      <w:r>
        <w:rPr>
          <w:rFonts w:ascii="Arial" w:cs="Arial" w:eastAsia="Arial" w:hAnsi="Arial"/>
          <w:sz w:val="20"/>
          <w:szCs w:val="20"/>
          <w:color w:val="auto"/>
        </w:rPr>
        <w:t>”) and (ii) all office furniture, trade fixtures, office equipment, free-standing cabinet work, movable partitions, merchandise and all other items of Tenant’s property in the Premises installed by, for, or at the expense of Tenant. Such insurance shall be written on a special cause of loss or all risk form for physical loss or damage, for the full replacement cost value (subject to deductible amounts not exceeding $10,000.00) new without deduction for depreciation of the covered items and in amounts that meet any co-insurance clauses of the policies of insurance, and shall include coverage for damage or other loss caused by fire or other peril, including vandalism and malicious mischief, theft, water damage of any type, including sprinkler leakage, bursting or stoppage of pipes, and explosion (and providing business interruption, loss of income and extra expense insurance covering any failure or interruption of Tenant's business equipment (including, without limitation, telecommunications equipment) and covering all other perils, failures or interruptions sufficient to cover a period of interruption of not less than twelve (12) months).</w:t>
      </w:r>
    </w:p>
    <w:p>
      <w:pPr>
        <w:spacing w:after="0" w:line="198"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20"/>
          <w:szCs w:val="20"/>
          <w:color w:val="auto"/>
        </w:rPr>
        <w:t>10.2.3</w:t>
      </w:r>
      <w:r>
        <w:rPr>
          <w:sz w:val="20"/>
          <w:szCs w:val="20"/>
          <w:color w:val="auto"/>
        </w:rPr>
        <w:tab/>
      </w:r>
      <w:r>
        <w:rPr>
          <w:rFonts w:ascii="Arial" w:cs="Arial" w:eastAsia="Arial" w:hAnsi="Arial"/>
          <w:sz w:val="18"/>
          <w:szCs w:val="18"/>
          <w:color w:val="auto"/>
        </w:rPr>
        <w:t>Workers’ Compensation statutory limits and Employers’ Liability limits of $1,000,000.</w:t>
      </w:r>
    </w:p>
    <w:p>
      <w:pPr>
        <w:spacing w:after="0" w:line="210" w:lineRule="exact"/>
        <w:rPr>
          <w:sz w:val="20"/>
          <w:szCs w:val="20"/>
          <w:color w:val="auto"/>
        </w:rPr>
      </w:pPr>
    </w:p>
    <w:p>
      <w:pPr>
        <w:jc w:val="both"/>
        <w:ind w:firstLine="524"/>
        <w:spacing w:after="0" w:line="26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Form of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The minimum limits of insurance required to be carried by Tenant shall not limit Tenant’s liability. Such insurance shall be issued by an insurance company that has an A.M. Best rating of not less than A-VIII. Tenant’s Commercial General Liability Insurance shall (a) name the Landlord Parties and any other party designated by Landlord (“</w:t>
      </w:r>
      <w:r>
        <w:rPr>
          <w:rFonts w:ascii="Arial" w:cs="Arial" w:eastAsia="Arial" w:hAnsi="Arial"/>
          <w:sz w:val="18"/>
          <w:szCs w:val="18"/>
          <w:b w:val="1"/>
          <w:bCs w:val="1"/>
          <w:color w:val="auto"/>
        </w:rPr>
        <w:t>Additional Insured Parties</w:t>
      </w:r>
      <w:r>
        <w:rPr>
          <w:rFonts w:ascii="Arial" w:cs="Arial" w:eastAsia="Arial" w:hAnsi="Arial"/>
          <w:sz w:val="18"/>
          <w:szCs w:val="18"/>
          <w:color w:val="auto"/>
        </w:rPr>
        <w:t>”) as additional insureds; and (b) be primary insurance as to all claims thereunder and provide that any insurance carried by Landlord is excess and non-contributing with Tenant’s insurance. Landlord shall be designated as a loss payee with respect to Tenant’s Property Insurance on any Tenant-Insured Improvements. Tenant shall deliver to Landlord, on or before the Commencement Date and at least 15 days before the expiration dates thereof, certificates from Tenant’s insurance company on the forms currently designated “ACORD 25” (Certificate of Liability Insurance) and “ACORD 28” (Evidence of Commercial Property Insurance) or the equivalent. Attached to the ACORD 25 (or equivalent) there shall be an endorsement (or an excerpt from the policy) naming the Additional Insured Parties as additional insureds, and attached to the ACORD 28 (or equivalent) there shall be an endorsement (or an excerpt from the policy) designating Landlord as a loss payee with respect to Tenant’s Property Insurance on any Tenant-Insured Improvements, and each such endorsement (or policy excerpt) shall be binding on Tenant’s insurance company. Tenant agrees that if Tenant does not take out and maintain such insurance or furnish Landlord with certificates of coverage in a timely manner, Landlord may (but shall not be required to) procure said insurance on Tenant's behalf and charge Tenant the cost thereof, which amount shall be payable by Tenant upon demand with interest (at the rate that is at the lesser of 18% per annum or the highest rate permitted by Law) from the date such sums are expended. Tenant shall have the right to provide such insurance coverage pursuant to blanket policies obtained by Tenant, provided such blanket policies expressly afford coverage to the Premises and to Tenant as required by this Lease.</w:t>
      </w:r>
    </w:p>
    <w:p>
      <w:pPr>
        <w:spacing w:after="0" w:line="174" w:lineRule="exact"/>
        <w:rPr>
          <w:sz w:val="20"/>
          <w:szCs w:val="20"/>
          <w:color w:val="auto"/>
        </w:rPr>
      </w:pPr>
    </w:p>
    <w:p>
      <w:pPr>
        <w:jc w:val="both"/>
        <w:ind w:firstLine="524"/>
        <w:spacing w:after="0" w:line="267"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b w:val="1"/>
          <w:bCs w:val="1"/>
          <w:u w:val="single" w:color="auto"/>
          <w:color w:val="auto"/>
        </w:rPr>
        <w:t>Subrogation</w:t>
      </w:r>
      <w:r>
        <w:rPr>
          <w:rFonts w:ascii="Arial" w:cs="Arial" w:eastAsia="Arial" w:hAnsi="Arial"/>
          <w:sz w:val="20"/>
          <w:szCs w:val="20"/>
          <w:b w:val="1"/>
          <w:bCs w:val="1"/>
          <w:color w:val="auto"/>
        </w:rPr>
        <w:t>.</w:t>
      </w:r>
      <w:r>
        <w:rPr>
          <w:rFonts w:ascii="Arial" w:cs="Arial" w:eastAsia="Arial" w:hAnsi="Arial"/>
          <w:sz w:val="20"/>
          <w:szCs w:val="20"/>
          <w:color w:val="auto"/>
        </w:rPr>
        <w:t xml:space="preserve"> Notwithstanding any provision in this Lease to the contrary (but subject to the provisions set forth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below as well as the provisions set forth in </w:t>
      </w:r>
      <w:r>
        <w:rPr>
          <w:rFonts w:ascii="Arial" w:cs="Arial" w:eastAsia="Arial" w:hAnsi="Arial"/>
          <w:sz w:val="20"/>
          <w:szCs w:val="20"/>
          <w:u w:val="single" w:color="auto"/>
          <w:color w:val="auto"/>
        </w:rPr>
        <w:t>Sections 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w:t>
      </w:r>
      <w:r>
        <w:rPr>
          <w:rFonts w:ascii="Arial" w:cs="Arial" w:eastAsia="Arial" w:hAnsi="Arial"/>
          <w:sz w:val="20"/>
          <w:szCs w:val="20"/>
          <w:color w:val="auto"/>
        </w:rPr>
        <w:t xml:space="preserve"> of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 xml:space="preserve"> hereto) each party waives,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32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9"/>
          <w:szCs w:val="19"/>
          <w:color w:val="auto"/>
        </w:rPr>
        <w:t xml:space="preserve">and shall cause its insurance carrier to waive, any right of recovery against the other party, any of its (direct or indirect) owners, or any of their respective beneficiaries, trustees, officers, directors, employees or agents for any loss of or damage to property which loss or damage is (or, if the insurance required hereunder had been carried, would have been) covered by the waiving party’s property insurance. For purposes of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only, (a) any deductible with respect to a party’s insurance shall be deemed covered by, and recoverable by such party under, valid and collectable policies of insurance, and (b) any contractor retained by Landlord to install, maintain or monitor a fire or security alarm for the Building shall be deemed an agent of Landlord.</w:t>
      </w:r>
    </w:p>
    <w:p>
      <w:pPr>
        <w:spacing w:after="0" w:line="172" w:lineRule="exact"/>
        <w:rPr>
          <w:sz w:val="20"/>
          <w:szCs w:val="20"/>
          <w:color w:val="auto"/>
        </w:rPr>
      </w:pPr>
    </w:p>
    <w:p>
      <w:pPr>
        <w:jc w:val="both"/>
        <w:ind w:firstLine="524"/>
        <w:spacing w:after="0" w:line="27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Additional Insurance Obligations</w:t>
      </w:r>
      <w:r>
        <w:rPr>
          <w:rFonts w:ascii="Arial" w:cs="Arial" w:eastAsia="Arial" w:hAnsi="Arial"/>
          <w:sz w:val="18"/>
          <w:szCs w:val="18"/>
          <w:b w:val="1"/>
          <w:bCs w:val="1"/>
          <w:color w:val="auto"/>
        </w:rPr>
        <w:t>.</w:t>
      </w:r>
      <w:r>
        <w:rPr>
          <w:rFonts w:ascii="Arial" w:cs="Arial" w:eastAsia="Arial" w:hAnsi="Arial"/>
          <w:sz w:val="18"/>
          <w:szCs w:val="18"/>
          <w:color w:val="auto"/>
        </w:rPr>
        <w:t xml:space="preserve"> Tenant shall maintain such increased amounts of the insurance required to be carried by Tenant under this </w:t>
      </w:r>
      <w:r>
        <w:rPr>
          <w:rFonts w:ascii="Arial" w:cs="Arial" w:eastAsia="Arial" w:hAnsi="Arial"/>
          <w:sz w:val="18"/>
          <w:szCs w:val="18"/>
          <w:u w:val="single" w:color="auto"/>
          <w:color w:val="auto"/>
        </w:rPr>
        <w:t>Section 10</w:t>
      </w:r>
      <w:r>
        <w:rPr>
          <w:rFonts w:ascii="Arial" w:cs="Arial" w:eastAsia="Arial" w:hAnsi="Arial"/>
          <w:sz w:val="18"/>
          <w:szCs w:val="18"/>
          <w:color w:val="auto"/>
        </w:rPr>
        <w:t>, and such other types and amounts of insurance covering the Premises and Tenant’s operations therein, as may be reasonably requested by Landlord, but not in excess of the amounts and types of insurance then being required by landlords of Comparable Buildings. Tenant agrees that it will not, at any time, during the Term, carry any stock of goods or do anything in or about the Premises that will in any way tend to increase Landlord’s insurance rates upon the Project. Tenant agrees to pay Landlord forthwith upon demand the amount of any increase in Landlord’s premiums for insurance that may be carried during the Term of this Lease, or the amount of insurance to be carried by Landlord on the Project resulting from the foregoing, or from Tenant doing any act in or about the Premises that does so increase the insurance rates, whether or not Landlord shall have consented to such act on the part of Tenant. Tenant shall, at its own expense, comply with the requirements of Landlord’s insurance providers applicable to the Premises including, without limitation, the installation of fire extinguishers or an automatic dry chemical extinguishing system.</w:t>
      </w:r>
    </w:p>
    <w:p>
      <w:pPr>
        <w:spacing w:after="0" w:line="165"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b w:val="1"/>
          <w:bCs w:val="1"/>
          <w:u w:val="single" w:color="auto"/>
          <w:color w:val="auto"/>
        </w:rPr>
        <w:t>Landlord's Insurance</w:t>
      </w:r>
      <w:r>
        <w:rPr>
          <w:rFonts w:ascii="Arial" w:cs="Arial" w:eastAsia="Arial" w:hAnsi="Arial"/>
          <w:sz w:val="19"/>
          <w:szCs w:val="19"/>
          <w:color w:val="auto"/>
        </w:rPr>
        <w:t>. Landlord may, as a cost to be included in Expenses, procure and maintain at all times during the Term of this Lease, a policy or policies of insurance covering loss or damage to the Project in the amount of the full replacement cost without deduction for depreciation thereof, providing protection against all perils included within the classification of fire and extended coverage, vandalism coverage and malicious mischief, sprinkler leakage, water damage, and special extended coverage on the building. Additionally, Landlord may carry: (i) commercial general liability and umbrella/excess liability insurance and (ii) earthquake and/or flood damage insurance; and (iii) rental income insurance; and (iv) any other forms of insurance Landlord may deem appropriate or any lender may require. The costs of all insurance carried by Landlord shall be included in Expenses.</w:t>
      </w:r>
    </w:p>
    <w:p>
      <w:pPr>
        <w:spacing w:after="0" w:line="172" w:lineRule="exact"/>
        <w:rPr>
          <w:sz w:val="20"/>
          <w:szCs w:val="20"/>
          <w:color w:val="auto"/>
        </w:rPr>
      </w:pPr>
    </w:p>
    <w:p>
      <w:pPr>
        <w:jc w:val="both"/>
        <w:ind w:firstLine="8"/>
        <w:spacing w:after="0" w:line="272" w:lineRule="auto"/>
        <w:tabs>
          <w:tab w:leader="none" w:pos="83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CASUALTY DAMAGE. </w:t>
      </w:r>
      <w:r>
        <w:rPr>
          <w:rFonts w:ascii="Arial" w:cs="Arial" w:eastAsia="Arial" w:hAnsi="Arial"/>
          <w:sz w:val="18"/>
          <w:szCs w:val="18"/>
          <w:color w:val="auto"/>
        </w:rPr>
        <w:t>With reasonable promptness after discovering any damage to the Premises (other than trade fixtures), or</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Common Area or portion of the Base Building necessary for access to or tenantability of the Premises, resulting from any fire or other casualty (a “</w:t>
      </w:r>
      <w:r>
        <w:rPr>
          <w:rFonts w:ascii="Arial" w:cs="Arial" w:eastAsia="Arial" w:hAnsi="Arial"/>
          <w:sz w:val="18"/>
          <w:szCs w:val="18"/>
          <w:b w:val="1"/>
          <w:bCs w:val="1"/>
          <w:color w:val="auto"/>
        </w:rPr>
        <w:t>Casualty</w:t>
      </w:r>
      <w:r>
        <w:rPr>
          <w:rFonts w:ascii="Arial" w:cs="Arial" w:eastAsia="Arial" w:hAnsi="Arial"/>
          <w:sz w:val="18"/>
          <w:szCs w:val="18"/>
          <w:color w:val="auto"/>
        </w:rPr>
        <w:t>”), Landlord shall notify Tenant of Landlord’s reasonable estimate of the time required to substantially complete repair of such damage (the “</w:t>
      </w:r>
      <w:r>
        <w:rPr>
          <w:rFonts w:ascii="Arial" w:cs="Arial" w:eastAsia="Arial" w:hAnsi="Arial"/>
          <w:sz w:val="18"/>
          <w:szCs w:val="18"/>
          <w:b w:val="1"/>
          <w:bCs w:val="1"/>
          <w:color w:val="auto"/>
        </w:rPr>
        <w:t>Landlord Repairs</w:t>
      </w:r>
      <w:r>
        <w:rPr>
          <w:rFonts w:ascii="Arial" w:cs="Arial" w:eastAsia="Arial" w:hAnsi="Arial"/>
          <w:sz w:val="18"/>
          <w:szCs w:val="18"/>
          <w:color w:val="auto"/>
        </w:rPr>
        <w:t>”). If, according to such estimate, the Landlord Repairs cannot be substantially completed within</w:t>
      </w:r>
    </w:p>
    <w:p>
      <w:pPr>
        <w:spacing w:after="0" w:line="1" w:lineRule="exact"/>
        <w:rPr>
          <w:rFonts w:ascii="Arial" w:cs="Arial" w:eastAsia="Arial" w:hAnsi="Arial"/>
          <w:sz w:val="18"/>
          <w:szCs w:val="18"/>
          <w:b w:val="1"/>
          <w:bCs w:val="1"/>
          <w:color w:val="auto"/>
        </w:rPr>
      </w:pPr>
    </w:p>
    <w:p>
      <w:pPr>
        <w:jc w:val="both"/>
        <w:ind w:firstLine="8"/>
        <w:spacing w:after="0" w:line="267" w:lineRule="auto"/>
        <w:tabs>
          <w:tab w:leader="none" w:pos="3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days after they are commenced, either party may terminate this Lease upon 60 days’ notice to the other party delivered within 10 days after Landlord’s delivery of such estimate. Within 90 days after discovering any damage to the Project resulting from any Casualty, Landlord may, whether or not the Premises are affected, terminate this Lease by notifying Tenant if (i) any Security Holder terminates any ground lease or requires that any insurance proceeds be used to pay any mortgage debt; (ii) any damage to Landlord’s property is not fully covered by Landlord’s insurance policies; (iii) Landlord decides to rebuild the Building or Common Areas so that it or they will be substantially different structurally or architecturally; (iv) the damage occurs during the last 12 months of the Term; or (v) any owner, other than Landlord, of any damaged portion of the Project does not intend to repair such damage. Tenant shall have the right to terminate this Lease if: (a) there is less than one (1) year of the Term remaining on the date of the Casualty; (b) the Casualty was not caused by the negligence or willful misconduct of Tenant or its agents, employees or contractors; and (c) Tenant provides Landlord with written notice of its intent to terminate within 30 days after the date of Tenant’s receipt of the estimate of the time required to substantially complete the Landlord Repairs. If this Lease is not terminated pursuant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Landlord shall promptly and diligently perform the Landlord Repairs, subject to reasonable delays for insurance adjustment and other events of Force Majeure. The Landlord Repairs shall restore the Premises (other than trade fixtures) and any Common Area or portion of the Base Building necessary for access to or tenantability of the Premises to substantially the same condition that existed when the Casualty occurred, except for (a) any modifications required by Law or any Security Holder, and (b) any modifications to the Common Areas that are deemed desirable by Landlord, are consistent with the character of the Project, and do not materially impair access to or tenantability of the Premises. Notwithstanding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Tenant shall assign to Landlord (or its designee) all insurance proceeds payable to Tenant under Tenant’s insurance required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with respect to any Tenant-Insured Improvements, and if the estimated or actual cost of restoring any Tenant-Insured Improvements exceeds the insurance proceeds received by Landlord from Tenant’s insurance carrier, Tenant shall pay such excess to Landlord within 15 days after Landlord’s demand. No Casualty and no restoration performed as required hereunder shall render Landlord liable to Tenant, constitute a constructive eviction, or excuse Tenant from any obligation hereunder; provided, however, that if the Premises (other than trade fixtures) or any Common Area or portion of the Base Building necessary for access to or tenantability of the Premises is damaged by a Casualty, then, during any time that, as a result of such damage, any portion of the Premises is inaccessible or untenantable and is not occupied by Tenant, Monthly Rent shall be abated in proportion to the rentable square footage of such portion of the Premises.</w:t>
      </w:r>
    </w:p>
    <w:p>
      <w:pPr>
        <w:spacing w:after="0" w:line="175" w:lineRule="exact"/>
        <w:rPr>
          <w:rFonts w:ascii="Arial" w:cs="Arial" w:eastAsia="Arial" w:hAnsi="Arial"/>
          <w:sz w:val="18"/>
          <w:szCs w:val="18"/>
          <w:color w:val="auto"/>
        </w:rPr>
      </w:pPr>
    </w:p>
    <w:p>
      <w:pPr>
        <w:jc w:val="both"/>
        <w:ind w:firstLine="8"/>
        <w:spacing w:after="0" w:line="275" w:lineRule="auto"/>
        <w:tabs>
          <w:tab w:leader="none" w:pos="84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NONWAIVER. </w:t>
      </w:r>
      <w:r>
        <w:rPr>
          <w:rFonts w:ascii="Arial" w:cs="Arial" w:eastAsia="Arial" w:hAnsi="Arial"/>
          <w:sz w:val="18"/>
          <w:szCs w:val="18"/>
          <w:color w:val="auto"/>
        </w:rPr>
        <w:t>No provision hereof shall be deemed waived by either party unless it is waived by such party expressly and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no waiver of any breach of any provision hereof shall be deemed a waiver of any subsequent breach of such provision or any other provision hereof. Landlord’s acceptance of Rent shall not be deemed a waiver of any preceding breach of any provision hereof, other than Tenant’s failure to pay the particular Rent so accepted, regardless of Landlord’s knowledge of such preceding breach at the time of such acceptance. No acceptance of payment of an amount less than the Rent due hereunder shall be deemed a waiver of Landlord’s right to receive the full amount of Rent due, whether or not any endorsement or statement accompanying such payment purports to effect an accord and satisfaction. No receipt of monies by Landlord from Tenant after the giving of any notice, the commencement of any suit,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725" w:gutter="0" w:footer="0" w:header="0"/>
        </w:sectPr>
      </w:pPr>
    </w:p>
    <w:bookmarkStart w:id="32" w:name="page33"/>
    <w:bookmarkEnd w:id="32"/>
    <w:p>
      <w:pPr>
        <w:spacing w:after="0" w:line="260" w:lineRule="auto"/>
        <w:rPr>
          <w:sz w:val="20"/>
          <w:szCs w:val="20"/>
          <w:color w:val="auto"/>
        </w:rPr>
      </w:pPr>
      <w:r>
        <w:rPr>
          <w:rFonts w:ascii="Arial" w:cs="Arial" w:eastAsia="Arial" w:hAnsi="Arial"/>
          <w:sz w:val="20"/>
          <w:szCs w:val="20"/>
          <w:color w:val="auto"/>
        </w:rPr>
        <w:t>the issuance of any final judgment, or the termination hereof shall affect such notice, suit or judgment, or reinstate or extend the Term or Tenant’s right of possession hereunder.</w:t>
      </w:r>
    </w:p>
    <w:p>
      <w:pPr>
        <w:spacing w:after="0" w:line="171" w:lineRule="exact"/>
        <w:rPr>
          <w:sz w:val="20"/>
          <w:szCs w:val="20"/>
          <w:color w:val="auto"/>
        </w:rPr>
      </w:pPr>
    </w:p>
    <w:p>
      <w:pPr>
        <w:jc w:val="both"/>
        <w:ind w:firstLine="8"/>
        <w:spacing w:after="0" w:line="270" w:lineRule="auto"/>
        <w:tabs>
          <w:tab w:leader="none" w:pos="84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CONDEMNATION. </w:t>
      </w:r>
      <w:r>
        <w:rPr>
          <w:rFonts w:ascii="Arial" w:cs="Arial" w:eastAsia="Arial" w:hAnsi="Arial"/>
          <w:sz w:val="18"/>
          <w:szCs w:val="18"/>
          <w:color w:val="auto"/>
        </w:rPr>
        <w:t>If any part of the Premises, Building or Project is taken for any public or quasi-public use by power of</w:t>
      </w:r>
      <w:r>
        <w:rPr>
          <w:rFonts w:ascii="Arial" w:cs="Arial" w:eastAsia="Arial" w:hAnsi="Arial"/>
          <w:sz w:val="18"/>
          <w:szCs w:val="18"/>
          <w:b w:val="1"/>
          <w:bCs w:val="1"/>
          <w:color w:val="auto"/>
        </w:rPr>
        <w:t xml:space="preserve"> </w:t>
      </w:r>
      <w:r>
        <w:rPr>
          <w:rFonts w:ascii="Arial" w:cs="Arial" w:eastAsia="Arial" w:hAnsi="Arial"/>
          <w:sz w:val="18"/>
          <w:szCs w:val="18"/>
          <w:color w:val="auto"/>
        </w:rPr>
        <w:t>eminent domain or by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xml:space="preserve">”) for more than 180 consecutive days, Landlord may terminate this Lease. If more than 25% of the rentable square footage of the Premises, or any Common Area or portion of the Base Building necessary for access to or tenantability of the Premises, is Taken for more than 180 consecutive days, Tenant may terminate this Lease. Any such termination shall be effective as of the date possession must be surrendered to the authority, and the terminating party shall provide termination notice to the other party within 45 days after receiving written notice of such surrender date. Except as provided above in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neither party may terminate this Lease as a result of a Taking. Tenant shall not assert, and hereby assigns to Landlord, any claim it may have for compensation because of any Taking; provided, however, that Tenant may file a separate claim for any Taking of Tenant’s personal property or any trade fixtures that Tenant is entitled to remove upon the expiration hereof, and for moving expenses, so long as such claim does not diminish the award available to Landlord or any Security Holder and is payable separately to Tenant. If this Lease is terminated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all Rent shall be apportioned as of the date of such termination. If a Taking occurs and this Lease is not so terminated, Monthly Rent shall be abated for the period of such Taking in proportion to the percentage of the rentable square footage of the Premises, if any, that is subject to, or rendered inaccessible or untenantable by, such Taking and not occupied by Tenant.</w:t>
      </w:r>
    </w:p>
    <w:p>
      <w:pPr>
        <w:spacing w:after="0" w:line="172" w:lineRule="exact"/>
        <w:rPr>
          <w:rFonts w:ascii="Arial" w:cs="Arial" w:eastAsia="Arial" w:hAnsi="Arial"/>
          <w:sz w:val="18"/>
          <w:szCs w:val="18"/>
          <w:b w:val="1"/>
          <w:bCs w:val="1"/>
          <w:color w:val="auto"/>
        </w:rPr>
      </w:pPr>
    </w:p>
    <w:p>
      <w:pPr>
        <w:ind w:left="860" w:hanging="852"/>
        <w:spacing w:after="0"/>
        <w:tabs>
          <w:tab w:leader="none" w:pos="8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 AND SUBLETTING.</w:t>
      </w:r>
    </w:p>
    <w:p>
      <w:pPr>
        <w:spacing w:after="0" w:line="216" w:lineRule="exact"/>
        <w:rPr>
          <w:sz w:val="20"/>
          <w:szCs w:val="20"/>
          <w:color w:val="auto"/>
        </w:rPr>
      </w:pPr>
    </w:p>
    <w:p>
      <w:pPr>
        <w:jc w:val="both"/>
        <w:ind w:firstLine="524"/>
        <w:spacing w:after="0" w:line="255"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b w:val="1"/>
          <w:bCs w:val="1"/>
          <w:u w:val="single" w:color="auto"/>
          <w:color w:val="auto"/>
        </w:rPr>
        <w:t>Transfers</w:t>
      </w:r>
      <w:r>
        <w:rPr>
          <w:rFonts w:ascii="Arial" w:cs="Arial" w:eastAsia="Arial" w:hAnsi="Arial"/>
          <w:sz w:val="19"/>
          <w:szCs w:val="19"/>
          <w:b w:val="1"/>
          <w:bCs w:val="1"/>
          <w:color w:val="auto"/>
        </w:rPr>
        <w:t>.</w:t>
      </w:r>
      <w:r>
        <w:rPr>
          <w:rFonts w:ascii="Arial" w:cs="Arial" w:eastAsia="Arial" w:hAnsi="Arial"/>
          <w:sz w:val="19"/>
          <w:szCs w:val="19"/>
          <w:color w:val="auto"/>
        </w:rPr>
        <w:t xml:space="preserve"> Tenant shall not, without Landlord’s prior consent, assign, mortgage, pledge, hypothecate, encumber, permit any lien to attach to, or otherwise transfer this Lease or any interest hereunder, permit any assignment or other transfer hereof or any interest hereunder by operation of law, enter into any sublease or license agreement, otherwise permit the occupancy or use of any part of the Premises by any persons other than Tenant and its employees and contractors, or permit a Change of Control (defined in </w:t>
      </w:r>
      <w:r>
        <w:rPr>
          <w:rFonts w:ascii="Arial" w:cs="Arial" w:eastAsia="Arial" w:hAnsi="Arial"/>
          <w:sz w:val="19"/>
          <w:szCs w:val="19"/>
          <w:u w:val="single" w:color="auto"/>
          <w:color w:val="auto"/>
        </w:rPr>
        <w:t>Section 14.6</w:t>
      </w:r>
      <w:r>
        <w:rPr>
          <w:rFonts w:ascii="Arial" w:cs="Arial" w:eastAsia="Arial" w:hAnsi="Arial"/>
          <w:sz w:val="19"/>
          <w:szCs w:val="19"/>
          <w:color w:val="auto"/>
        </w:rPr>
        <w:t>) to occur (each, a “</w:t>
      </w:r>
      <w:r>
        <w:rPr>
          <w:rFonts w:ascii="Arial" w:cs="Arial" w:eastAsia="Arial" w:hAnsi="Arial"/>
          <w:sz w:val="19"/>
          <w:szCs w:val="19"/>
          <w:b w:val="1"/>
          <w:bCs w:val="1"/>
          <w:color w:val="auto"/>
        </w:rPr>
        <w:t>Transfer</w:t>
      </w:r>
      <w:r>
        <w:rPr>
          <w:rFonts w:ascii="Arial" w:cs="Arial" w:eastAsia="Arial" w:hAnsi="Arial"/>
          <w:sz w:val="19"/>
          <w:szCs w:val="19"/>
          <w:color w:val="auto"/>
        </w:rPr>
        <w:t>”). If Tenant desires Landlord’s consent to any Transfer, Tenant shall provide Landlord with (i) notice of the terms of the proposed Transfer, including its proposed effective date (the “</w:t>
      </w:r>
      <w:r>
        <w:rPr>
          <w:rFonts w:ascii="Arial" w:cs="Arial" w:eastAsia="Arial" w:hAnsi="Arial"/>
          <w:sz w:val="19"/>
          <w:szCs w:val="19"/>
          <w:b w:val="1"/>
          <w:bCs w:val="1"/>
          <w:color w:val="auto"/>
        </w:rPr>
        <w:t>Contemplated Effective Date</w:t>
      </w:r>
      <w:r>
        <w:rPr>
          <w:rFonts w:ascii="Arial" w:cs="Arial" w:eastAsia="Arial" w:hAnsi="Arial"/>
          <w:sz w:val="19"/>
          <w:szCs w:val="19"/>
          <w:color w:val="auto"/>
        </w:rPr>
        <w:t>”), a description of the portion of the Premises to be transferred (the “</w:t>
      </w:r>
      <w:r>
        <w:rPr>
          <w:rFonts w:ascii="Arial" w:cs="Arial" w:eastAsia="Arial" w:hAnsi="Arial"/>
          <w:sz w:val="19"/>
          <w:szCs w:val="19"/>
          <w:b w:val="1"/>
          <w:bCs w:val="1"/>
          <w:color w:val="auto"/>
        </w:rPr>
        <w:t>Contemplated Transfer Space</w:t>
      </w:r>
      <w:r>
        <w:rPr>
          <w:rFonts w:ascii="Arial" w:cs="Arial" w:eastAsia="Arial" w:hAnsi="Arial"/>
          <w:sz w:val="19"/>
          <w:szCs w:val="19"/>
          <w:color w:val="auto"/>
        </w:rPr>
        <w:t xml:space="preserve">”), a calculation of the Transfer Premium (defined in </w:t>
      </w:r>
      <w:r>
        <w:rPr>
          <w:rFonts w:ascii="Arial" w:cs="Arial" w:eastAsia="Arial" w:hAnsi="Arial"/>
          <w:sz w:val="19"/>
          <w:szCs w:val="19"/>
          <w:u w:val="single" w:color="auto"/>
          <w:color w:val="auto"/>
        </w:rPr>
        <w:t>Section 14.3</w:t>
      </w:r>
      <w:r>
        <w:rPr>
          <w:rFonts w:ascii="Arial" w:cs="Arial" w:eastAsia="Arial" w:hAnsi="Arial"/>
          <w:sz w:val="19"/>
          <w:szCs w:val="19"/>
          <w:color w:val="auto"/>
        </w:rPr>
        <w:t>), and a copy of all existing executed and/or proposed documentation pertaining to the proposed Transfer, and (ii) current financial statements of the proposed transferee (or, in the case of a Change of Control, of the proposed new controlling party(ies)) certified by an officer or owner thereof and any other information reasonably required by Landlord in order to evaluate the proposed Transfer (collectively, the “</w:t>
      </w:r>
      <w:r>
        <w:rPr>
          <w:rFonts w:ascii="Arial" w:cs="Arial" w:eastAsia="Arial" w:hAnsi="Arial"/>
          <w:sz w:val="19"/>
          <w:szCs w:val="19"/>
          <w:b w:val="1"/>
          <w:bCs w:val="1"/>
          <w:color w:val="auto"/>
        </w:rPr>
        <w:t>Transfer</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Within 20 days after receiving the Transfer Notice, Landlord shall notify Tenant of (a) its consent to the proposed Transfer, (b)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refusal to consent to the proposed Transfer, or (c) its exercise of its rights under </w:t>
      </w:r>
      <w:r>
        <w:rPr>
          <w:rFonts w:ascii="Arial" w:cs="Arial" w:eastAsia="Arial" w:hAnsi="Arial"/>
          <w:sz w:val="19"/>
          <w:szCs w:val="19"/>
          <w:u w:val="single" w:color="auto"/>
          <w:color w:val="auto"/>
        </w:rPr>
        <w:t>Section 14.4</w:t>
      </w:r>
      <w:r>
        <w:rPr>
          <w:rFonts w:ascii="Arial" w:cs="Arial" w:eastAsia="Arial" w:hAnsi="Arial"/>
          <w:sz w:val="19"/>
          <w:szCs w:val="19"/>
          <w:color w:val="auto"/>
        </w:rPr>
        <w:t>. Any Transfer made without Landlord’s prior consent shall, at Landlord’s option, be void and shall, at Landlord’s option, constitute a Default. Concurrently with Tenant’s delivery of the Transfer Notice, Tenant shall pay Landlord a fee of $1,500.00 for Landlord’s review of any proposed Transfer, whether or not Landlord consents to it.</w:t>
      </w:r>
    </w:p>
    <w:p>
      <w:pPr>
        <w:spacing w:after="0" w:line="176" w:lineRule="exact"/>
        <w:rPr>
          <w:sz w:val="20"/>
          <w:szCs w:val="20"/>
          <w:color w:val="auto"/>
        </w:rPr>
      </w:pPr>
    </w:p>
    <w:p>
      <w:pPr>
        <w:jc w:val="both"/>
        <w:ind w:firstLine="524"/>
        <w:spacing w:after="0" w:line="253"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b w:val="1"/>
          <w:bCs w:val="1"/>
          <w:u w:val="single" w:color="auto"/>
          <w:color w:val="auto"/>
        </w:rPr>
        <w:t>Landlord’s Consent</w:t>
      </w:r>
      <w:r>
        <w:rPr>
          <w:rFonts w:ascii="Arial" w:cs="Arial" w:eastAsia="Arial" w:hAnsi="Arial"/>
          <w:sz w:val="20"/>
          <w:szCs w:val="20"/>
          <w:b w:val="1"/>
          <w:bCs w:val="1"/>
          <w:color w:val="auto"/>
        </w:rPr>
        <w: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14.4</w:t>
      </w:r>
      <w:r>
        <w:rPr>
          <w:rFonts w:ascii="Arial" w:cs="Arial" w:eastAsia="Arial" w:hAnsi="Arial"/>
          <w:sz w:val="20"/>
          <w:szCs w:val="20"/>
          <w:color w:val="auto"/>
        </w:rPr>
        <w:t>, Landlord shall not unreasonably withhold its consent to any proposed Transfer. Without limiting other reasonable grounds for withholding consent, it shall be deemed reasonable for Landlord to withhold its consent to a proposed Transfer if:</w:t>
      </w:r>
    </w:p>
    <w:p>
      <w:pPr>
        <w:spacing w:after="0" w:line="183" w:lineRule="exact"/>
        <w:rPr>
          <w:sz w:val="20"/>
          <w:szCs w:val="20"/>
          <w:color w:val="auto"/>
        </w:rPr>
      </w:pPr>
    </w:p>
    <w:p>
      <w:pPr>
        <w:jc w:val="both"/>
        <w:ind w:firstLine="1144"/>
        <w:spacing w:after="0" w:line="260" w:lineRule="auto"/>
        <w:rPr>
          <w:sz w:val="20"/>
          <w:szCs w:val="20"/>
          <w:color w:val="auto"/>
        </w:rPr>
      </w:pPr>
      <w:r>
        <w:rPr>
          <w:rFonts w:ascii="Arial" w:cs="Arial" w:eastAsia="Arial" w:hAnsi="Arial"/>
          <w:sz w:val="20"/>
          <w:szCs w:val="20"/>
          <w:color w:val="auto"/>
        </w:rPr>
        <w:t>14.2.1 The proposed transferee is not a party of reasonable financial strength in light of the responsibilities to be undertaken in connection with the Transfer on the date the Transfer Notice is received; or</w:t>
      </w:r>
    </w:p>
    <w:p>
      <w:pPr>
        <w:spacing w:after="0" w:line="177" w:lineRule="exact"/>
        <w:rPr>
          <w:sz w:val="20"/>
          <w:szCs w:val="20"/>
          <w:color w:val="auto"/>
        </w:rPr>
      </w:pPr>
    </w:p>
    <w:p>
      <w:pPr>
        <w:jc w:val="both"/>
        <w:ind w:right="20" w:firstLine="1144"/>
        <w:spacing w:after="0" w:line="260" w:lineRule="auto"/>
        <w:rPr>
          <w:sz w:val="20"/>
          <w:szCs w:val="20"/>
          <w:color w:val="auto"/>
        </w:rPr>
      </w:pPr>
      <w:r>
        <w:rPr>
          <w:rFonts w:ascii="Arial" w:cs="Arial" w:eastAsia="Arial" w:hAnsi="Arial"/>
          <w:sz w:val="20"/>
          <w:szCs w:val="20"/>
          <w:color w:val="auto"/>
        </w:rPr>
        <w:t>14.2.2 The proposed transferee has a character or reputation or is engaged in a business that is not consistent with the quality of the Building or the Project; or</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250"/>
        </w:trPr>
        <w:tc>
          <w:tcPr>
            <w:tcW w:w="820" w:type="dxa"/>
            <w:vAlign w:val="bottom"/>
          </w:tcPr>
          <w:p>
            <w:pPr>
              <w:jc w:val="right"/>
              <w:ind w:right="241"/>
              <w:spacing w:after="0"/>
              <w:rPr>
                <w:sz w:val="20"/>
                <w:szCs w:val="20"/>
                <w:color w:val="auto"/>
              </w:rPr>
            </w:pPr>
            <w:r>
              <w:rPr>
                <w:rFonts w:ascii="Arial" w:cs="Arial" w:eastAsia="Arial" w:hAnsi="Arial"/>
                <w:sz w:val="20"/>
                <w:szCs w:val="20"/>
                <w:color w:val="auto"/>
                <w:w w:val="82"/>
              </w:rPr>
              <w:t>14.2.3</w:t>
            </w:r>
          </w:p>
        </w:tc>
        <w:tc>
          <w:tcPr>
            <w:tcW w:w="6620" w:type="dxa"/>
            <w:vAlign w:val="bottom"/>
          </w:tcPr>
          <w:p>
            <w:pPr>
              <w:ind w:left="320"/>
              <w:spacing w:after="0"/>
              <w:rPr>
                <w:sz w:val="20"/>
                <w:szCs w:val="20"/>
                <w:color w:val="auto"/>
              </w:rPr>
            </w:pPr>
            <w:r>
              <w:rPr>
                <w:rFonts w:ascii="Arial" w:cs="Arial" w:eastAsia="Arial" w:hAnsi="Arial"/>
                <w:sz w:val="20"/>
                <w:szCs w:val="20"/>
                <w:color w:val="auto"/>
                <w:w w:val="89"/>
              </w:rPr>
              <w:t>The proposed transferee is a governmental entity or a nonprofit organization; or</w:t>
            </w:r>
          </w:p>
        </w:tc>
      </w:tr>
      <w:tr>
        <w:trPr>
          <w:trHeight w:val="445"/>
        </w:trPr>
        <w:tc>
          <w:tcPr>
            <w:tcW w:w="820" w:type="dxa"/>
            <w:vAlign w:val="bottom"/>
          </w:tcPr>
          <w:p>
            <w:pPr>
              <w:jc w:val="right"/>
              <w:ind w:right="241"/>
              <w:spacing w:after="0"/>
              <w:rPr>
                <w:sz w:val="20"/>
                <w:szCs w:val="20"/>
                <w:color w:val="auto"/>
              </w:rPr>
            </w:pPr>
            <w:r>
              <w:rPr>
                <w:rFonts w:ascii="Arial" w:cs="Arial" w:eastAsia="Arial" w:hAnsi="Arial"/>
                <w:sz w:val="20"/>
                <w:szCs w:val="20"/>
                <w:color w:val="auto"/>
                <w:w w:val="82"/>
              </w:rPr>
              <w:t>14.2.4</w:t>
            </w:r>
          </w:p>
        </w:tc>
        <w:tc>
          <w:tcPr>
            <w:tcW w:w="6620" w:type="dxa"/>
            <w:vAlign w:val="bottom"/>
          </w:tcPr>
          <w:p>
            <w:pPr>
              <w:ind w:left="320"/>
              <w:spacing w:after="0"/>
              <w:rPr>
                <w:sz w:val="20"/>
                <w:szCs w:val="20"/>
                <w:color w:val="auto"/>
              </w:rPr>
            </w:pPr>
            <w:r>
              <w:rPr>
                <w:rFonts w:ascii="Arial" w:cs="Arial" w:eastAsia="Arial" w:hAnsi="Arial"/>
                <w:sz w:val="20"/>
                <w:szCs w:val="20"/>
                <w:color w:val="auto"/>
              </w:rPr>
              <w:t>Intentionally Omitted; or</w:t>
            </w:r>
          </w:p>
        </w:tc>
      </w:tr>
    </w:tbl>
    <w:p>
      <w:pPr>
        <w:spacing w:after="0" w:line="195" w:lineRule="exact"/>
        <w:rPr>
          <w:sz w:val="20"/>
          <w:szCs w:val="20"/>
          <w:color w:val="auto"/>
        </w:rPr>
      </w:pPr>
    </w:p>
    <w:p>
      <w:pPr>
        <w:jc w:val="both"/>
        <w:ind w:firstLine="1144"/>
        <w:spacing w:after="0" w:line="282" w:lineRule="auto"/>
        <w:rPr>
          <w:sz w:val="20"/>
          <w:szCs w:val="20"/>
          <w:color w:val="auto"/>
        </w:rPr>
      </w:pPr>
      <w:r>
        <w:rPr>
          <w:rFonts w:ascii="Arial" w:cs="Arial" w:eastAsia="Arial" w:hAnsi="Arial"/>
          <w:sz w:val="18"/>
          <w:szCs w:val="18"/>
          <w:color w:val="auto"/>
        </w:rPr>
        <w:t>14.2.5 The proposed transferee or any of its Affiliates, on the date the Transfer Notice is received, leases or occupies (or, at any time during the 6-month period ending on the date the Transfer Notice is received, has negotiated with Landlord to lease) space in the Project and Landlord has (or believes in good faith, based on the scheduled expiration dates of existing leases and/or its rights to relocate existing tenants, that it will have) space available that, in its good faith judgment, will meet the proposed transferee’s leasing needs; or</w:t>
      </w:r>
    </w:p>
    <w:p>
      <w:pPr>
        <w:spacing w:after="0" w:line="161" w:lineRule="exact"/>
        <w:rPr>
          <w:sz w:val="20"/>
          <w:szCs w:val="20"/>
          <w:color w:val="auto"/>
        </w:rPr>
      </w:pPr>
    </w:p>
    <w:p>
      <w:pPr>
        <w:jc w:val="both"/>
        <w:ind w:firstLine="1144"/>
        <w:spacing w:after="0" w:line="316" w:lineRule="auto"/>
        <w:rPr>
          <w:sz w:val="20"/>
          <w:szCs w:val="20"/>
          <w:color w:val="auto"/>
        </w:rPr>
      </w:pPr>
      <w:r>
        <w:rPr>
          <w:rFonts w:ascii="Arial" w:cs="Arial" w:eastAsia="Arial" w:hAnsi="Arial"/>
          <w:sz w:val="18"/>
          <w:szCs w:val="18"/>
          <w:color w:val="auto"/>
        </w:rPr>
        <w:t>14.2.6 The use to be made of the Contemplated Transfer Space is a use which would be prohibited by any other portion of this Lease or a use which conflicts with any applicable so-called "exclusive" then in favor of another tenant of the Building or Project.</w:t>
      </w:r>
    </w:p>
    <w:p>
      <w:pPr>
        <w:spacing w:after="0" w:line="130" w:lineRule="exact"/>
        <w:rPr>
          <w:sz w:val="20"/>
          <w:szCs w:val="20"/>
          <w:color w:val="auto"/>
        </w:rPr>
      </w:pPr>
    </w:p>
    <w:p>
      <w:pPr>
        <w:jc w:val="both"/>
        <w:ind w:firstLine="520"/>
        <w:spacing w:after="0" w:line="260" w:lineRule="auto"/>
        <w:rPr>
          <w:sz w:val="20"/>
          <w:szCs w:val="20"/>
          <w:color w:val="auto"/>
        </w:rPr>
      </w:pPr>
      <w:r>
        <w:rPr>
          <w:rFonts w:ascii="Arial" w:cs="Arial" w:eastAsia="Arial" w:hAnsi="Arial"/>
          <w:sz w:val="19"/>
          <w:szCs w:val="19"/>
          <w:color w:val="auto"/>
        </w:rPr>
        <w:t xml:space="preserve">Notwithstanding any contrary provision hereof, (a) if Landlord consents to any Transfer pursuant to this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but Tenant does not enter into such Transfer within six (6) months thereafter, such consent shall no longer apply and such Transfer shall not be permitted unless Tenant again obtains Landlord’s consent thereto pursuant and subject to the terms of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and (b) if Landlord withholds its consent in breach of this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Tenant’s sole remedies shall be contract damages (subject to </w:t>
      </w:r>
      <w:r>
        <w:rPr>
          <w:rFonts w:ascii="Arial" w:cs="Arial" w:eastAsia="Arial" w:hAnsi="Arial"/>
          <w:sz w:val="19"/>
          <w:szCs w:val="19"/>
          <w:u w:val="single" w:color="auto"/>
          <w:color w:val="auto"/>
        </w:rPr>
        <w:t>Section 20</w:t>
      </w:r>
      <w:r>
        <w:rPr>
          <w:rFonts w:ascii="Arial" w:cs="Arial" w:eastAsia="Arial" w:hAnsi="Arial"/>
          <w:sz w:val="19"/>
          <w:szCs w:val="19"/>
          <w:color w:val="auto"/>
        </w:rPr>
        <w:t>) or specific performance, and Tenant waives all other remedies, including any right to terminate this Lease.</w:t>
      </w:r>
    </w:p>
    <w:p>
      <w:pPr>
        <w:spacing w:after="0" w:line="174" w:lineRule="exact"/>
        <w:rPr>
          <w:sz w:val="20"/>
          <w:szCs w:val="20"/>
          <w:color w:val="auto"/>
        </w:rPr>
      </w:pPr>
    </w:p>
    <w:p>
      <w:pPr>
        <w:jc w:val="both"/>
        <w:ind w:firstLine="524"/>
        <w:spacing w:after="0" w:line="253" w:lineRule="auto"/>
        <w:rPr>
          <w:sz w:val="20"/>
          <w:szCs w:val="20"/>
          <w:color w:val="auto"/>
        </w:rPr>
      </w:pPr>
      <w:r>
        <w:rPr>
          <w:rFonts w:ascii="Arial" w:cs="Arial" w:eastAsia="Arial" w:hAnsi="Arial"/>
          <w:sz w:val="20"/>
          <w:szCs w:val="20"/>
          <w:color w:val="auto"/>
        </w:rPr>
        <w:t xml:space="preserve">14.3 </w:t>
      </w:r>
      <w:r>
        <w:rPr>
          <w:rFonts w:ascii="Arial" w:cs="Arial" w:eastAsia="Arial" w:hAnsi="Arial"/>
          <w:sz w:val="20"/>
          <w:szCs w:val="20"/>
          <w:b w:val="1"/>
          <w:bCs w:val="1"/>
          <w:u w:val="single" w:color="auto"/>
          <w:color w:val="auto"/>
        </w:rPr>
        <w:t>Transfer Premium</w:t>
      </w:r>
      <w:r>
        <w:rPr>
          <w:rFonts w:ascii="Arial" w:cs="Arial" w:eastAsia="Arial" w:hAnsi="Arial"/>
          <w:sz w:val="20"/>
          <w:szCs w:val="20"/>
          <w:b w:val="1"/>
          <w:bCs w:val="1"/>
          <w:color w:val="auto"/>
        </w:rPr>
        <w:t>.</w:t>
      </w:r>
      <w:r>
        <w:rPr>
          <w:rFonts w:ascii="Arial" w:cs="Arial" w:eastAsia="Arial" w:hAnsi="Arial"/>
          <w:sz w:val="20"/>
          <w:szCs w:val="20"/>
          <w:color w:val="auto"/>
        </w:rPr>
        <w:t xml:space="preserve"> If Landlord consents to a Transfer (other than a Change of Control), Tenant shall pay Landlord an amount equal to 50% of any Transfer Premium (defined below). As used herein, “</w:t>
      </w:r>
      <w:r>
        <w:rPr>
          <w:rFonts w:ascii="Arial" w:cs="Arial" w:eastAsia="Arial" w:hAnsi="Arial"/>
          <w:sz w:val="20"/>
          <w:szCs w:val="20"/>
          <w:b w:val="1"/>
          <w:bCs w:val="1"/>
          <w:color w:val="auto"/>
        </w:rPr>
        <w:t>Transfer Premium</w:t>
      </w:r>
      <w:r>
        <w:rPr>
          <w:rFonts w:ascii="Arial" w:cs="Arial" w:eastAsia="Arial" w:hAnsi="Arial"/>
          <w:sz w:val="20"/>
          <w:szCs w:val="20"/>
          <w:color w:val="auto"/>
        </w:rPr>
        <w:t>” means (a) in the case of an assignment, any consideration (including payment for Leasehold Improvements) paid by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27305"/>
                    </a:xfrm>
                    <a:prstGeom prst="rect">
                      <a:avLst/>
                    </a:prstGeom>
                    <a:noFill/>
                  </pic:spPr>
                </pic:pic>
              </a:graphicData>
            </a:graphic>
          </wp:anchor>
        </w:drawing>
      </w:r>
    </w:p>
    <w:p>
      <w:pPr>
        <w:sectPr>
          <w:pgSz w:w="11900" w:h="16838" w:orient="portrait"/>
          <w:cols w:equalWidth="0" w:num="1">
            <w:col w:w="11240"/>
          </w:cols>
          <w:pgMar w:left="320" w:top="339" w:right="339" w:bottom="0" w:gutter="0" w:footer="0" w:header="0"/>
        </w:sectPr>
      </w:pPr>
    </w:p>
    <w:bookmarkStart w:id="33" w:name="page34"/>
    <w:bookmarkEnd w:id="33"/>
    <w:p>
      <w:pPr>
        <w:jc w:val="both"/>
        <w:spacing w:after="0" w:line="272" w:lineRule="auto"/>
        <w:rPr>
          <w:sz w:val="20"/>
          <w:szCs w:val="20"/>
          <w:color w:val="auto"/>
        </w:rPr>
      </w:pPr>
      <w:r>
        <w:rPr>
          <w:rFonts w:ascii="Arial" w:cs="Arial" w:eastAsia="Arial" w:hAnsi="Arial"/>
          <w:sz w:val="18"/>
          <w:szCs w:val="18"/>
          <w:color w:val="auto"/>
        </w:rPr>
        <w:t>assignee for such assignment, less any reasonable and customary expenses directly incurred by Tenant on account of such assignment, including brokerage fees, legal fees, and Landlord’s review fee, and (b) in the case of a sublease, license or other occupancy agreement, for each month of the term of such agreement, the amount by which all rent and other consideration paid by the transferee to Tenant pursuant to such agreement (less all reasonable and customary expenses directly incurred by Tenant on account of such agreement, including brokerage fees, legal fees, construction costs and Landlord’s review fee, as amortized on a monthly, straight-line basis over the term of such agreement) exceeds the Monthly Rent payable by Tenant hereunder with respect to the Contemplated Transfer Space. Payment of Landlord’s share of the Transfer Premium shall be made (x) in the case of an assignment, within 10 days after Tenant receives the consideration described above, and (y) in the case of a sublease, license or other occupancy agreement, for each month of the term of such agreement, within five (5) business days after Tenant receives the rent and other consideration described above.</w:t>
      </w:r>
    </w:p>
    <w:p>
      <w:pPr>
        <w:spacing w:after="0" w:line="164"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b w:val="1"/>
          <w:bCs w:val="1"/>
          <w:u w:val="single" w:color="auto"/>
          <w:color w:val="auto"/>
        </w:rPr>
        <w:t>Landlord’s Right to Recapture</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 contrary provision hereof, except in the case of a Permitted Transfer (defined in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Landlord, by notifying Tenant within 20 days after receiving the Transfer Notice, may terminate this Lease with respect to the Contemplated Transfer Space as of the Contemplated Effective Date. If the Contemplated Transfer Space is less than the entire Premises, then Base Rent, Tenant’s Share, and the number of parking spaces to which Tenant is entitled under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shall be deemed adjusted on the basis of the percentage of the rentable square footage of the portion of the Premises retained by Tenant. Upon request of either party, the parties shall execute a written agreement prepared by Landlord memorializing such termination.</w:t>
      </w:r>
    </w:p>
    <w:p>
      <w:pPr>
        <w:spacing w:after="0" w:line="160"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9"/>
          <w:szCs w:val="19"/>
          <w:color w:val="auto"/>
        </w:rPr>
        <w:t xml:space="preserve">14.5 </w:t>
      </w:r>
      <w:r>
        <w:rPr>
          <w:rFonts w:ascii="Arial" w:cs="Arial" w:eastAsia="Arial" w:hAnsi="Arial"/>
          <w:sz w:val="19"/>
          <w:szCs w:val="19"/>
          <w:b w:val="1"/>
          <w:bCs w:val="1"/>
          <w:u w:val="single" w:color="auto"/>
          <w:color w:val="auto"/>
        </w:rPr>
        <w:t>Effect of Consent</w:t>
      </w:r>
      <w:r>
        <w:rPr>
          <w:rFonts w:ascii="Arial" w:cs="Arial" w:eastAsia="Arial" w:hAnsi="Arial"/>
          <w:sz w:val="19"/>
          <w:szCs w:val="19"/>
          <w:b w:val="1"/>
          <w:bCs w:val="1"/>
          <w:color w:val="auto"/>
        </w:rPr>
        <w:t>.</w:t>
      </w:r>
      <w:r>
        <w:rPr>
          <w:rFonts w:ascii="Arial" w:cs="Arial" w:eastAsia="Arial" w:hAnsi="Arial"/>
          <w:sz w:val="19"/>
          <w:szCs w:val="19"/>
          <w:color w:val="auto"/>
        </w:rPr>
        <w:t xml:space="preserve"> If Landlord consents to a Transfer, (i) such consent shall not be deemed a consent to any further Transfer, (ii) Tenant shall deliver to Landlord, promptly after execution, an executed copy of all documentation pertaining to the Transfer in form reasonably acceptable to Landlord, and (iii) Tenant shall deliver to Landlord, upon Landlord’s request, a complete statement, certified by an independent CPA or Tenant’s chief financial officer, setting forth in detail the computation of any Transfer Premium. In the case of an assignment, the assignee shall assume in writing, for Landlord’s benefit, all of Tenant’s obligations hereunder. No Transfer, with or without Landlord’s consent, shall relieve Tenant or any guarantor hereof from any liability hereunder. Notwithstanding any contrary provision hereof, Tenant, with or without Landlord’s consent, shall not enter into, or permit any party claiming by, through or under Tenant to enter into, any sublease, license or other occupancy agreement that provides for payment based in whole or in part on the net income or profit of the subtenant, licensee or other occupant thereunder.</w:t>
      </w:r>
    </w:p>
    <w:p>
      <w:pPr>
        <w:spacing w:after="0" w:line="176" w:lineRule="exact"/>
        <w:rPr>
          <w:sz w:val="20"/>
          <w:szCs w:val="20"/>
          <w:color w:val="auto"/>
        </w:rPr>
      </w:pPr>
    </w:p>
    <w:p>
      <w:pPr>
        <w:jc w:val="both"/>
        <w:ind w:firstLine="524"/>
        <w:spacing w:after="0" w:line="242"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b w:val="1"/>
          <w:bCs w:val="1"/>
          <w:u w:val="single" w:color="auto"/>
          <w:color w:val="auto"/>
        </w:rPr>
        <w:t>Change of Control</w:t>
      </w:r>
      <w:r>
        <w:rPr>
          <w:rFonts w:ascii="Arial" w:cs="Arial" w:eastAsia="Arial" w:hAnsi="Arial"/>
          <w:sz w:val="20"/>
          <w:szCs w:val="20"/>
          <w:b w:val="1"/>
          <w:bCs w:val="1"/>
          <w:color w:val="auto"/>
        </w:rPr>
        <w:t>.</w:t>
      </w:r>
      <w:r>
        <w:rPr>
          <w:rFonts w:ascii="Arial" w:cs="Arial" w:eastAsia="Arial" w:hAnsi="Arial"/>
          <w:sz w:val="20"/>
          <w:szCs w:val="20"/>
          <w:color w:val="auto"/>
        </w:rPr>
        <w:t xml:space="preserve"> As used herein, “</w:t>
      </w:r>
      <w:r>
        <w:rPr>
          <w:rFonts w:ascii="Arial" w:cs="Arial" w:eastAsia="Arial" w:hAnsi="Arial"/>
          <w:sz w:val="20"/>
          <w:szCs w:val="20"/>
          <w:b w:val="1"/>
          <w:bCs w:val="1"/>
          <w:color w:val="auto"/>
        </w:rPr>
        <w:t>Change of Control</w:t>
      </w:r>
      <w:r>
        <w:rPr>
          <w:rFonts w:ascii="Arial" w:cs="Arial" w:eastAsia="Arial" w:hAnsi="Arial"/>
          <w:sz w:val="20"/>
          <w:szCs w:val="20"/>
          <w:color w:val="auto"/>
        </w:rPr>
        <w:t>” means (a) if Tenant is a closely held professional service firm, the withdrawal or change (whether voluntary, involuntary or by operation of law) of more than 50% of its equity owners within a 12-month period; and (b) in all other cases, any transaction(s) resulting in the acquisition of a Controlling Interest (defined below) in Tenant by one or more parties that neither owned, nor are Affiliates (defined below) of one or more parties that owned, a Controlling Interest in Tenant immediately before such transaction(s). As used herein, “</w:t>
      </w:r>
      <w:r>
        <w:rPr>
          <w:rFonts w:ascii="Arial" w:cs="Arial" w:eastAsia="Arial" w:hAnsi="Arial"/>
          <w:sz w:val="20"/>
          <w:szCs w:val="20"/>
          <w:b w:val="1"/>
          <w:bCs w:val="1"/>
          <w:color w:val="auto"/>
        </w:rPr>
        <w:t>Controlling Interest</w:t>
      </w:r>
      <w:r>
        <w:rPr>
          <w:rFonts w:ascii="Arial" w:cs="Arial" w:eastAsia="Arial" w:hAnsi="Arial"/>
          <w:sz w:val="20"/>
          <w:szCs w:val="20"/>
          <w:color w:val="auto"/>
        </w:rPr>
        <w:t>” means control over an entity, other than control arising from the ownership of voting securities listed on a recognized securities exchange. As used herein, “</w:t>
      </w:r>
      <w:r>
        <w:rPr>
          <w:rFonts w:ascii="Arial" w:cs="Arial" w:eastAsia="Arial" w:hAnsi="Arial"/>
          <w:sz w:val="20"/>
          <w:szCs w:val="20"/>
          <w:b w:val="1"/>
          <w:bCs w:val="1"/>
          <w:color w:val="auto"/>
        </w:rPr>
        <w:t>control</w:t>
      </w:r>
      <w:r>
        <w:rPr>
          <w:rFonts w:ascii="Arial" w:cs="Arial" w:eastAsia="Arial" w:hAnsi="Arial"/>
          <w:sz w:val="20"/>
          <w:szCs w:val="20"/>
          <w:color w:val="auto"/>
        </w:rPr>
        <w:t>” means the direct or indirect power to direct the ordinary management and policies of an entity, whether through the ownership of voting securities, by contract or otherwise. As used herein, “</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any party, a person or entity that controls, is under common control with, or is controlled by such party.</w:t>
      </w:r>
    </w:p>
    <w:p>
      <w:pPr>
        <w:spacing w:after="0" w:line="194"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20"/>
          <w:szCs w:val="20"/>
          <w:color w:val="auto"/>
        </w:rPr>
        <w:t xml:space="preserve">14.7 </w:t>
      </w:r>
      <w:r>
        <w:rPr>
          <w:rFonts w:ascii="Arial" w:cs="Arial" w:eastAsia="Arial" w:hAnsi="Arial"/>
          <w:sz w:val="20"/>
          <w:szCs w:val="20"/>
          <w:b w:val="1"/>
          <w:bCs w:val="1"/>
          <w:u w:val="single" w:color="auto"/>
          <w:color w:val="auto"/>
        </w:rPr>
        <w:t>Effect of Default</w:t>
      </w:r>
      <w:r>
        <w:rPr>
          <w:rFonts w:ascii="Arial" w:cs="Arial" w:eastAsia="Arial" w:hAnsi="Arial"/>
          <w:sz w:val="20"/>
          <w:szCs w:val="20"/>
          <w:b w:val="1"/>
          <w:bCs w:val="1"/>
          <w:color w:val="auto"/>
        </w:rPr>
        <w:t>.</w:t>
      </w:r>
      <w:r>
        <w:rPr>
          <w:rFonts w:ascii="Arial" w:cs="Arial" w:eastAsia="Arial" w:hAnsi="Arial"/>
          <w:sz w:val="20"/>
          <w:szCs w:val="20"/>
          <w:color w:val="auto"/>
        </w:rPr>
        <w:t xml:space="preserve"> If Tenant is in Default, Landlord is irrevocably authorized, as Tenant’s agent and attorney-in-fact, to direct any transferee under any sublease, license or other occupancy agreement to make all payments under such agreement directly to Landlord (which Landlord shall apply towards Tenant’s obligations hereunder) until such Default is cured. Such transferee shall rely upon any representation by Landlord that Tenant is in Default, whether or not confirmed by Tenant.</w:t>
      </w:r>
    </w:p>
    <w:p>
      <w:pPr>
        <w:spacing w:after="0" w:line="183" w:lineRule="exact"/>
        <w:rPr>
          <w:sz w:val="20"/>
          <w:szCs w:val="20"/>
          <w:color w:val="auto"/>
        </w:rPr>
      </w:pPr>
    </w:p>
    <w:p>
      <w:pPr>
        <w:jc w:val="both"/>
        <w:ind w:firstLine="524"/>
        <w:spacing w:after="0" w:line="254" w:lineRule="auto"/>
        <w:rPr>
          <w:sz w:val="20"/>
          <w:szCs w:val="20"/>
          <w:color w:val="auto"/>
        </w:rPr>
      </w:pPr>
      <w:r>
        <w:rPr>
          <w:rFonts w:ascii="Arial" w:cs="Arial" w:eastAsia="Arial" w:hAnsi="Arial"/>
          <w:sz w:val="19"/>
          <w:szCs w:val="19"/>
          <w:color w:val="auto"/>
        </w:rPr>
        <w:t xml:space="preserve">14.8 </w:t>
      </w:r>
      <w:r>
        <w:rPr>
          <w:rFonts w:ascii="Arial" w:cs="Arial" w:eastAsia="Arial" w:hAnsi="Arial"/>
          <w:sz w:val="19"/>
          <w:szCs w:val="19"/>
          <w:b w:val="1"/>
          <w:bCs w:val="1"/>
          <w:u w:val="single" w:color="auto"/>
          <w:color w:val="auto"/>
        </w:rPr>
        <w:t>Permitted Transfers</w:t>
      </w:r>
      <w:r>
        <w:rPr>
          <w:rFonts w:ascii="Arial" w:cs="Arial" w:eastAsia="Arial" w:hAnsi="Arial"/>
          <w:sz w:val="19"/>
          <w:szCs w:val="19"/>
          <w:b w:val="1"/>
          <w:bCs w:val="1"/>
          <w:color w:val="auto"/>
        </w:rPr>
        <w:t>.</w:t>
      </w:r>
      <w:r>
        <w:rPr>
          <w:rFonts w:ascii="Arial" w:cs="Arial" w:eastAsia="Arial" w:hAnsi="Arial"/>
          <w:sz w:val="19"/>
          <w:szCs w:val="19"/>
          <w:color w:val="auto"/>
        </w:rPr>
        <w:t xml:space="preserve"> Notwithstanding any contrary provision hereof, if Tenant is not in Default, Tenant may, without Landlord’s consent pursuant to </w:t>
      </w:r>
      <w:r>
        <w:rPr>
          <w:rFonts w:ascii="Arial" w:cs="Arial" w:eastAsia="Arial" w:hAnsi="Arial"/>
          <w:sz w:val="19"/>
          <w:szCs w:val="19"/>
          <w:u w:val="single" w:color="auto"/>
          <w:color w:val="auto"/>
        </w:rPr>
        <w:t>Section 14.1</w:t>
      </w:r>
      <w:r>
        <w:rPr>
          <w:rFonts w:ascii="Arial" w:cs="Arial" w:eastAsia="Arial" w:hAnsi="Arial"/>
          <w:sz w:val="19"/>
          <w:szCs w:val="19"/>
          <w:color w:val="auto"/>
        </w:rPr>
        <w:t>, permit a Change of Control to occur or assign this Lease to (a) an Affiliate of Tenant (other than pursuant to a merger or consolidation), (b) a successor to Tenant by merger or consolidation, or (c) a successor to Tenant by purchase of all or substantially all of Tenant’s assets (a “</w:t>
      </w:r>
      <w:r>
        <w:rPr>
          <w:rFonts w:ascii="Arial" w:cs="Arial" w:eastAsia="Arial" w:hAnsi="Arial"/>
          <w:sz w:val="19"/>
          <w:szCs w:val="19"/>
          <w:b w:val="1"/>
          <w:bCs w:val="1"/>
          <w:color w:val="auto"/>
        </w:rPr>
        <w:t>Permitted Transfer</w:t>
      </w:r>
      <w:r>
        <w:rPr>
          <w:rFonts w:ascii="Arial" w:cs="Arial" w:eastAsia="Arial" w:hAnsi="Arial"/>
          <w:sz w:val="19"/>
          <w:szCs w:val="19"/>
          <w:color w:val="auto"/>
        </w:rPr>
        <w:t xml:space="preserve">”), provided that (i) at least 10 business days before the Transfer, Tenant notifies Landlord of the Transfer and delivers to Landlord any documents or information reasonably requested by Landlord relating thereto, including reasonable documentation that the Transfer satisfies the requirements of this </w:t>
      </w:r>
      <w:r>
        <w:rPr>
          <w:rFonts w:ascii="Arial" w:cs="Arial" w:eastAsia="Arial" w:hAnsi="Arial"/>
          <w:sz w:val="19"/>
          <w:szCs w:val="19"/>
          <w:u w:val="single" w:color="auto"/>
          <w:color w:val="auto"/>
        </w:rPr>
        <w:t>Section 14.8</w:t>
      </w:r>
      <w:r>
        <w:rPr>
          <w:rFonts w:ascii="Arial" w:cs="Arial" w:eastAsia="Arial" w:hAnsi="Arial"/>
          <w:sz w:val="19"/>
          <w:szCs w:val="19"/>
          <w:color w:val="auto"/>
        </w:rPr>
        <w:t>; (ii) in the case of an assignment pursuant to clause (a) or (c) above, the assignee executes and delivers to Landlord, at least 10 business days before the assignment, a commercially reasonable instrument pursuant to which the assignee assumes, for Landlord’s benefit, all of Tenant’s obligations hereunder; (iii) in the case of an assignment pursuant to clause (b) above, (A) the successor entity has a net worth (as determined in accordance with GAAP, but excluding intellectual property and any other intangible assets (“</w:t>
      </w:r>
      <w:r>
        <w:rPr>
          <w:rFonts w:ascii="Arial" w:cs="Arial" w:eastAsia="Arial" w:hAnsi="Arial"/>
          <w:sz w:val="19"/>
          <w:szCs w:val="19"/>
          <w:b w:val="1"/>
          <w:bCs w:val="1"/>
          <w:color w:val="auto"/>
        </w:rPr>
        <w:t>Net Worth</w:t>
      </w:r>
      <w:r>
        <w:rPr>
          <w:rFonts w:ascii="Arial" w:cs="Arial" w:eastAsia="Arial" w:hAnsi="Arial"/>
          <w:sz w:val="19"/>
          <w:szCs w:val="19"/>
          <w:color w:val="auto"/>
        </w:rPr>
        <w:t xml:space="preserve">”)) immediately after the Transfer that is not less than Tenant’s Net Worth immediately before the Transfer, and (B) if Tenant is a closely held professional service firm, at least 50% of its equity owners existing 12 months before the Transfer are also equity owners of the successor entity; (iv) except in the case of a Change of Control, the transferee is qualified to conduct business in the State of California; (v) in the case of a Change of Control, (A) Tenant is not a closely held professional service firm and (B) Tenant’s Net Worth immediately after the Change of Control is not less than its Net Worth immediately before the Change of Control; and (vi) the Transfer is made for a good faith operating business purpose and not in order to evade the requirements of this </w:t>
      </w:r>
      <w:r>
        <w:rPr>
          <w:rFonts w:ascii="Arial" w:cs="Arial" w:eastAsia="Arial" w:hAnsi="Arial"/>
          <w:sz w:val="19"/>
          <w:szCs w:val="19"/>
          <w:u w:val="single" w:color="auto"/>
          <w:color w:val="auto"/>
        </w:rPr>
        <w:t>Section 14</w:t>
      </w:r>
      <w:r>
        <w:rPr>
          <w:rFonts w:ascii="Arial" w:cs="Arial" w:eastAsia="Arial" w:hAnsi="Arial"/>
          <w:sz w:val="19"/>
          <w:szCs w:val="19"/>
          <w:color w:val="auto"/>
        </w:rPr>
        <w:t>.</w:t>
      </w:r>
    </w:p>
    <w:p>
      <w:pPr>
        <w:spacing w:after="0" w:line="188" w:lineRule="exact"/>
        <w:rPr>
          <w:sz w:val="20"/>
          <w:szCs w:val="20"/>
          <w:color w:val="auto"/>
        </w:rPr>
      </w:pPr>
    </w:p>
    <w:p>
      <w:pPr>
        <w:jc w:val="both"/>
        <w:ind w:firstLine="8"/>
        <w:spacing w:after="0" w:line="246" w:lineRule="auto"/>
        <w:tabs>
          <w:tab w:leader="none" w:pos="846"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SURRENDER. </w:t>
      </w:r>
      <w:r>
        <w:rPr>
          <w:rFonts w:ascii="Arial" w:cs="Arial" w:eastAsia="Arial" w:hAnsi="Arial"/>
          <w:sz w:val="20"/>
          <w:szCs w:val="20"/>
          <w:color w:val="auto"/>
        </w:rPr>
        <w:t>Upon the expiration or earlier termination hereof, and 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 8</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11</w:t>
      </w:r>
      <w:r>
        <w:rPr>
          <w:rFonts w:ascii="Arial" w:cs="Arial" w:eastAsia="Arial" w:hAnsi="Arial"/>
          <w:sz w:val="20"/>
          <w:szCs w:val="20"/>
          <w:b w:val="1"/>
          <w:bCs w:val="1"/>
          <w:color w:val="auto"/>
        </w:rPr>
        <w:t xml:space="preserve"> </w:t>
      </w:r>
      <w:r>
        <w:rPr>
          <w:rFonts w:ascii="Arial" w:cs="Arial" w:eastAsia="Arial" w:hAnsi="Arial"/>
          <w:sz w:val="20"/>
          <w:szCs w:val="20"/>
          <w:color w:val="auto"/>
        </w:rPr>
        <w:t>and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15</w:t>
      </w:r>
      <w:r>
        <w:rPr>
          <w:rFonts w:ascii="Arial" w:cs="Arial" w:eastAsia="Arial" w:hAnsi="Arial"/>
          <w:sz w:val="20"/>
          <w:szCs w:val="20"/>
          <w:color w:val="auto"/>
        </w:rPr>
        <w:t>, Tenant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surrender possession of the Premises to Landlord in as good condition and repair as existed when Tenant took possession and as thereafter improved, except for reasonable wear and tear, damage due to Casualty and repairs that are Landlord’s express responsibility hereunder. Before such expiration or termination, Tenant, without expense to Landlord, shall (a) remove from the Premises all debris and rubbish and all furniture, equipment, trade fixtures,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293" w:gutter="0" w:footer="0" w:header="0"/>
        </w:sectPr>
      </w:pPr>
    </w:p>
    <w:bookmarkStart w:id="34" w:name="page35"/>
    <w:bookmarkEnd w:id="34"/>
    <w:p>
      <w:pPr>
        <w:jc w:val="both"/>
        <w:spacing w:after="0" w:line="243" w:lineRule="auto"/>
        <w:rPr>
          <w:sz w:val="20"/>
          <w:szCs w:val="20"/>
          <w:color w:val="auto"/>
        </w:rPr>
      </w:pPr>
      <w:r>
        <w:rPr>
          <w:rFonts w:ascii="Arial" w:cs="Arial" w:eastAsia="Arial" w:hAnsi="Arial"/>
          <w:sz w:val="20"/>
          <w:szCs w:val="20"/>
          <w:color w:val="auto"/>
        </w:rPr>
        <w:t xml:space="preserve">Lines, free-standing cabinet work, movable partitions and other articles of personal property that are owned or placed in the Premises by Tenant or any party claiming by, through or under Tenant (except for any Lines not required to be removed under </w:t>
      </w:r>
      <w:r>
        <w:rPr>
          <w:rFonts w:ascii="Arial" w:cs="Arial" w:eastAsia="Arial" w:hAnsi="Arial"/>
          <w:sz w:val="20"/>
          <w:szCs w:val="20"/>
          <w:u w:val="single" w:color="auto"/>
          <w:color w:val="auto"/>
        </w:rPr>
        <w:t>Section 23</w:t>
      </w:r>
      <w:r>
        <w:rPr>
          <w:rFonts w:ascii="Arial" w:cs="Arial" w:eastAsia="Arial" w:hAnsi="Arial"/>
          <w:sz w:val="20"/>
          <w:szCs w:val="20"/>
          <w:color w:val="auto"/>
        </w:rPr>
        <w:t>), and (b) repair all damage to the Premises and Building resulting from such removal. If Tenant fails to timely perform such removal and repair, Landlord may do so at Tenant’s expense (including storage costs). If Tenant fails to remove such property from the Premises, or from storage, within 30 days after notice from Landlord, any part of such property shall be deemed, at Landlord’s option, either (x) conveyed to Landlord without compensation, or (y) abandoned.</w:t>
      </w:r>
    </w:p>
    <w:p>
      <w:pPr>
        <w:spacing w:after="0" w:line="190" w:lineRule="exact"/>
        <w:rPr>
          <w:sz w:val="20"/>
          <w:szCs w:val="20"/>
          <w:color w:val="auto"/>
        </w:rPr>
      </w:pPr>
    </w:p>
    <w:p>
      <w:pPr>
        <w:jc w:val="both"/>
        <w:ind w:firstLine="8"/>
        <w:spacing w:after="0" w:line="277" w:lineRule="auto"/>
        <w:tabs>
          <w:tab w:leader="none" w:pos="84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HOLDOVER. </w:t>
      </w:r>
      <w:r>
        <w:rPr>
          <w:rFonts w:ascii="Arial" w:cs="Arial" w:eastAsia="Arial" w:hAnsi="Arial"/>
          <w:sz w:val="18"/>
          <w:szCs w:val="18"/>
          <w:color w:val="auto"/>
        </w:rPr>
        <w:t>If Tenant fails to surrender the Premises upon the expiration or earlier termination hereof, Tenant’s tenancy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subject to the terms and conditions hereof; provided, however, that such tenancy shall be a tenancy at sufferance only, for the entire Premises, and Tenant shall pay Monthly Rent (on a per-month basis without reduction for any partial month) at a rate equal to 150% of the Monthly Rent applicable during the last calendar month of the Term. Nothing in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shall limit Landlord’s rights or remedies or be deemed a consent to any holdover. If Landlord is unable to deliver possession of the Premises to, or perform improvements for, a new tenant as a result of Tenant’s holdover, Tenant shall be liable for all resulting damages, including lost profits, incurred by Landlord.</w:t>
      </w:r>
    </w:p>
    <w:p>
      <w:pPr>
        <w:spacing w:after="0" w:line="159" w:lineRule="exact"/>
        <w:rPr>
          <w:rFonts w:ascii="Arial" w:cs="Arial" w:eastAsia="Arial" w:hAnsi="Arial"/>
          <w:sz w:val="18"/>
          <w:szCs w:val="18"/>
          <w:b w:val="1"/>
          <w:bCs w:val="1"/>
          <w:color w:val="auto"/>
        </w:rPr>
      </w:pPr>
    </w:p>
    <w:p>
      <w:pPr>
        <w:jc w:val="both"/>
        <w:ind w:firstLine="8"/>
        <w:spacing w:after="0" w:line="254" w:lineRule="auto"/>
        <w:tabs>
          <w:tab w:leader="none" w:pos="846"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SUBORDINATION; ESTOPPEL CERTIFICATES; FINANCIALS. </w:t>
      </w:r>
      <w:r>
        <w:rPr>
          <w:rFonts w:ascii="Arial" w:cs="Arial" w:eastAsia="Arial" w:hAnsi="Arial"/>
          <w:sz w:val="19"/>
          <w:szCs w:val="19"/>
          <w:color w:val="auto"/>
        </w:rPr>
        <w:t>This Lease shall be subject and subordinate to all</w:t>
      </w:r>
      <w:r>
        <w:rPr>
          <w:rFonts w:ascii="Arial" w:cs="Arial" w:eastAsia="Arial" w:hAnsi="Arial"/>
          <w:sz w:val="19"/>
          <w:szCs w:val="19"/>
          <w:b w:val="1"/>
          <w:bCs w:val="1"/>
          <w:color w:val="auto"/>
        </w:rPr>
        <w:t xml:space="preserve"> </w:t>
      </w:r>
      <w:r>
        <w:rPr>
          <w:rFonts w:ascii="Arial" w:cs="Arial" w:eastAsia="Arial" w:hAnsi="Arial"/>
          <w:sz w:val="19"/>
          <w:szCs w:val="19"/>
          <w:color w:val="auto"/>
        </w:rPr>
        <w:t>existing and future ground or underlying leases, mortgages, trust deeds and other encumbrances against the Building or Project, all renewals, extensions, modifications, consolidations and replacements thereof (each, a “</w:t>
      </w:r>
      <w:r>
        <w:rPr>
          <w:rFonts w:ascii="Arial" w:cs="Arial" w:eastAsia="Arial" w:hAnsi="Arial"/>
          <w:sz w:val="19"/>
          <w:szCs w:val="19"/>
          <w:b w:val="1"/>
          <w:bCs w:val="1"/>
          <w:color w:val="auto"/>
        </w:rPr>
        <w:t>Security Agreement</w:t>
      </w:r>
      <w:r>
        <w:rPr>
          <w:rFonts w:ascii="Arial" w:cs="Arial" w:eastAsia="Arial" w:hAnsi="Arial"/>
          <w:sz w:val="19"/>
          <w:szCs w:val="19"/>
          <w:color w:val="auto"/>
        </w:rPr>
        <w:t>”), and all advances made upon the security of such mortgages or trust deeds, unless in each case the holder of such Security Agreement (each, a “</w:t>
      </w:r>
      <w:r>
        <w:rPr>
          <w:rFonts w:ascii="Arial" w:cs="Arial" w:eastAsia="Arial" w:hAnsi="Arial"/>
          <w:sz w:val="19"/>
          <w:szCs w:val="19"/>
          <w:b w:val="1"/>
          <w:bCs w:val="1"/>
          <w:color w:val="auto"/>
        </w:rPr>
        <w:t>Security Holder</w:t>
      </w:r>
      <w:r>
        <w:rPr>
          <w:rFonts w:ascii="Arial" w:cs="Arial" w:eastAsia="Arial" w:hAnsi="Arial"/>
          <w:sz w:val="19"/>
          <w:szCs w:val="19"/>
          <w:color w:val="auto"/>
        </w:rPr>
        <w:t>”) requires in writing that this Lease be superior thereto. Upon any termination or foreclosure (or any delivery of a deed in lieu of foreclosure) of any Security Agreement, Tenant, upon request, shall attorn, without deduction or set-off, to the Security Holder or purchaser or any successor thereto and shall recognize such party as the lessor hereunder provided that such party agrees not to disturb Tenant’s occupancy so long as Tenant timely pays the Rent and otherwise performs its obligations hereunder. Within 10 business days after Landlord’s request, Tenant shall execute such further instruments as Landlord may reasonably deem necessary to evidence the subordination or superiority of this Lease to any Security Agreement. Tenant waives any right it may have under Law to terminate or otherwise adversely affect this Lease or Tenant’s obligations hereunder upon a foreclosure. Within 10 business days after Landlord’s request, Tenant shall execute and deliver to Landlord a commercially reasonable estoppel certificate in favor of such parties as Landlord may reasonably designate, including current and prospective Security Holders and prospective purchasers. Within 10 days after Tenant's receipt of Landlord's written request (but no more than once each calendar year), Tenant shall provide Landlord with its current financial statement and its financial statements for the prior three (3) calendar or fiscal years (if Tenant's fiscal year is other than a calendar year). Any such statements shall be prepared in accordance with generally accepted accounting principles and, if the normal practice of Tenant, shall be audited by an independent certified public accountant.</w:t>
      </w:r>
    </w:p>
    <w:p>
      <w:pPr>
        <w:spacing w:after="0" w:line="186" w:lineRule="exact"/>
        <w:rPr>
          <w:rFonts w:ascii="Arial" w:cs="Arial" w:eastAsia="Arial" w:hAnsi="Arial"/>
          <w:sz w:val="19"/>
          <w:szCs w:val="19"/>
          <w:b w:val="1"/>
          <w:bCs w:val="1"/>
          <w:color w:val="auto"/>
        </w:rPr>
      </w:pPr>
    </w:p>
    <w:p>
      <w:pPr>
        <w:jc w:val="both"/>
        <w:ind w:firstLine="8"/>
        <w:spacing w:after="0" w:line="258" w:lineRule="auto"/>
        <w:tabs>
          <w:tab w:leader="none" w:pos="846"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ENTRY BY LANDLORD. </w:t>
      </w:r>
      <w:r>
        <w:rPr>
          <w:rFonts w:ascii="Arial" w:cs="Arial" w:eastAsia="Arial" w:hAnsi="Arial"/>
          <w:sz w:val="19"/>
          <w:szCs w:val="19"/>
          <w:color w:val="auto"/>
        </w:rPr>
        <w:t>At all reasonable times and upon reasonable notice to Tenant, or in an emergency, Landlord may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enter the Premises to (i) inspect the Premises; (ii) show the Premises to prospective purchasers, current or prospective Security Holders or insurers, or, during the last 12 months of the Term (or while an uncured Default exists), prospective tenants; (iii) post notices of non-responsibility; or (iv) perform maintenance, repairs or alterations. At any time and without notice to Tenant, Landlord may enter the Premises to perform required services. If reasonably necessary, Landlord may temporarily close any portion of the Premises to perform maintenance, repairs or alterations. In an emergency, Landlord may use any means it deems proper to open doors to and in the Premises. No entry into or closure of any portion of the Premises pursuant to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shall render Landlord liable to Tenant, constitute a constructive eviction, or excuse Tenant from any obligation hereunder.</w:t>
      </w:r>
    </w:p>
    <w:p>
      <w:pPr>
        <w:spacing w:after="0" w:line="173" w:lineRule="exact"/>
        <w:rPr>
          <w:rFonts w:ascii="Arial" w:cs="Arial" w:eastAsia="Arial" w:hAnsi="Arial"/>
          <w:sz w:val="19"/>
          <w:szCs w:val="19"/>
          <w:b w:val="1"/>
          <w:bCs w:val="1"/>
          <w:color w:val="auto"/>
        </w:rPr>
      </w:pPr>
    </w:p>
    <w:p>
      <w:pPr>
        <w:ind w:left="860" w:hanging="852"/>
        <w:spacing w:after="0"/>
        <w:tabs>
          <w:tab w:leader="none" w:pos="8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DEFAULTS; REMEDIES.</w:t>
      </w:r>
    </w:p>
    <w:p>
      <w:pPr>
        <w:spacing w:after="0" w:line="216"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occurrence of any of the following shall constitute a “</w:t>
      </w: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222" w:lineRule="exact"/>
        <w:rPr>
          <w:sz w:val="20"/>
          <w:szCs w:val="20"/>
          <w:color w:val="auto"/>
        </w:rPr>
      </w:pPr>
    </w:p>
    <w:p>
      <w:pPr>
        <w:jc w:val="both"/>
        <w:ind w:firstLine="1144"/>
        <w:spacing w:after="0" w:line="260" w:lineRule="auto"/>
        <w:rPr>
          <w:sz w:val="20"/>
          <w:szCs w:val="20"/>
          <w:color w:val="auto"/>
        </w:rPr>
      </w:pPr>
      <w:r>
        <w:rPr>
          <w:rFonts w:ascii="Arial" w:cs="Arial" w:eastAsia="Arial" w:hAnsi="Arial"/>
          <w:sz w:val="20"/>
          <w:szCs w:val="20"/>
          <w:color w:val="auto"/>
        </w:rPr>
        <w:t>19.1.1 Any failure by Tenant to pay any Rent (or deliver any Security Deposit, Letter of Credit, or similar credit enhancement required hereunder) when due unless such failure is cured within five (5) business days after notice; or</w:t>
      </w:r>
    </w:p>
    <w:p>
      <w:pPr>
        <w:spacing w:after="0" w:line="177" w:lineRule="exact"/>
        <w:rPr>
          <w:sz w:val="20"/>
          <w:szCs w:val="20"/>
          <w:color w:val="auto"/>
        </w:rPr>
      </w:pPr>
    </w:p>
    <w:p>
      <w:pPr>
        <w:jc w:val="both"/>
        <w:ind w:firstLine="1144"/>
        <w:spacing w:after="0" w:line="278" w:lineRule="auto"/>
        <w:rPr>
          <w:sz w:val="20"/>
          <w:szCs w:val="20"/>
          <w:color w:val="auto"/>
        </w:rPr>
      </w:pPr>
      <w:r>
        <w:rPr>
          <w:rFonts w:ascii="Arial" w:cs="Arial" w:eastAsia="Arial" w:hAnsi="Arial"/>
          <w:sz w:val="18"/>
          <w:szCs w:val="18"/>
          <w:color w:val="auto"/>
        </w:rPr>
        <w:t xml:space="preserve">19.1.2 Except where a specific time period is otherwise set forth for Tenant’s cure herein (in which event Tenant’s failure to cure within such time period shall be a Default), and except as otherwise provided in this </w:t>
      </w:r>
      <w:r>
        <w:rPr>
          <w:rFonts w:ascii="Arial" w:cs="Arial" w:eastAsia="Arial" w:hAnsi="Arial"/>
          <w:sz w:val="18"/>
          <w:szCs w:val="18"/>
          <w:u w:val="single" w:color="auto"/>
          <w:color w:val="auto"/>
        </w:rPr>
        <w:t>Section 19.1</w:t>
      </w:r>
      <w:r>
        <w:rPr>
          <w:rFonts w:ascii="Arial" w:cs="Arial" w:eastAsia="Arial" w:hAnsi="Arial"/>
          <w:sz w:val="18"/>
          <w:szCs w:val="18"/>
          <w:color w:val="auto"/>
        </w:rPr>
        <w:t>, any breach by Tenant of any other provision hereof where such breach continues for 30 days after notice from Landlord; provided that if such breach cannot reasonably be cured within such 30-day period, Tenant shall not be in Default as a result of such breach if Tenant diligently commences such cure within such period, thereafter diligently pursues such cure, and completes such cure within 60 days after Landlord’s notice; or</w:t>
      </w:r>
    </w:p>
    <w:p>
      <w:pPr>
        <w:spacing w:after="0" w:line="165"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20"/>
          <w:szCs w:val="20"/>
          <w:color w:val="auto"/>
        </w:rPr>
        <w:t>19.1.3</w:t>
      </w:r>
      <w:r>
        <w:rPr>
          <w:sz w:val="20"/>
          <w:szCs w:val="20"/>
          <w:color w:val="auto"/>
        </w:rPr>
        <w:tab/>
      </w:r>
      <w:r>
        <w:rPr>
          <w:rFonts w:ascii="Arial" w:cs="Arial" w:eastAsia="Arial" w:hAnsi="Arial"/>
          <w:sz w:val="16"/>
          <w:szCs w:val="16"/>
          <w:color w:val="auto"/>
        </w:rPr>
        <w:t>Abandonment of the Premises by Tenant; or</w:t>
      </w:r>
    </w:p>
    <w:p>
      <w:pPr>
        <w:spacing w:after="0" w:line="216" w:lineRule="exact"/>
        <w:rPr>
          <w:sz w:val="20"/>
          <w:szCs w:val="20"/>
          <w:color w:val="auto"/>
        </w:rPr>
      </w:pPr>
    </w:p>
    <w:p>
      <w:pPr>
        <w:jc w:val="both"/>
        <w:ind w:firstLine="1144"/>
        <w:spacing w:after="0" w:line="260" w:lineRule="auto"/>
        <w:rPr>
          <w:sz w:val="20"/>
          <w:szCs w:val="20"/>
          <w:color w:val="auto"/>
        </w:rPr>
      </w:pPr>
      <w:r>
        <w:rPr>
          <w:rFonts w:ascii="Arial" w:cs="Arial" w:eastAsia="Arial" w:hAnsi="Arial"/>
          <w:sz w:val="20"/>
          <w:szCs w:val="20"/>
          <w:color w:val="auto"/>
        </w:rPr>
        <w:t xml:space="preserve">19.1.4 Any breach by Tenant of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18</w:t>
      </w:r>
      <w:r>
        <w:rPr>
          <w:rFonts w:ascii="Arial" w:cs="Arial" w:eastAsia="Arial" w:hAnsi="Arial"/>
          <w:sz w:val="20"/>
          <w:szCs w:val="20"/>
          <w:color w:val="auto"/>
        </w:rPr>
        <w:t xml:space="preserve"> where such breach continues for more than two (2) business days after notice from Landlord; or</w:t>
      </w:r>
    </w:p>
    <w:p>
      <w:pPr>
        <w:spacing w:after="0" w:line="177"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20"/>
          <w:szCs w:val="20"/>
          <w:color w:val="auto"/>
        </w:rPr>
        <w:t>19.1.5</w:t>
      </w:r>
      <w:r>
        <w:rPr>
          <w:sz w:val="20"/>
          <w:szCs w:val="20"/>
          <w:color w:val="auto"/>
        </w:rPr>
        <w:tab/>
      </w:r>
      <w:r>
        <w:rPr>
          <w:rFonts w:ascii="Arial" w:cs="Arial" w:eastAsia="Arial" w:hAnsi="Arial"/>
          <w:sz w:val="16"/>
          <w:szCs w:val="16"/>
          <w:color w:val="auto"/>
        </w:rPr>
        <w:t xml:space="preserve">Tenant becomes in breach of </w:t>
      </w:r>
      <w:r>
        <w:rPr>
          <w:rFonts w:ascii="Arial" w:cs="Arial" w:eastAsia="Arial" w:hAnsi="Arial"/>
          <w:sz w:val="16"/>
          <w:szCs w:val="16"/>
          <w:u w:val="single" w:color="auto"/>
          <w:color w:val="auto"/>
        </w:rPr>
        <w:t>Section 25.3(c)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w:t>
      </w:r>
    </w:p>
    <w:p>
      <w:pPr>
        <w:spacing w:after="0" w:line="21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If Tenant breaches a particular provision hereof (other than a provision requiring payment of Rent) on three (3) separate occasions during any 12-month period, Tenant’s subsequent breach of such provision shall be, at Landlord’s option, an incurable Default. The notice periods provided herein are in lieu of, and not in addition to, any notice periods provided by Law, and Landlord shall not be required to give any additional notice in order to be entitled to commence an unlawful detainer proceeding.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31" w:gutter="0" w:footer="0" w:header="0"/>
        </w:sectPr>
      </w:pPr>
    </w:p>
    <w:bookmarkStart w:id="35" w:name="page36"/>
    <w:bookmarkEnd w:id="35"/>
    <w:p>
      <w:pPr>
        <w:jc w:val="both"/>
        <w:ind w:firstLine="524"/>
        <w:spacing w:after="0" w:line="253" w:lineRule="auto"/>
        <w:rPr>
          <w:sz w:val="20"/>
          <w:szCs w:val="20"/>
          <w:color w:val="auto"/>
        </w:rPr>
      </w:pPr>
      <w:r>
        <w:rPr>
          <w:rFonts w:ascii="Arial" w:cs="Arial" w:eastAsia="Arial" w:hAnsi="Arial"/>
          <w:sz w:val="20"/>
          <w:szCs w:val="20"/>
          <w:color w:val="auto"/>
        </w:rPr>
        <w:t xml:space="preserve">19.2 </w:t>
      </w:r>
      <w:r>
        <w:rPr>
          <w:rFonts w:ascii="Arial" w:cs="Arial" w:eastAsia="Arial" w:hAnsi="Arial"/>
          <w:sz w:val="20"/>
          <w:szCs w:val="20"/>
          <w:b w:val="1"/>
          <w:bCs w:val="1"/>
          <w:u w:val="single" w:color="auto"/>
          <w:color w:val="auto"/>
        </w:rPr>
        <w:t>Remedies Upon Default</w:t>
      </w:r>
      <w:r>
        <w:rPr>
          <w:rFonts w:ascii="Arial" w:cs="Arial" w:eastAsia="Arial" w:hAnsi="Arial"/>
          <w:sz w:val="20"/>
          <w:szCs w:val="20"/>
          <w:b w:val="1"/>
          <w:bCs w:val="1"/>
          <w:color w:val="auto"/>
        </w:rPr>
        <w:t>.</w:t>
      </w:r>
      <w:r>
        <w:rPr>
          <w:rFonts w:ascii="Arial" w:cs="Arial" w:eastAsia="Arial" w:hAnsi="Arial"/>
          <w:sz w:val="20"/>
          <w:szCs w:val="20"/>
          <w:color w:val="auto"/>
        </w:rPr>
        <w:t xml:space="preserve"> Upon any Default, Landlord shall have, in addition to any other remedies available to Landlord at law or in equity (which shall be cumulative and nonexclusive), the option to pursue any one or more of the following remedies (which shall be cumulative and nonexclusive) without any additional notice or demand:</w:t>
      </w:r>
    </w:p>
    <w:p>
      <w:pPr>
        <w:spacing w:after="0" w:line="183"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20"/>
          <w:szCs w:val="20"/>
          <w:color w:val="auto"/>
        </w:rPr>
        <w:t>19.2.1</w:t>
      </w:r>
      <w:r>
        <w:rPr>
          <w:sz w:val="20"/>
          <w:szCs w:val="20"/>
          <w:color w:val="auto"/>
        </w:rPr>
        <w:tab/>
      </w:r>
      <w:r>
        <w:rPr>
          <w:rFonts w:ascii="Arial" w:cs="Arial" w:eastAsia="Arial" w:hAnsi="Arial"/>
          <w:sz w:val="18"/>
          <w:szCs w:val="18"/>
          <w:color w:val="auto"/>
        </w:rPr>
        <w:t>Landlord may terminate this Lease, in which event Landlord may recover from Tenant the following:</w:t>
      </w:r>
    </w:p>
    <w:p>
      <w:pPr>
        <w:sectPr>
          <w:pgSz w:w="11900" w:h="16838" w:orient="portrait"/>
          <w:cols w:equalWidth="0" w:num="1">
            <w:col w:w="11240"/>
          </w:cols>
          <w:pgMar w:left="320" w:top="333" w:right="339" w:bottom="0" w:gutter="0" w:footer="0" w:header="0"/>
        </w:sectPr>
      </w:pPr>
    </w:p>
    <w:p>
      <w:pPr>
        <w:spacing w:after="0" w:line="21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worth at the time of award of the unpaid Rent which had been earned at the time of</w:t>
      </w:r>
    </w:p>
    <w:p>
      <w:pPr>
        <w:spacing w:after="0" w:line="43" w:lineRule="exact"/>
        <w:rPr>
          <w:sz w:val="20"/>
          <w:szCs w:val="20"/>
          <w:color w:val="auto"/>
        </w:rPr>
      </w:pPr>
    </w:p>
    <w:p>
      <w:pPr>
        <w:sectPr>
          <w:pgSz w:w="11900" w:h="16838" w:orient="portrait"/>
          <w:cols w:equalWidth="0" w:num="2">
            <w:col w:w="3440" w:space="720"/>
            <w:col w:w="7080"/>
          </w:cols>
          <w:pgMar w:left="320" w:top="333" w:right="339" w:bottom="0" w:gutter="0" w:footer="0" w:header="0"/>
          <w:type w:val="continuous"/>
        </w:sectPr>
      </w:pPr>
    </w:p>
    <w:p>
      <w:pPr>
        <w:spacing w:after="0"/>
        <w:rPr>
          <w:sz w:val="20"/>
          <w:szCs w:val="20"/>
          <w:color w:val="auto"/>
        </w:rPr>
      </w:pPr>
      <w:r>
        <w:rPr>
          <w:rFonts w:ascii="Arial" w:cs="Arial" w:eastAsia="Arial" w:hAnsi="Arial"/>
          <w:sz w:val="20"/>
          <w:szCs w:val="20"/>
          <w:color w:val="auto"/>
        </w:rPr>
        <w:t>such termination; plus</w:t>
      </w:r>
    </w:p>
    <w:p>
      <w:pPr>
        <w:spacing w:after="0" w:line="195" w:lineRule="exact"/>
        <w:rPr>
          <w:sz w:val="20"/>
          <w:szCs w:val="20"/>
          <w:color w:val="auto"/>
        </w:rPr>
      </w:pPr>
    </w:p>
    <w:p>
      <w:pPr>
        <w:ind w:left="1880"/>
        <w:spacing w:after="0"/>
        <w:tabs>
          <w:tab w:leader="none" w:pos="416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The worth at the time of award of the amount by which the unpaid Rent which would</w:t>
      </w:r>
    </w:p>
    <w:p>
      <w:pPr>
        <w:sectPr>
          <w:pgSz w:w="11900" w:h="16838" w:orient="portrait"/>
          <w:cols w:equalWidth="0" w:num="1">
            <w:col w:w="11240"/>
          </w:cols>
          <w:pgMar w:left="320" w:top="333" w:right="339" w:bottom="0" w:gutter="0" w:footer="0" w:header="0"/>
          <w:type w:val="continuous"/>
        </w:sectPr>
      </w:pPr>
    </w:p>
    <w:p>
      <w:pPr>
        <w:spacing w:after="0" w:line="3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have been earned after termination until the time of award exceeds the amount of such rental loss that Tenant proves could have been reasonably avoided; plus</w:t>
      </w:r>
    </w:p>
    <w:p>
      <w:pPr>
        <w:spacing w:after="0" w:line="196" w:lineRule="exact"/>
        <w:rPr>
          <w:sz w:val="20"/>
          <w:szCs w:val="20"/>
          <w:color w:val="auto"/>
        </w:rPr>
      </w:pPr>
    </w:p>
    <w:p>
      <w:pPr>
        <w:jc w:val="both"/>
        <w:ind w:firstLine="1872"/>
        <w:spacing w:after="0" w:line="260" w:lineRule="auto"/>
        <w:rPr>
          <w:sz w:val="20"/>
          <w:szCs w:val="20"/>
          <w:color w:val="auto"/>
        </w:rPr>
      </w:pPr>
      <w:r>
        <w:rPr>
          <w:rFonts w:ascii="Arial" w:cs="Arial" w:eastAsia="Arial" w:hAnsi="Arial"/>
          <w:sz w:val="20"/>
          <w:szCs w:val="20"/>
          <w:color w:val="auto"/>
        </w:rPr>
        <w:t>(c) The worth at the time of award of the amount by which the unpaid Rent for the balance of the Term after the time of award exceeds the amount of such Rent loss that Tenant proves could be reasonably avoided; plus</w:t>
      </w:r>
    </w:p>
    <w:p>
      <w:pPr>
        <w:spacing w:after="0" w:line="177" w:lineRule="exact"/>
        <w:rPr>
          <w:sz w:val="20"/>
          <w:szCs w:val="20"/>
          <w:color w:val="auto"/>
        </w:rPr>
      </w:pPr>
    </w:p>
    <w:p>
      <w:pPr>
        <w:ind w:left="1880"/>
        <w:spacing w:after="0"/>
        <w:tabs>
          <w:tab w:leader="none" w:pos="41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Any other amount necessary to compensate Landlord for all the detriment proximately</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caused by Tenant’s failure to perform its obligations hereunder or which in the ordinary course of things would be likely to result therefrom, including brokerage commissions, advertising expenses, expenses of remodeling any portion of the Premises for a new tenant (whether for the same or a different use), and any special concessions made to obtain a new tenant; plus</w:t>
      </w:r>
    </w:p>
    <w:p>
      <w:pPr>
        <w:sectPr>
          <w:pgSz w:w="11900" w:h="16838" w:orient="portrait"/>
          <w:cols w:equalWidth="0" w:num="1">
            <w:col w:w="11240"/>
          </w:cols>
          <w:pgMar w:left="320" w:top="333" w:right="339" w:bottom="0" w:gutter="0" w:footer="0" w:header="0"/>
          <w:type w:val="continuous"/>
        </w:sectPr>
      </w:pPr>
    </w:p>
    <w:p>
      <w:pPr>
        <w:spacing w:after="0" w:line="196"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may be permitted from time to time by Law.</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At Landlord’s option, such other amounts in addition to or in lieu of the foregoing as</w:t>
      </w:r>
    </w:p>
    <w:p>
      <w:pPr>
        <w:spacing w:after="0" w:line="433" w:lineRule="exact"/>
        <w:rPr>
          <w:sz w:val="20"/>
          <w:szCs w:val="20"/>
          <w:color w:val="auto"/>
        </w:rPr>
      </w:pPr>
    </w:p>
    <w:p>
      <w:pPr>
        <w:sectPr>
          <w:pgSz w:w="11900" w:h="16838" w:orient="portrait"/>
          <w:cols w:equalWidth="0" w:num="2">
            <w:col w:w="3520" w:space="640"/>
            <w:col w:w="7080"/>
          </w:cols>
          <w:pgMar w:left="320" w:top="333" w:right="339" w:bottom="0" w:gutter="0" w:footer="0" w:header="0"/>
          <w:type w:val="continuous"/>
        </w:sectPr>
      </w:pPr>
    </w:p>
    <w:p>
      <w:pPr>
        <w:spacing w:after="0" w:line="17" w:lineRule="exact"/>
        <w:rPr>
          <w:sz w:val="20"/>
          <w:szCs w:val="20"/>
          <w:color w:val="auto"/>
        </w:rPr>
      </w:pPr>
    </w:p>
    <w:p>
      <w:pPr>
        <w:jc w:val="both"/>
        <w:ind w:firstLine="520"/>
        <w:spacing w:after="0" w:line="253" w:lineRule="auto"/>
        <w:rPr>
          <w:sz w:val="20"/>
          <w:szCs w:val="20"/>
          <w:color w:val="auto"/>
        </w:rPr>
      </w:pPr>
      <w:r>
        <w:rPr>
          <w:rFonts w:ascii="Arial" w:cs="Arial" w:eastAsia="Arial" w:hAnsi="Arial"/>
          <w:sz w:val="20"/>
          <w:szCs w:val="20"/>
          <w:color w:val="auto"/>
        </w:rPr>
        <w:t xml:space="preserve">As used in </w:t>
      </w:r>
      <w:r>
        <w:rPr>
          <w:rFonts w:ascii="Arial" w:cs="Arial" w:eastAsia="Arial" w:hAnsi="Arial"/>
          <w:sz w:val="20"/>
          <w:szCs w:val="20"/>
          <w:u w:val="single" w:color="auto"/>
          <w:color w:val="auto"/>
        </w:rPr>
        <w:t>Sections 19.2.1(a)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the “</w:t>
      </w:r>
      <w:r>
        <w:rPr>
          <w:rFonts w:ascii="Arial" w:cs="Arial" w:eastAsia="Arial" w:hAnsi="Arial"/>
          <w:sz w:val="20"/>
          <w:szCs w:val="20"/>
          <w:b w:val="1"/>
          <w:bCs w:val="1"/>
          <w:color w:val="auto"/>
        </w:rPr>
        <w:t>worth at the time of award</w:t>
      </w:r>
      <w:r>
        <w:rPr>
          <w:rFonts w:ascii="Arial" w:cs="Arial" w:eastAsia="Arial" w:hAnsi="Arial"/>
          <w:sz w:val="20"/>
          <w:szCs w:val="20"/>
          <w:color w:val="auto"/>
        </w:rPr>
        <w:t xml:space="preserve">” shall be computed by allowing interest at the rate specified in </w:t>
      </w:r>
      <w:r>
        <w:rPr>
          <w:rFonts w:ascii="Arial" w:cs="Arial" w:eastAsia="Arial" w:hAnsi="Arial"/>
          <w:sz w:val="20"/>
          <w:szCs w:val="20"/>
          <w:u w:val="single" w:color="auto"/>
          <w:color w:val="auto"/>
        </w:rPr>
        <w:t>Section 3(b)</w:t>
      </w:r>
      <w:r>
        <w:rPr>
          <w:rFonts w:ascii="Arial" w:cs="Arial" w:eastAsia="Arial" w:hAnsi="Arial"/>
          <w:sz w:val="20"/>
          <w:szCs w:val="20"/>
          <w:color w:val="auto"/>
        </w:rPr>
        <w:t xml:space="preserve"> above. As used in </w:t>
      </w:r>
      <w:r>
        <w:rPr>
          <w:rFonts w:ascii="Arial" w:cs="Arial" w:eastAsia="Arial" w:hAnsi="Arial"/>
          <w:sz w:val="20"/>
          <w:szCs w:val="20"/>
          <w:u w:val="single" w:color="auto"/>
          <w:color w:val="auto"/>
        </w:rPr>
        <w:t>Section 19.2.1(c)</w:t>
      </w:r>
      <w:r>
        <w:rPr>
          <w:rFonts w:ascii="Arial" w:cs="Arial" w:eastAsia="Arial" w:hAnsi="Arial"/>
          <w:sz w:val="20"/>
          <w:szCs w:val="20"/>
          <w:color w:val="auto"/>
        </w:rPr>
        <w:t>, the “</w:t>
      </w:r>
      <w:r>
        <w:rPr>
          <w:rFonts w:ascii="Arial" w:cs="Arial" w:eastAsia="Arial" w:hAnsi="Arial"/>
          <w:sz w:val="20"/>
          <w:szCs w:val="20"/>
          <w:b w:val="1"/>
          <w:bCs w:val="1"/>
          <w:color w:val="auto"/>
        </w:rPr>
        <w:t>worth at the time of award</w:t>
      </w:r>
      <w:r>
        <w:rPr>
          <w:rFonts w:ascii="Arial" w:cs="Arial" w:eastAsia="Arial" w:hAnsi="Arial"/>
          <w:sz w:val="20"/>
          <w:szCs w:val="20"/>
          <w:color w:val="auto"/>
        </w:rPr>
        <w:t>” shall be computed by discounting such amount at the discount rate of the Federal Reserve Bank of San Francisco at the time of award plus 1%.</w:t>
      </w:r>
    </w:p>
    <w:p>
      <w:pPr>
        <w:spacing w:after="0" w:line="183" w:lineRule="exact"/>
        <w:rPr>
          <w:sz w:val="20"/>
          <w:szCs w:val="20"/>
          <w:color w:val="auto"/>
        </w:rPr>
      </w:pPr>
    </w:p>
    <w:p>
      <w:pPr>
        <w:jc w:val="both"/>
        <w:ind w:firstLine="1144"/>
        <w:spacing w:after="0" w:line="244" w:lineRule="auto"/>
        <w:rPr>
          <w:sz w:val="20"/>
          <w:szCs w:val="20"/>
          <w:color w:val="auto"/>
        </w:rPr>
      </w:pPr>
      <w:r>
        <w:rPr>
          <w:rFonts w:ascii="Arial" w:cs="Arial" w:eastAsia="Arial" w:hAnsi="Arial"/>
          <w:sz w:val="20"/>
          <w:szCs w:val="20"/>
          <w:color w:val="auto"/>
        </w:rPr>
        <w:t>19.2.2 Landlord shall have the remedy described in California Civil Code §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hereunder, including the right to recover all Rent as it becomes due.</w:t>
      </w:r>
    </w:p>
    <w:p>
      <w:pPr>
        <w:spacing w:after="0" w:line="194" w:lineRule="exact"/>
        <w:rPr>
          <w:sz w:val="20"/>
          <w:szCs w:val="20"/>
          <w:color w:val="auto"/>
        </w:rPr>
      </w:pPr>
    </w:p>
    <w:p>
      <w:pPr>
        <w:jc w:val="both"/>
        <w:ind w:firstLine="1144"/>
        <w:spacing w:after="0" w:line="246" w:lineRule="auto"/>
        <w:rPr>
          <w:sz w:val="20"/>
          <w:szCs w:val="20"/>
          <w:color w:val="auto"/>
        </w:rPr>
      </w:pPr>
      <w:r>
        <w:rPr>
          <w:rFonts w:ascii="Arial" w:cs="Arial" w:eastAsia="Arial" w:hAnsi="Arial"/>
          <w:sz w:val="20"/>
          <w:szCs w:val="20"/>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20"/>
          <w:szCs w:val="20"/>
          <w:u w:val="single" w:color="auto"/>
          <w:color w:val="auto"/>
        </w:rPr>
        <w:t>Sections 19.2.1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19.2.2</w:t>
      </w:r>
      <w:r>
        <w:rPr>
          <w:rFonts w:ascii="Arial" w:cs="Arial" w:eastAsia="Arial" w:hAnsi="Arial"/>
          <w:sz w:val="20"/>
          <w:szCs w:val="20"/>
          <w:color w:val="auto"/>
        </w:rPr>
        <w:t>, or any Law or other provision hereof), without prior demand or notice except as required by Law, to seek any declaratory, injunctive or other equitable relief, and specifically enforce this Lease, or restrain or enjoin a violation or breach of any provision hereof.</w:t>
      </w:r>
    </w:p>
    <w:p>
      <w:pPr>
        <w:spacing w:after="0" w:line="185"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u w:val="single" w:color="auto"/>
          <w:color w:val="auto"/>
        </w:rPr>
        <w:t>Efforts to Relet</w:t>
      </w:r>
      <w:r>
        <w:rPr>
          <w:rFonts w:ascii="Arial" w:cs="Arial" w:eastAsia="Arial" w:hAnsi="Arial"/>
          <w:sz w:val="18"/>
          <w:szCs w:val="18"/>
          <w:b w:val="1"/>
          <w:bCs w:val="1"/>
          <w:color w:val="auto"/>
        </w:rPr>
        <w:t>.</w:t>
      </w:r>
      <w:r>
        <w:rPr>
          <w:rFonts w:ascii="Arial" w:cs="Arial" w:eastAsia="Arial" w:hAnsi="Arial"/>
          <w:sz w:val="18"/>
          <w:szCs w:val="18"/>
          <w:color w:val="auto"/>
        </w:rPr>
        <w:t xml:space="preserve"> Unless Landlord provides Tenant with express notice to the contrary, no re-entry, repair, maintenance, change, alteration, addition, reletting, appointment of a receiver or other action or omission by Landlord shall (a) be construed as an election by Landlord to terminate this Lease or Tenant’s right to possession, or to accept a surrender of the Premises, or (b) operate to release Tenant from any of its obligations hereunder. Tenant waives, for Tenant and for all those claiming by, through or under Tenant, California Civil Code § 3275, California Code of Civil Procedure §§ 1174(c) and 1179, and any existing or future rights to redeem or reinstate, by order or judgment of any court or by any legal process or writ, this Lease or Tenant’s right of occupancy of the Premises after any termination hereof.</w:t>
      </w:r>
    </w:p>
    <w:p>
      <w:pPr>
        <w:spacing w:after="0" w:line="160"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20"/>
          <w:szCs w:val="20"/>
          <w:color w:val="auto"/>
        </w:rPr>
        <w:t xml:space="preserve">19.4 </w:t>
      </w:r>
      <w:r>
        <w:rPr>
          <w:rFonts w:ascii="Arial" w:cs="Arial" w:eastAsia="Arial" w:hAnsi="Arial"/>
          <w:sz w:val="20"/>
          <w:szCs w:val="20"/>
          <w:b w:val="1"/>
          <w:bCs w:val="1"/>
          <w:u w:val="single" w:color="auto"/>
          <w:color w:val="auto"/>
        </w:rPr>
        <w:t>Landlord Default</w:t>
      </w:r>
      <w:r>
        <w:rPr>
          <w:rFonts w:ascii="Arial" w:cs="Arial" w:eastAsia="Arial" w:hAnsi="Arial"/>
          <w:sz w:val="20"/>
          <w:szCs w:val="20"/>
          <w:b w:val="1"/>
          <w:bCs w:val="1"/>
          <w:color w:val="auto"/>
        </w:rPr>
        <w:t>.</w:t>
      </w:r>
      <w:r>
        <w:rPr>
          <w:rFonts w:ascii="Arial" w:cs="Arial" w:eastAsia="Arial" w:hAnsi="Arial"/>
          <w:sz w:val="20"/>
          <w:szCs w:val="20"/>
          <w:color w:val="auto"/>
        </w:rPr>
        <w:t xml:space="preserve"> Landlord shall not be in default hereunder unless it fails to begin within 30 days after notice from Tenant, or fails to pursue with reasonable diligence thereafter, the cure of any breach by Landlord of its obligations hereunder. Before exercising any remedies for a default by Landlord, Tenant shall give notice and a reasonable time to cure to any Security Holder of which Tenant has been notified.</w:t>
      </w:r>
    </w:p>
    <w:p>
      <w:pPr>
        <w:spacing w:after="0" w:line="183" w:lineRule="exact"/>
        <w:rPr>
          <w:sz w:val="20"/>
          <w:szCs w:val="20"/>
          <w:color w:val="auto"/>
        </w:rPr>
      </w:pPr>
    </w:p>
    <w:p>
      <w:pPr>
        <w:jc w:val="both"/>
        <w:ind w:firstLine="8"/>
        <w:spacing w:after="0" w:line="258" w:lineRule="auto"/>
        <w:tabs>
          <w:tab w:leader="none" w:pos="846"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LANDLORD EXCULPATION. </w:t>
      </w:r>
      <w:r>
        <w:rPr>
          <w:rFonts w:ascii="Arial" w:cs="Arial" w:eastAsia="Arial" w:hAnsi="Arial"/>
          <w:sz w:val="19"/>
          <w:szCs w:val="19"/>
          <w:color w:val="auto"/>
        </w:rPr>
        <w:t>Notwithstanding any contrary provision hereof, (a) the liability of the Landlord Parties to</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be limited to an amount equal to the lesser of (i) Landlord’s interest in the Building, or (ii) the equity interest Landlord would have in the Building if the Building were encumbered by third-party debt in an amount equal to 80% of the value of the Building (as such value is determined by Landlord); (b) Tenant shall look solely to Landlord’s interest in the Building for the recovery of any judgment or award against any Landlord Party; (c) no Landlord Party shall have any liability for any judgment or deficiency, and Tenant waives and releases such liability on behalf of itself and all parties claiming by, through or under Tenant; and (d) no Landlord Party shall be liable for any injury or damage to, or interference with, Tenant’s business, including loss of profits, loss of rents or other revenues, loss of business opportunity, loss of goodwill or loss of use, or for any form of special or consequential damage.</w:t>
      </w:r>
    </w:p>
    <w:p>
      <w:pPr>
        <w:spacing w:after="0" w:line="173" w:lineRule="exact"/>
        <w:rPr>
          <w:rFonts w:ascii="Arial" w:cs="Arial" w:eastAsia="Arial" w:hAnsi="Arial"/>
          <w:sz w:val="19"/>
          <w:szCs w:val="19"/>
          <w:b w:val="1"/>
          <w:bCs w:val="1"/>
          <w:color w:val="auto"/>
        </w:rPr>
      </w:pPr>
    </w:p>
    <w:p>
      <w:pPr>
        <w:jc w:val="both"/>
        <w:ind w:firstLine="8"/>
        <w:spacing w:after="0" w:line="274" w:lineRule="auto"/>
        <w:tabs>
          <w:tab w:leader="none" w:pos="84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Concurrently with its execution and delivery hereof, Tenant shall deposit with Landlord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if any, as security for Tenant’s performance of its obligations hereunder. If Tenant breaches any provision hereof, Landlord may, at its option, without limiting its remedies and without notice to Tenant, apply all or part of the Security Deposit to cure such breach and compensate Landlord for any loss or damage caused by such breach, including any damage for which recovery may be made under California Civil Code § 1951.2. If Landlord so applies any portion of the Security Deposit, Tenant, within three (3) days after demand therefor, shall restore the Security Deposit to its original amount. The Security Deposit is not an advance payment of Rent or measure of damages. Any unapplied portion of the Security Deposit shall be returned to Tenant within 45 days after the latest to occur of (a) the expiration of the Term, (b) Tenant’s surrender of the Premises as required hereunder, or (c) Landlord’s cure of any breach by Tenant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33" w:right="339" w:bottom="0" w:gutter="0" w:footer="0" w:header="0"/>
          <w:type w:val="continuous"/>
        </w:sectPr>
      </w:pPr>
    </w:p>
    <w:bookmarkStart w:id="36" w:name="page37"/>
    <w:bookmarkEnd w:id="36"/>
    <w:p>
      <w:pPr>
        <w:spacing w:after="0"/>
        <w:rPr>
          <w:sz w:val="20"/>
          <w:szCs w:val="20"/>
          <w:color w:val="auto"/>
        </w:rPr>
      </w:pPr>
      <w:r>
        <w:rPr>
          <w:rFonts w:ascii="Arial" w:cs="Arial" w:eastAsia="Arial" w:hAnsi="Arial"/>
          <w:sz w:val="13"/>
          <w:szCs w:val="13"/>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jc w:val="both"/>
        <w:spacing w:after="0" w:line="246" w:lineRule="auto"/>
        <w:rPr>
          <w:sz w:val="20"/>
          <w:szCs w:val="20"/>
          <w:color w:val="auto"/>
        </w:rPr>
      </w:pPr>
      <w:r>
        <w:rPr>
          <w:rFonts w:ascii="Arial" w:cs="Arial" w:eastAsia="Arial" w:hAnsi="Arial"/>
          <w:sz w:val="20"/>
          <w:szCs w:val="20"/>
          <w:color w:val="auto"/>
        </w:rPr>
        <w:t xml:space="preserve">any provision hereof; provided, however, that if Landlord estimates in good faith that Tenant may be required to make a payment to Landlord under </w:t>
      </w:r>
      <w:r>
        <w:rPr>
          <w:rFonts w:ascii="Arial" w:cs="Arial" w:eastAsia="Arial" w:hAnsi="Arial"/>
          <w:sz w:val="20"/>
          <w:szCs w:val="20"/>
          <w:u w:val="single" w:color="auto"/>
          <w:color w:val="auto"/>
        </w:rPr>
        <w:t>Section 4.4.1</w:t>
      </w:r>
      <w:r>
        <w:rPr>
          <w:rFonts w:ascii="Arial" w:cs="Arial" w:eastAsia="Arial" w:hAnsi="Arial"/>
          <w:sz w:val="20"/>
          <w:szCs w:val="20"/>
          <w:color w:val="auto"/>
        </w:rPr>
        <w:t>, Landlord may retain such unapplied portion of the Security Deposit, to the extent of the estimated amount of such payment, until the date occurring 60 days after determination of the final Rent due from Tenant. Landlord shall not be required to keep the Security Deposit separate from its other accounts.</w:t>
      </w:r>
    </w:p>
    <w:p>
      <w:pPr>
        <w:spacing w:after="0" w:line="185" w:lineRule="exact"/>
        <w:rPr>
          <w:sz w:val="20"/>
          <w:szCs w:val="20"/>
          <w:color w:val="auto"/>
        </w:rPr>
      </w:pPr>
    </w:p>
    <w:p>
      <w:pPr>
        <w:jc w:val="both"/>
        <w:ind w:firstLine="8"/>
        <w:spacing w:after="0" w:line="277" w:lineRule="auto"/>
        <w:tabs>
          <w:tab w:leader="none" w:pos="84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RELOCATION. </w:t>
      </w:r>
      <w:r>
        <w:rPr>
          <w:rFonts w:ascii="Arial" w:cs="Arial" w:eastAsia="Arial" w:hAnsi="Arial"/>
          <w:sz w:val="18"/>
          <w:szCs w:val="18"/>
          <w:color w:val="auto"/>
        </w:rPr>
        <w:t>Landlord, after giving 120 days’ prior notice, may move (but no more than once during the initial Term) Tenant</w:t>
      </w:r>
      <w:r>
        <w:rPr>
          <w:rFonts w:ascii="Arial" w:cs="Arial" w:eastAsia="Arial" w:hAnsi="Arial"/>
          <w:sz w:val="18"/>
          <w:szCs w:val="18"/>
          <w:b w:val="1"/>
          <w:bCs w:val="1"/>
          <w:color w:val="auto"/>
        </w:rPr>
        <w:t xml:space="preserve"> </w:t>
      </w:r>
      <w:r>
        <w:rPr>
          <w:rFonts w:ascii="Arial" w:cs="Arial" w:eastAsia="Arial" w:hAnsi="Arial"/>
          <w:sz w:val="18"/>
          <w:szCs w:val="18"/>
          <w:color w:val="auto"/>
        </w:rPr>
        <w:t>to other space in the Project comparable in size, configuration and utility to the Premises. In such event, all terms hereof shall apply to the new space, except that Base Rent and Tenant’s Share shall be reasonably adjusted (but in no event shall Base Rent or Tenant’s Share increase as a result of such relocation). Landlord, at its expense, shall provide Tenant with tenant improvements in the new space at least equal in quality to those in the Premises. Landlord shall reimburse Tenant for Tenant’s reasonable moving, re-cabling and stationery-replacement costs. The parties shall execute a written agreement prepared by Landlord memorializing the relocation.</w:t>
      </w:r>
    </w:p>
    <w:p>
      <w:pPr>
        <w:spacing w:after="0" w:line="159" w:lineRule="exact"/>
        <w:rPr>
          <w:rFonts w:ascii="Arial" w:cs="Arial" w:eastAsia="Arial" w:hAnsi="Arial"/>
          <w:sz w:val="18"/>
          <w:szCs w:val="18"/>
          <w:b w:val="1"/>
          <w:bCs w:val="1"/>
          <w:color w:val="auto"/>
        </w:rPr>
      </w:pPr>
    </w:p>
    <w:p>
      <w:pPr>
        <w:jc w:val="both"/>
        <w:ind w:firstLine="8"/>
        <w:spacing w:after="0" w:line="244" w:lineRule="auto"/>
        <w:tabs>
          <w:tab w:leader="none" w:pos="846"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COMMUNICATIONS AND COMPUTER LINES. </w:t>
      </w:r>
      <w:r>
        <w:rPr>
          <w:rFonts w:ascii="Arial" w:cs="Arial" w:eastAsia="Arial" w:hAnsi="Arial"/>
          <w:sz w:val="20"/>
          <w:szCs w:val="20"/>
          <w:color w:val="auto"/>
        </w:rPr>
        <w:t>All Lines installed pursuant to this Lease shall be (a) installed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accordance with </w:t>
      </w:r>
      <w:r>
        <w:rPr>
          <w:rFonts w:ascii="Arial" w:cs="Arial" w:eastAsia="Arial" w:hAnsi="Arial"/>
          <w:sz w:val="20"/>
          <w:szCs w:val="20"/>
          <w:u w:val="single" w:color="auto"/>
          <w:color w:val="auto"/>
        </w:rPr>
        <w:t>Section 7</w:t>
      </w:r>
      <w:r>
        <w:rPr>
          <w:rFonts w:ascii="Arial" w:cs="Arial" w:eastAsia="Arial" w:hAnsi="Arial"/>
          <w:sz w:val="20"/>
          <w:szCs w:val="20"/>
          <w:color w:val="auto"/>
        </w:rPr>
        <w:t>; and (b) clearly marked with adhesive plastic labels (or plastic tags attached to such Lines with wire) to show Tenant’s name, suite number, and the purpose of such Lines (i) every six (6) feet outside the Premises (including the electrical room risers and any Common Areas), and (ii) at their termination points. Landlord may designate specific contractors for work relating to vertical Lines. Sufficient spare cables and space for additional cables shall be maintained for other occupants, as reasonably determined by Landlord. Unless otherwise notified by Landlord, Tenant, at its expense and before the expiration or earlier termination hereof, shall remove all Lines and repair any resulting damage. As used herein, “</w:t>
      </w:r>
      <w:r>
        <w:rPr>
          <w:rFonts w:ascii="Arial" w:cs="Arial" w:eastAsia="Arial" w:hAnsi="Arial"/>
          <w:sz w:val="20"/>
          <w:szCs w:val="20"/>
          <w:b w:val="1"/>
          <w:bCs w:val="1"/>
          <w:color w:val="auto"/>
        </w:rPr>
        <w:t>Lines</w:t>
      </w:r>
      <w:r>
        <w:rPr>
          <w:rFonts w:ascii="Arial" w:cs="Arial" w:eastAsia="Arial" w:hAnsi="Arial"/>
          <w:sz w:val="20"/>
          <w:szCs w:val="20"/>
          <w:color w:val="auto"/>
        </w:rPr>
        <w:t>” means all communications or computer wires and cables serving the Premises which either (a) were installed by or at the direction of the Tenant or (b) existed prior to the date of this Lease, but which are used by Tenant.</w:t>
      </w:r>
    </w:p>
    <w:p>
      <w:pPr>
        <w:spacing w:after="0" w:line="190" w:lineRule="exact"/>
        <w:rPr>
          <w:rFonts w:ascii="Arial" w:cs="Arial" w:eastAsia="Arial" w:hAnsi="Arial"/>
          <w:sz w:val="20"/>
          <w:szCs w:val="20"/>
          <w:b w:val="1"/>
          <w:bCs w:val="1"/>
          <w:color w:val="auto"/>
        </w:rPr>
      </w:pPr>
    </w:p>
    <w:p>
      <w:pPr>
        <w:jc w:val="both"/>
        <w:ind w:firstLine="8"/>
        <w:spacing w:after="0" w:line="269" w:lineRule="auto"/>
        <w:tabs>
          <w:tab w:leader="none" w:pos="84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Tenant may park in the Building’s parking facilities (the “</w:t>
      </w:r>
      <w:r>
        <w:rPr>
          <w:rFonts w:ascii="Arial" w:cs="Arial" w:eastAsia="Arial" w:hAnsi="Arial"/>
          <w:sz w:val="18"/>
          <w:szCs w:val="18"/>
          <w:b w:val="1"/>
          <w:bCs w:val="1"/>
          <w:color w:val="auto"/>
        </w:rPr>
        <w:t>Parking Facility</w:t>
      </w:r>
      <w:r>
        <w:rPr>
          <w:rFonts w:ascii="Arial" w:cs="Arial" w:eastAsia="Arial" w:hAnsi="Arial"/>
          <w:sz w:val="18"/>
          <w:szCs w:val="18"/>
          <w:color w:val="auto"/>
        </w:rPr>
        <w:t>”), in common with other tenants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Building, upon the following terms and conditions. Tenant shall not use more than the number of unreserved and/or reserved parking spaces set forth in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Tenant shall pay Landlord,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any fees (if any) for the parking spaces described in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Tenant shall comply with all rules and regulations established by Landlord from time to time for the orderly operation and use of the Parking Facility, including any sticker or other identification system and the prohibition of vehicle repair and maintenance activities in the Parking Facility. Landlord may, in its discretion, allocate and assign parking passes among Tenant and the other tenants in the Building. Tenant’s use of the Parking Facility shall be at Tenant’s sole risk, and Landlord shall have no liability for any personal injury or damage to or theft of any vehicles or other property occurring in the Parking Facility or otherwise in connection with any use of the Parking Facility by Tenant or its employees or invitees. Landlord may alter the size, configuration, design, layout or any other aspect of the Parking Facility, and, in connection therewith, temporarily deny or restrict access to the Parking Facility, in each case without abatement of Rent or liability to Tenant. Landlord may delegate its responsibilities hereunder to a parking operator, in which case (i) such parking operator shall have all the rights of control reserved herein by Landlord, (ii) Tenant shall enter into a parking agreement with such parking operator, (iii) Tenant shall pay such parking operator, rather than Landlord, any charge established hereunder for the parking spaces, and (iv) Landlord shall have no liability for claims arising through acts or omissions of such parking operator except to the extent caused by Landlord’s negligence or willful misconduct. Tenant’s parking rights under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are solely for the benefit of Tenant’s employees and invitees and such rights may not be transferred without Landlord’s prior consent, except pursuant to a Transfer permitted under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76" w:lineRule="exact"/>
        <w:rPr>
          <w:rFonts w:ascii="Arial" w:cs="Arial" w:eastAsia="Arial" w:hAnsi="Arial"/>
          <w:sz w:val="18"/>
          <w:szCs w:val="18"/>
          <w:b w:val="1"/>
          <w:bCs w:val="1"/>
          <w:color w:val="auto"/>
        </w:rPr>
      </w:pPr>
    </w:p>
    <w:p>
      <w:pPr>
        <w:ind w:left="860" w:hanging="852"/>
        <w:spacing w:after="0"/>
        <w:tabs>
          <w:tab w:leader="none" w:pos="8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jc w:val="both"/>
        <w:ind w:firstLine="524"/>
        <w:spacing w:after="0" w:line="274"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r>
        <w:rPr>
          <w:rFonts w:ascii="Arial" w:cs="Arial" w:eastAsia="Arial" w:hAnsi="Arial"/>
          <w:sz w:val="18"/>
          <w:szCs w:val="18"/>
          <w:color w:val="auto"/>
        </w:rPr>
        <w:t xml:space="preserve"> No notice, demand, statement, designation, request, consent, approval, election or other communication given hereunder (“</w:t>
      </w:r>
      <w:r>
        <w:rPr>
          <w:rFonts w:ascii="Arial" w:cs="Arial" w:eastAsia="Arial" w:hAnsi="Arial"/>
          <w:sz w:val="18"/>
          <w:szCs w:val="18"/>
          <w:b w:val="1"/>
          <w:bCs w:val="1"/>
          <w:color w:val="auto"/>
        </w:rPr>
        <w:t>Notice</w:t>
      </w:r>
      <w:r>
        <w:rPr>
          <w:rFonts w:ascii="Arial" w:cs="Arial" w:eastAsia="Arial" w:hAnsi="Arial"/>
          <w:sz w:val="18"/>
          <w:szCs w:val="18"/>
          <w:color w:val="auto"/>
        </w:rPr>
        <w:t xml:space="preserve">”) shall be binding upon either party unless (a) it is in writing; (b) it is (i) sent by certified or registered mail, postage prepaid, return receipt requested, (ii) delivered by a nationally recognized courier service, or (iii) delivered personally; and (c) it is sent or delivered to the address set forth in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as applicable, or to such other place (other than a P.O. box) as the recipient may from time to time designate in a Notice to the other party. Any Notice shall be deemed received on the earlier of the date of actual delivery or the date on which delivery is refused, or, if Tenant is the recipient and has vacated its notice address without providing a new notice address, three (3) days after the date the Notice is deposited in the U.S. mail or with a courier service as described above. No provision of this Lease requiring a particular Notice to be in writing shall limit the generality of clause (a) of the first sentence of this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162" w:lineRule="exact"/>
        <w:rPr>
          <w:sz w:val="20"/>
          <w:szCs w:val="20"/>
          <w:color w:val="auto"/>
        </w:rPr>
      </w:pPr>
    </w:p>
    <w:p>
      <w:pPr>
        <w:jc w:val="both"/>
        <w:ind w:firstLine="524"/>
        <w:spacing w:after="0" w:line="274"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color w:val="auto"/>
        </w:rPr>
        <w:t>.</w:t>
      </w:r>
      <w:r>
        <w:rPr>
          <w:rFonts w:ascii="Arial" w:cs="Arial" w:eastAsia="Arial" w:hAnsi="Arial"/>
          <w:sz w:val="18"/>
          <w:szCs w:val="18"/>
          <w:color w:val="auto"/>
        </w:rPr>
        <w:t xml:space="preserve"> If either party is prevented from performing any obligation hereunder by any strike, act of God, fire, war, terrorist act, shortage of labor or materials, governmental action (including, without limitation, governmentally required evacuations), epidemic, pandemic, public health emergency, civil commotion or other cause beyond such party’s reasonable control (“</w:t>
      </w:r>
      <w:r>
        <w:rPr>
          <w:rFonts w:ascii="Arial" w:cs="Arial" w:eastAsia="Arial" w:hAnsi="Arial"/>
          <w:sz w:val="18"/>
          <w:szCs w:val="18"/>
          <w:b w:val="1"/>
          <w:bCs w:val="1"/>
          <w:color w:val="auto"/>
        </w:rPr>
        <w:t>Force Majeure</w:t>
      </w:r>
      <w:r>
        <w:rPr>
          <w:rFonts w:ascii="Arial" w:cs="Arial" w:eastAsia="Arial" w:hAnsi="Arial"/>
          <w:sz w:val="18"/>
          <w:szCs w:val="18"/>
          <w:color w:val="auto"/>
        </w:rPr>
        <w:t xml:space="preserve">”), such obligation shall be excused during (and any time period for the performance of such obligation shall be extended by) the period of such prevention; provided, however, that this </w:t>
      </w:r>
      <w:r>
        <w:rPr>
          <w:rFonts w:ascii="Arial" w:cs="Arial" w:eastAsia="Arial" w:hAnsi="Arial"/>
          <w:sz w:val="18"/>
          <w:szCs w:val="18"/>
          <w:u w:val="single" w:color="auto"/>
          <w:color w:val="auto"/>
        </w:rPr>
        <w:t>Section 25.2</w:t>
      </w:r>
      <w:r>
        <w:rPr>
          <w:rFonts w:ascii="Arial" w:cs="Arial" w:eastAsia="Arial" w:hAnsi="Arial"/>
          <w:sz w:val="18"/>
          <w:szCs w:val="18"/>
          <w:color w:val="auto"/>
        </w:rPr>
        <w:t xml:space="preserve"> shall not (a) permit Tenant to hold over in the Premises after the expiration or earlier termination hereof, or (b) excuse (or extend any time period for the performance of) (i) any obligation to remit money or deliver credit enhancement, (ii) any obligation under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25.3</w:t>
      </w:r>
      <w:r>
        <w:rPr>
          <w:rFonts w:ascii="Arial" w:cs="Arial" w:eastAsia="Arial" w:hAnsi="Arial"/>
          <w:sz w:val="18"/>
          <w:szCs w:val="18"/>
          <w:color w:val="auto"/>
        </w:rPr>
        <w:t>, or (iii) any of Tenant’s obligations whose breach would interfere with another occupant’s use, occupancy or enjoyment of its premises or the Project or result in any liability on the part of any Landlord Party.</w:t>
      </w:r>
    </w:p>
    <w:p>
      <w:pPr>
        <w:spacing w:after="0" w:line="162" w:lineRule="exact"/>
        <w:rPr>
          <w:sz w:val="20"/>
          <w:szCs w:val="20"/>
          <w:color w:val="auto"/>
        </w:rPr>
      </w:pPr>
    </w:p>
    <w:p>
      <w:pPr>
        <w:jc w:val="both"/>
        <w:ind w:right="20" w:firstLine="524"/>
        <w:spacing w:after="0" w:line="248" w:lineRule="auto"/>
        <w:rPr>
          <w:sz w:val="20"/>
          <w:szCs w:val="20"/>
          <w:color w:val="auto"/>
        </w:rPr>
      </w:pPr>
      <w:r>
        <w:rPr>
          <w:rFonts w:ascii="Arial" w:cs="Arial" w:eastAsia="Arial" w:hAnsi="Arial"/>
          <w:sz w:val="20"/>
          <w:szCs w:val="20"/>
          <w:color w:val="auto"/>
        </w:rPr>
        <w:t xml:space="preserve">25.3 </w:t>
      </w:r>
      <w:r>
        <w:rPr>
          <w:rFonts w:ascii="Arial" w:cs="Arial" w:eastAsia="Arial" w:hAnsi="Arial"/>
          <w:sz w:val="20"/>
          <w:szCs w:val="20"/>
          <w:b w:val="1"/>
          <w:bCs w:val="1"/>
          <w:u w:val="single" w:color="auto"/>
          <w:color w:val="auto"/>
        </w:rPr>
        <w:t>Representations and Covenants</w:t>
      </w:r>
      <w:r>
        <w:rPr>
          <w:rFonts w:ascii="Arial" w:cs="Arial" w:eastAsia="Arial" w:hAnsi="Arial"/>
          <w:sz w:val="20"/>
          <w:szCs w:val="20"/>
          <w:b w:val="1"/>
          <w:bCs w:val="1"/>
          <w:color w:val="auto"/>
        </w:rPr>
        <w:t>.</w:t>
      </w:r>
      <w:r>
        <w:rPr>
          <w:rFonts w:ascii="Arial" w:cs="Arial" w:eastAsia="Arial" w:hAnsi="Arial"/>
          <w:sz w:val="20"/>
          <w:szCs w:val="20"/>
          <w:color w:val="auto"/>
        </w:rPr>
        <w:t xml:space="preserve"> Tenant represents, warrants and covenants that (a) Tenant is, and at all times during the Term will remain, duly organized, validly existing and in good standing under the Laws of the state of its formation and qualified to do business in the state of California; (b) neither Tenant’s execution of nor its performance under this Lease will cause Tenant to be in violation of any agreement or Law; (c) Tenant (and any guarantor hereof) has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522"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9"/>
          <w:szCs w:val="19"/>
          <w:color w:val="auto"/>
        </w:rPr>
        <w:t>not, and at no time during the Term will have, (i) made a general assignment for the benefit of creditors, (ii) filed a voluntary petition in bankruptcy, (iii) suffered (A) the filing by creditors of an involuntary petition in bankruptcy that is not dismissed within 30 days, (B) the appointment of a receiver to take possession of all or substantially all of its assets, or (C) the attachment or other judicial seizure of all or substantially all of its assets, (iv) admitted in writing its inability to pay its debts as they come due, or (v) made an offer of settlement, extension or composition to its creditors generally; and (d) no party that (other than through the passive ownership of interests traded on a recognized securities exchange) constitutes, owns, controls, or is owned or controlled by Tenant, any guarantor hereof or any subtenant of Tenant is, or at any time during the Term will be, (i) in violation of any Laws relating to terrorism or money laundering, or (ii) among the parties identified on any list compiled pursuant to Executive Order 13224 for the purpose of identifying suspected terrorists or on the most current list published by the U.S. Treasury Department Office of Foreign Assets Control at its official website, http://www.treas.gov/ofac/tllsdn.pdf or any replacement website or other replacement official publication of such list.</w:t>
      </w:r>
    </w:p>
    <w:p>
      <w:pPr>
        <w:spacing w:after="0" w:line="184"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20"/>
          <w:szCs w:val="20"/>
          <w:color w:val="auto"/>
        </w:rPr>
        <w:t xml:space="preserve">25.4 </w:t>
      </w:r>
      <w:r>
        <w:rPr>
          <w:rFonts w:ascii="Arial" w:cs="Arial" w:eastAsia="Arial" w:hAnsi="Arial"/>
          <w:sz w:val="20"/>
          <w:szCs w:val="20"/>
          <w:b w:val="1"/>
          <w:bCs w:val="1"/>
          <w:u w:val="single" w:color="auto"/>
          <w:color w:val="auto"/>
        </w:rPr>
        <w:t>Signs</w:t>
      </w:r>
      <w:r>
        <w:rPr>
          <w:rFonts w:ascii="Arial" w:cs="Arial" w:eastAsia="Arial" w:hAnsi="Arial"/>
          <w:sz w:val="20"/>
          <w:szCs w:val="20"/>
          <w:b w:val="1"/>
          <w:bCs w:val="1"/>
          <w:color w:val="auto"/>
        </w:rPr>
        <w:t>.</w:t>
      </w:r>
      <w:r>
        <w:rPr>
          <w:rFonts w:ascii="Arial" w:cs="Arial" w:eastAsia="Arial" w:hAnsi="Arial"/>
          <w:sz w:val="20"/>
          <w:szCs w:val="20"/>
          <w:color w:val="auto"/>
        </w:rPr>
        <w:t xml:space="preserve"> Landlord shall include Tenant’s name in any tenant directory located in the lobby on the first floor of the Building. If any part of the Premises is located on a multi-tenant floor, Landlord, at Tenant’s cost, shall provide identifying suite signage for Tenant comparable to that provided by Landlord on similar floors in the Building. Tenant may not install (a) any signs outside the Premises, or (b) without Landlord’s prior consent in its sole and absolute discretion, any signs, window coverings, blinds or similar items that are visible from outside the Premises.</w:t>
      </w:r>
    </w:p>
    <w:p>
      <w:pPr>
        <w:spacing w:after="0" w:line="185" w:lineRule="exact"/>
        <w:rPr>
          <w:sz w:val="20"/>
          <w:szCs w:val="20"/>
          <w:color w:val="auto"/>
        </w:rPr>
      </w:pPr>
    </w:p>
    <w:p>
      <w:pPr>
        <w:jc w:val="both"/>
        <w:ind w:firstLine="524"/>
        <w:spacing w:after="0" w:line="264" w:lineRule="auto"/>
        <w:rPr>
          <w:sz w:val="20"/>
          <w:szCs w:val="20"/>
          <w:color w:val="auto"/>
        </w:rPr>
      </w:pPr>
      <w:r>
        <w:rPr>
          <w:rFonts w:ascii="Arial" w:cs="Arial" w:eastAsia="Arial" w:hAnsi="Arial"/>
          <w:sz w:val="19"/>
          <w:szCs w:val="19"/>
          <w:color w:val="auto"/>
        </w:rPr>
        <w:t xml:space="preserve">25.5 </w:t>
      </w:r>
      <w:r>
        <w:rPr>
          <w:rFonts w:ascii="Arial" w:cs="Arial" w:eastAsia="Arial" w:hAnsi="Arial"/>
          <w:sz w:val="19"/>
          <w:szCs w:val="19"/>
          <w:b w:val="1"/>
          <w:bCs w:val="1"/>
          <w:u w:val="single" w:color="auto"/>
          <w:color w:val="auto"/>
        </w:rPr>
        <w:t>Supplemental HVAC</w:t>
      </w:r>
      <w:r>
        <w:rPr>
          <w:rFonts w:ascii="Arial" w:cs="Arial" w:eastAsia="Arial" w:hAnsi="Arial"/>
          <w:sz w:val="19"/>
          <w:szCs w:val="19"/>
          <w:b w:val="1"/>
          <w:bCs w:val="1"/>
          <w:color w:val="auto"/>
        </w:rPr>
        <w:t>.</w:t>
      </w:r>
      <w:r>
        <w:rPr>
          <w:rFonts w:ascii="Arial" w:cs="Arial" w:eastAsia="Arial" w:hAnsi="Arial"/>
          <w:sz w:val="19"/>
          <w:szCs w:val="19"/>
          <w:color w:val="auto"/>
        </w:rPr>
        <w:t xml:space="preserve"> If the Premises are served by any supplemental HVAC unit (a “</w:t>
      </w:r>
      <w:r>
        <w:rPr>
          <w:rFonts w:ascii="Arial" w:cs="Arial" w:eastAsia="Arial" w:hAnsi="Arial"/>
          <w:sz w:val="19"/>
          <w:szCs w:val="19"/>
          <w:b w:val="1"/>
          <w:bCs w:val="1"/>
          <w:color w:val="auto"/>
        </w:rPr>
        <w:t>Unit</w:t>
      </w:r>
      <w:r>
        <w:rPr>
          <w:rFonts w:ascii="Arial" w:cs="Arial" w:eastAsia="Arial" w:hAnsi="Arial"/>
          <w:sz w:val="19"/>
          <w:szCs w:val="19"/>
          <w:color w:val="auto"/>
        </w:rPr>
        <w:t>”), then (a) Tenant shall pay the costs of all electricity consumed in the Unit’s operation, together with the cost of installing a meter to measure such consumption;</w:t>
      </w:r>
    </w:p>
    <w:p>
      <w:pPr>
        <w:jc w:val="both"/>
        <w:ind w:firstLine="8"/>
        <w:spacing w:after="0" w:line="266" w:lineRule="auto"/>
        <w:tabs>
          <w:tab w:leader="none" w:pos="3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Tenant, at its expense, shall (i) operate and maintain the Unit in compliance with all applicable Laws and such reasonable rules and procedures as Landlord may impose; (ii) keep the Unit in as good working order and condition as existed upon installation (or, if later, when Tenant took possession of the Premises), subject to normal wear and tear and damage resulting from Casualty; (iii) maintain in effect, with a contractor reasonably approved by Landlord, a contract for the maintenance and repair of the Unit, which contract shall require the contractor, at least once every three (3) months, to inspect the Unit and provide to Tenant a report of any defective conditions, together with any recommendations for maintenance, repair or parts-replacement; (iv) follow all reasonable recommendations of such contractor; and</w:t>
      </w:r>
    </w:p>
    <w:p>
      <w:pPr>
        <w:jc w:val="both"/>
        <w:ind w:firstLine="8"/>
        <w:spacing w:after="0" w:line="266" w:lineRule="auto"/>
        <w:tabs>
          <w:tab w:leader="none" w:pos="2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promptly provide to Landlord a copy of such contract and each report issued thereunder; (c) the Unit shall become Landlord’s property upon installation and without compensation to Tenant; provided, however, that upon Landlord’s request at the expiration or earlier termination hereof, Tenant, at its expense, shall remove the Unit and repair any resulting damage (and if Tenant fails to timely perform such work, Landlord may do so at Tenant’s expense); (d) the Unit shall be deemed (i) a Leasehold Improvement (except for purposes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(ii) for purposes of </w:t>
      </w:r>
      <w:r>
        <w:rPr>
          <w:rFonts w:ascii="Arial" w:cs="Arial" w:eastAsia="Arial" w:hAnsi="Arial"/>
          <w:sz w:val="18"/>
          <w:szCs w:val="18"/>
          <w:u w:val="single" w:color="auto"/>
          <w:color w:val="auto"/>
        </w:rPr>
        <w:t>Section 11</w:t>
      </w:r>
      <w:r>
        <w:rPr>
          <w:rFonts w:ascii="Arial" w:cs="Arial" w:eastAsia="Arial" w:hAnsi="Arial"/>
          <w:sz w:val="18"/>
          <w:szCs w:val="18"/>
          <w:color w:val="auto"/>
        </w:rPr>
        <w:t>, part of the Premises; (e) if the Unit exists on the date of mutual execution and delivery hereof, Tenant accepts the Unit in its “as is” condition, without representation or warranty as to quality, condition, fitness for use or any other matter;</w:t>
      </w:r>
    </w:p>
    <w:p>
      <w:pPr>
        <w:jc w:val="both"/>
        <w:ind w:firstLine="8"/>
        <w:spacing w:after="0" w:line="254" w:lineRule="auto"/>
        <w:tabs>
          <w:tab w:leader="none" w:pos="264"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the Unit connects to the Building’s condenser water loop (if any), then Tenant shall pay to Landlord, as Additional Rent, Landlord’s standard one-time fee for such connection and Landlord’s standard monthly per-ton usage fee; and (g) if any portion of the Unit is located on the roof, then (i) Tenant’s access to the roof shall be subject to such reasonable rules and procedures as Landlord may impose; (ii) Tenant shall maintain the affected portion of the roof in a clean and orderly condition and shall not interfere with use of the roof by Landlord or any other tenants or licensees; and (iii) Landlord may relocate the Unit and/or temporarily interrupt its operation, without liability to Tenant, as reasonably necessary to maintain and repair the roof or otherwise operate the Building. The parties acknowledge and agree that a Unit currently exists in the Premises and notwithstanding the foregoing, Tenant shall not be required to remove such Unit upon the expiration or earlier termination of the Lease.</w:t>
      </w:r>
    </w:p>
    <w:p>
      <w:pPr>
        <w:spacing w:after="0" w:line="180" w:lineRule="exact"/>
        <w:rPr>
          <w:sz w:val="20"/>
          <w:szCs w:val="20"/>
          <w:color w:val="auto"/>
        </w:rPr>
      </w:pPr>
    </w:p>
    <w:p>
      <w:pPr>
        <w:jc w:val="both"/>
        <w:ind w:firstLine="524"/>
        <w:spacing w:after="0" w:line="245" w:lineRule="auto"/>
        <w:rPr>
          <w:sz w:val="20"/>
          <w:szCs w:val="20"/>
          <w:color w:val="auto"/>
        </w:rPr>
      </w:pPr>
      <w:r>
        <w:rPr>
          <w:rFonts w:ascii="Arial" w:cs="Arial" w:eastAsia="Arial" w:hAnsi="Arial"/>
          <w:sz w:val="20"/>
          <w:szCs w:val="20"/>
          <w:color w:val="auto"/>
        </w:rPr>
        <w:t xml:space="preserve">25.6 </w:t>
      </w:r>
      <w:r>
        <w:rPr>
          <w:rFonts w:ascii="Arial" w:cs="Arial" w:eastAsia="Arial" w:hAnsi="Arial"/>
          <w:sz w:val="20"/>
          <w:szCs w:val="20"/>
          <w:b w:val="1"/>
          <w:bCs w:val="1"/>
          <w:u w:val="single" w:color="auto"/>
          <w:color w:val="auto"/>
        </w:rPr>
        <w:t>Attorneys’ Fees</w:t>
      </w:r>
      <w:r>
        <w:rPr>
          <w:rFonts w:ascii="Arial" w:cs="Arial" w:eastAsia="Arial" w:hAnsi="Arial"/>
          <w:sz w:val="20"/>
          <w:szCs w:val="20"/>
          <w:b w:val="1"/>
          <w:bCs w:val="1"/>
          <w:color w:val="auto"/>
        </w:rPr>
        <w:t>.</w:t>
      </w:r>
      <w:r>
        <w:rPr>
          <w:rFonts w:ascii="Arial" w:cs="Arial" w:eastAsia="Arial" w:hAnsi="Arial"/>
          <w:sz w:val="20"/>
          <w:szCs w:val="20"/>
          <w:color w:val="auto"/>
        </w:rPr>
        <w:t xml:space="preserve"> In any action or proceeding between the parties, including any appellate or alternative dispute resolution proceeding, the prevailing party may recover from the other party all of its costs and expenses in connection therewith, including reasonable attorneys’ fees and costs. Tenant shall pay all reasonable attorneys’ fees and other fees and costs that Landlord incurs in interpreting or enforcing this Lease or otherwise protecting its rights hereunder (a) where Tenant has failed to pay Rent when due, or (b) in any bankruptcy case, assignment for the benefit of creditors, or other insolvency, liquidation or reorganization proceeding involving Tenant or this Lease.</w:t>
      </w:r>
    </w:p>
    <w:p>
      <w:pPr>
        <w:spacing w:after="0" w:line="184" w:lineRule="exact"/>
        <w:rPr>
          <w:sz w:val="20"/>
          <w:szCs w:val="20"/>
          <w:color w:val="auto"/>
        </w:rPr>
      </w:pPr>
    </w:p>
    <w:p>
      <w:pPr>
        <w:jc w:val="both"/>
        <w:ind w:firstLine="524"/>
        <w:spacing w:after="0" w:line="265" w:lineRule="auto"/>
        <w:rPr>
          <w:sz w:val="20"/>
          <w:szCs w:val="20"/>
          <w:color w:val="auto"/>
        </w:rPr>
      </w:pPr>
      <w:r>
        <w:rPr>
          <w:rFonts w:ascii="Arial" w:cs="Arial" w:eastAsia="Arial" w:hAnsi="Arial"/>
          <w:sz w:val="19"/>
          <w:szCs w:val="19"/>
          <w:color w:val="auto"/>
        </w:rPr>
        <w:t xml:space="preserve">25.7 </w:t>
      </w:r>
      <w:r>
        <w:rPr>
          <w:rFonts w:ascii="Arial" w:cs="Arial" w:eastAsia="Arial" w:hAnsi="Arial"/>
          <w:sz w:val="19"/>
          <w:szCs w:val="19"/>
          <w:b w:val="1"/>
          <w:bCs w:val="1"/>
          <w:u w:val="single" w:color="auto"/>
          <w:color w:val="auto"/>
        </w:rPr>
        <w:t>Brokers</w:t>
      </w:r>
      <w:r>
        <w:rPr>
          <w:rFonts w:ascii="Arial" w:cs="Arial" w:eastAsia="Arial" w:hAnsi="Arial"/>
          <w:sz w:val="19"/>
          <w:szCs w:val="19"/>
          <w:b w:val="1"/>
          <w:bCs w:val="1"/>
          <w:color w:val="auto"/>
        </w:rPr>
        <w:t>.</w:t>
      </w:r>
      <w:r>
        <w:rPr>
          <w:rFonts w:ascii="Arial" w:cs="Arial" w:eastAsia="Arial" w:hAnsi="Arial"/>
          <w:sz w:val="19"/>
          <w:szCs w:val="19"/>
          <w:color w:val="auto"/>
        </w:rPr>
        <w:t xml:space="preserve"> Tenant represents to Landlord that it has dealt only with Tenant’s Broker as its broker in connection with this Lease. Tenant shall indemnify, defend, and hold Landlord harmless from all claims of any brokers, other than Tenant’s Broker, claiming to have represented Tenant in connection with this Lease. Landlord shall indemnify, defend and hold Tenant harmless from all claims of any brokers, including Landlord’s Broker, claiming to have represented Landlord in connection with this Lease.</w:t>
      </w:r>
    </w:p>
    <w:p>
      <w:pPr>
        <w:spacing w:after="0" w:line="169"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20"/>
          <w:szCs w:val="20"/>
          <w:color w:val="auto"/>
        </w:rPr>
        <w:t xml:space="preserve">25.8 </w:t>
      </w:r>
      <w:r>
        <w:rPr>
          <w:rFonts w:ascii="Arial" w:cs="Arial" w:eastAsia="Arial" w:hAnsi="Arial"/>
          <w:sz w:val="20"/>
          <w:szCs w:val="20"/>
          <w:b w:val="1"/>
          <w:bCs w:val="1"/>
          <w:u w:val="single" w:color="auto"/>
          <w:color w:val="auto"/>
        </w:rPr>
        <w:t>Governing Law; WAIVER OF TRIAL BY JURY</w:t>
      </w:r>
      <w:r>
        <w:rPr>
          <w:rFonts w:ascii="Arial" w:cs="Arial" w:eastAsia="Arial" w:hAnsi="Arial"/>
          <w:sz w:val="20"/>
          <w:szCs w:val="20"/>
          <w:b w:val="1"/>
          <w:bCs w:val="1"/>
          <w:color w:val="auto"/>
        </w:rPr>
        <w:t>.</w:t>
      </w:r>
      <w:r>
        <w:rPr>
          <w:rFonts w:ascii="Arial" w:cs="Arial" w:eastAsia="Arial" w:hAnsi="Arial"/>
          <w:sz w:val="20"/>
          <w:szCs w:val="20"/>
          <w:color w:val="auto"/>
        </w:rPr>
        <w:t xml:space="preserve"> This Lease shall be construed and enforced in accordance with the Laws of the State of California. THE PARTIES WAIVE, TO THE FULLEST EXTENT PERMITTED BY LAW, THE RIGHT TO TRIAL BY JURY IN ANY LITIGATION ARISING OUT OF OR RELATING TO THIS LEASE, THE RELATIONSHIP OF LANDLORD AND TENANT, TENANT’S USE OR OCCUPANCY OF THE PREMISES, AND/OR ANY CLAIM FOR INJURY OR DAMAGE OR ANY EMERGENCY OR STATUTORY REMEDY.</w:t>
      </w:r>
    </w:p>
    <w:p>
      <w:pPr>
        <w:spacing w:after="0" w:line="185"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20"/>
          <w:szCs w:val="20"/>
          <w:color w:val="auto"/>
        </w:rPr>
        <w:t>25.9</w:t>
      </w:r>
      <w:r>
        <w:rPr>
          <w:sz w:val="20"/>
          <w:szCs w:val="20"/>
          <w:color w:val="auto"/>
        </w:rPr>
        <w:tab/>
      </w:r>
      <w:r>
        <w:rPr>
          <w:rFonts w:ascii="Arial" w:cs="Arial" w:eastAsia="Arial" w:hAnsi="Arial"/>
          <w:sz w:val="18"/>
          <w:szCs w:val="18"/>
          <w:b w:val="1"/>
          <w:bCs w:val="1"/>
          <w:u w:val="single" w:color="auto"/>
          <w:color w:val="auto"/>
        </w:rPr>
        <w:t>Waiver of Statutory Provisions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Each party waives California Civil Code §§ 1932(2), 1933(4) and 1945. Tenant waives</w:t>
      </w:r>
    </w:p>
    <w:p>
      <w:pPr>
        <w:spacing w:after="0" w:line="22" w:lineRule="exact"/>
        <w:rPr>
          <w:sz w:val="20"/>
          <w:szCs w:val="20"/>
          <w:color w:val="auto"/>
        </w:rPr>
      </w:pPr>
    </w:p>
    <w:p>
      <w:pPr>
        <w:jc w:val="both"/>
        <w:ind w:firstLine="8"/>
        <w:spacing w:after="0"/>
        <w:tabs>
          <w:tab w:leader="none" w:pos="274"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rights under (i) California Civil Code §§ 1932(1), 1941, 1942, 1950.7 or any similar or replacement section or Law, or (ii) California Code of Civil Procedure §§ 1263.260 or 1265.130 or any similar or replacement section or Law; and (b) any right to terminate this Lease under California Civil Code § 1995.310 or any similar or replacement section or Law. Tenant further expressly waives California Civil Code Section 1479, and agrees that Landlord shall have the right to designate which portion of Tenant’s obligations under this Lease are satisfied by a partial payment or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293" w:gutter="0" w:footer="0" w:header="0"/>
        </w:sectPr>
      </w:pPr>
    </w:p>
    <w:bookmarkStart w:id="39" w:name="page40"/>
    <w:bookmarkEnd w:id="39"/>
    <w:p>
      <w:pPr>
        <w:jc w:val="both"/>
        <w:ind w:right="20"/>
        <w:spacing w:after="0" w:line="260" w:lineRule="auto"/>
        <w:rPr>
          <w:sz w:val="20"/>
          <w:szCs w:val="20"/>
          <w:color w:val="auto"/>
        </w:rPr>
      </w:pPr>
      <w:r>
        <w:rPr>
          <w:rFonts w:ascii="Arial" w:cs="Arial" w:eastAsia="Arial" w:hAnsi="Arial"/>
          <w:sz w:val="20"/>
          <w:szCs w:val="20"/>
          <w:color w:val="auto"/>
        </w:rPr>
        <w:t>allocate any payment by Tenant to outstanding obligations of Tenant in any order it desires (i.e., Landlord may allocate payments to the earliest amounts outstanding or the most recent, at its discretion).</w:t>
      </w:r>
    </w:p>
    <w:p>
      <w:pPr>
        <w:spacing w:after="0" w:line="171" w:lineRule="exact"/>
        <w:rPr>
          <w:sz w:val="20"/>
          <w:szCs w:val="20"/>
          <w:color w:val="auto"/>
        </w:rPr>
      </w:pPr>
    </w:p>
    <w:p>
      <w:pPr>
        <w:jc w:val="both"/>
        <w:ind w:firstLine="524"/>
        <w:spacing w:after="0" w:line="270" w:lineRule="auto"/>
        <w:rPr>
          <w:sz w:val="20"/>
          <w:szCs w:val="20"/>
          <w:color w:val="auto"/>
        </w:rPr>
      </w:pPr>
      <w:r>
        <w:rPr>
          <w:rFonts w:ascii="Arial" w:cs="Arial" w:eastAsia="Arial" w:hAnsi="Arial"/>
          <w:sz w:val="18"/>
          <w:szCs w:val="18"/>
          <w:color w:val="auto"/>
        </w:rPr>
        <w:t xml:space="preserve">25.10 </w:t>
      </w: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r>
        <w:rPr>
          <w:rFonts w:ascii="Arial" w:cs="Arial" w:eastAsia="Arial" w:hAnsi="Arial"/>
          <w:sz w:val="18"/>
          <w:szCs w:val="18"/>
          <w:color w:val="auto"/>
        </w:rPr>
        <w:t xml:space="preserve"> As used herein, the capitalized term “Section” refers to a section hereof unless otherwise specifically provided herein. As used in this Lease, the terms “herein,” “hereof,” “hereto” and “hereunder” refer to this Lease and the term “include” and its derivatives are not limiting. Any reference herein to “any part” or “any portion” of the Premises, the Property or any other property shall be construed to refer to all or any part of such property. As used herein in connection with insurance, the term “deductible” includes self-insured retention. Wherever this Lease prohibits either party from engaging in any particular conduct, this Lease shall be deemed also to require such party to cause each of its employees and agents (and, in the case of Tenant, each of its licensees, invitees and subtenants, and any other party claiming by, through or under Tenant) to refrain from engaging in such conduct. Wherever this Lease requires Landlord to provide a customary service or to act in a reasonable manner (whether in incurring an expense, establishing a rule or regulation, providing an approval or consent, or performing any other act), this Lease shall be deemed also to provide that whether such service is customary or such conduct is reasonable shall be determined by reference to the practices of owners of buildings (“</w:t>
      </w:r>
      <w:r>
        <w:rPr>
          <w:rFonts w:ascii="Arial" w:cs="Arial" w:eastAsia="Arial" w:hAnsi="Arial"/>
          <w:sz w:val="18"/>
          <w:szCs w:val="18"/>
          <w:b w:val="1"/>
          <w:bCs w:val="1"/>
          <w:color w:val="auto"/>
        </w:rPr>
        <w:t>Comparable Buildings</w:t>
      </w:r>
      <w:r>
        <w:rPr>
          <w:rFonts w:ascii="Arial" w:cs="Arial" w:eastAsia="Arial" w:hAnsi="Arial"/>
          <w:sz w:val="18"/>
          <w:szCs w:val="18"/>
          <w:color w:val="auto"/>
        </w:rPr>
        <w:t>”) that (i) are comparable to the Building in size, age, class, quality and location, and (ii) at Landlord’s option, have been, or are being prepared to be, certified under the U.S. Green Building Council’s Leadership in Energy and Environmental Design (LEED) rating system or a similar rating system. Tenant waives the benefit of any rule that a written agreement shall be construed against the drafting party.</w:t>
      </w:r>
    </w:p>
    <w:p>
      <w:pPr>
        <w:spacing w:after="0" w:line="172"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20"/>
          <w:szCs w:val="20"/>
          <w:color w:val="auto"/>
        </w:rPr>
        <w:t xml:space="preserve">25.11 </w:t>
      </w: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w:t>
      </w:r>
      <w:r>
        <w:rPr>
          <w:rFonts w:ascii="Arial" w:cs="Arial" w:eastAsia="Arial" w:hAnsi="Arial"/>
          <w:sz w:val="20"/>
          <w:szCs w:val="20"/>
          <w:color w:val="auto"/>
        </w:rPr>
        <w:t xml:space="preserve"> This Lease sets forth the entire agreement between the parties relating to the subject matter hereof and supersedes any previous agreements (none of which shall be used to interpret this Lease). Tenant acknowledges that in entering into this Lease it has not relied upon any representation, warranty or statement, whether oral or written, not expressly set forth herein. This Lease can be modified only by a written agreement signed by both parties.</w:t>
      </w:r>
    </w:p>
    <w:p>
      <w:pPr>
        <w:spacing w:after="0" w:line="183" w:lineRule="exact"/>
        <w:rPr>
          <w:sz w:val="20"/>
          <w:szCs w:val="20"/>
          <w:color w:val="auto"/>
        </w:rPr>
      </w:pPr>
    </w:p>
    <w:p>
      <w:pPr>
        <w:jc w:val="both"/>
        <w:ind w:firstLine="520"/>
        <w:spacing w:after="0" w:line="268" w:lineRule="auto"/>
        <w:rPr>
          <w:sz w:val="20"/>
          <w:szCs w:val="20"/>
          <w:color w:val="auto"/>
        </w:rPr>
      </w:pPr>
      <w:r>
        <w:rPr>
          <w:rFonts w:ascii="Arial" w:cs="Arial" w:eastAsia="Arial" w:hAnsi="Arial"/>
          <w:sz w:val="18"/>
          <w:szCs w:val="18"/>
          <w:color w:val="auto"/>
        </w:rPr>
        <w:t xml:space="preserve">25.12 </w:t>
      </w:r>
      <w:r>
        <w:rPr>
          <w:rFonts w:ascii="Arial" w:cs="Arial" w:eastAsia="Arial" w:hAnsi="Arial"/>
          <w:sz w:val="18"/>
          <w:szCs w:val="18"/>
          <w:b w:val="1"/>
          <w:bCs w:val="1"/>
          <w:u w:val="single" w:color="auto"/>
          <w:color w:val="auto"/>
        </w:rPr>
        <w:t>Other</w:t>
      </w:r>
      <w:r>
        <w:rPr>
          <w:rFonts w:ascii="Arial" w:cs="Arial" w:eastAsia="Arial" w:hAnsi="Arial"/>
          <w:sz w:val="18"/>
          <w:szCs w:val="18"/>
          <w:b w:val="1"/>
          <w:bCs w:val="1"/>
          <w:color w:val="auto"/>
        </w:rPr>
        <w:t>.</w:t>
      </w:r>
      <w:r>
        <w:rPr>
          <w:rFonts w:ascii="Arial" w:cs="Arial" w:eastAsia="Arial" w:hAnsi="Arial"/>
          <w:sz w:val="18"/>
          <w:szCs w:val="18"/>
          <w:color w:val="auto"/>
        </w:rPr>
        <w:t xml:space="preserve"> Landlord, at its option, may cure any Default, without waiving any right or remedy or releasing Tenant from any obligation, in which event Tenant shall pay Landlord, upon demand, the cost of such cure. If any provision hereof is void or unenforceable, no other provision shall be affected. Submission of this instrument for examination or signature by Tenant does not constitute an option or offer to lease, and this instrument is not binding until it has been executed and delivered by both parties. The voluntary or other surrender of this Lease by Tenant, whether accepted by Landlord or not, or a mutual termination thereof, shall not work a merger, and at the option of Landlord shall operate as an assignment to Landlord of all subleases or subtenancies affecting the Premises or terminate any or all such sublessees or subtenancies. If Tenant is comprised of two or more parties, their obligations shall be joint and several. Time is of the essence with respect to the performance of every provision hereof in which time of performance is a factor. So long as Tenant performs its obligations hereunder, Tenant shall have peaceful and quiet possession of the Premises against any party claiming by, through or under Landlord, subject to the terms hereof. Landlord may transfer its interest herein, in which event (a) to the extent the transferee assumes in writing Landlord’s obligations arising hereunder after the date of such transfer (including the return of any Security Deposit), Landlord shall be released from, and Tenant shall look solely to the transferee for the performance of, such obligations; and (b) Tenant shall attorn to the transferee. If Tenant (or any party claiming by, through or under Tenant) pays directly to the provider for any energy consumed at the Property, Tenant, promptly upon request, shall deliver to Landlord (or, at Landlord’s option, execute and deliver to Landlord an instrument enabling Landlord to obtain from such provider) any data about such consumption that Landlord, in its reasonable judgment, is required for benchmarking purposes or to disclose to a prospective buyer, tenant or mortgage lender under any applicable Law. Landlord reserves all rights not expressly granted to Tenant hereunder, including the right to make alterations to the Project. No rights to any view or to light or air over any property are granted to Tenant hereunder. The expiration or earlier termination hereof shall not relieve either party of any obligation that accrued before, or continues to accrue after, such expiration or termination. Each party hereto, and their respective successors and assigns shall be authorized to rely upon the signatures of all of the parties hereto which are delivered by facsimile, PDF or DocuSign (or the like) as constituting a duly authorized, irrevocable, actual, current delivery hereof with original ink signatures of each person and entity. This Lease may be executed in counterparts, each of which shall be deemed an original part and all of which together shall constitute a single agreement.</w:t>
      </w:r>
    </w:p>
    <w:p>
      <w:pPr>
        <w:spacing w:after="0" w:line="17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8"/>
          <w:szCs w:val="18"/>
          <w:color w:val="auto"/>
        </w:rPr>
        <w:t xml:space="preserve">25.13 </w:t>
      </w:r>
      <w:r>
        <w:rPr>
          <w:rFonts w:ascii="Arial" w:cs="Arial" w:eastAsia="Arial" w:hAnsi="Arial"/>
          <w:sz w:val="18"/>
          <w:szCs w:val="18"/>
          <w:b w:val="1"/>
          <w:bCs w:val="1"/>
          <w:u w:val="single" w:color="auto"/>
          <w:color w:val="auto"/>
        </w:rPr>
        <w:t>Fitness Center</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25.13</w:t>
      </w:r>
      <w:r>
        <w:rPr>
          <w:rFonts w:ascii="Arial" w:cs="Arial" w:eastAsia="Arial" w:hAnsi="Arial"/>
          <w:sz w:val="18"/>
          <w:szCs w:val="18"/>
          <w:color w:val="auto"/>
        </w:rPr>
        <w:t>, so long Tenant’s employees execute Landlord’s standard waiver of liability form and pay the applicable one time or monthly fee, if any, then Tenant’s employees (the “</w:t>
      </w:r>
      <w:r>
        <w:rPr>
          <w:rFonts w:ascii="Arial" w:cs="Arial" w:eastAsia="Arial" w:hAnsi="Arial"/>
          <w:sz w:val="18"/>
          <w:szCs w:val="18"/>
          <w:b w:val="1"/>
          <w:bCs w:val="1"/>
          <w:color w:val="auto"/>
        </w:rPr>
        <w:t>Fitness Center</w:t>
      </w:r>
      <w:r>
        <w:rPr>
          <w:rFonts w:ascii="Arial" w:cs="Arial" w:eastAsia="Arial" w:hAnsi="Arial"/>
          <w:sz w:val="18"/>
          <w:szCs w:val="18"/>
          <w:color w:val="auto"/>
        </w:rPr>
        <w:t xml:space="preserve"> </w:t>
      </w:r>
      <w:r>
        <w:rPr>
          <w:rFonts w:ascii="Arial" w:cs="Arial" w:eastAsia="Arial" w:hAnsi="Arial"/>
          <w:sz w:val="18"/>
          <w:szCs w:val="18"/>
          <w:b w:val="1"/>
          <w:bCs w:val="1"/>
          <w:color w:val="auto"/>
        </w:rPr>
        <w:t>Users</w:t>
      </w:r>
      <w:r>
        <w:rPr>
          <w:rFonts w:ascii="Arial" w:cs="Arial" w:eastAsia="Arial" w:hAnsi="Arial"/>
          <w:sz w:val="18"/>
          <w:szCs w:val="18"/>
          <w:color w:val="auto"/>
        </w:rPr>
        <w:t>”) shall be entitled to use the fitness center (the “</w:t>
      </w:r>
      <w:r>
        <w:rPr>
          <w:rFonts w:ascii="Arial" w:cs="Arial" w:eastAsia="Arial" w:hAnsi="Arial"/>
          <w:sz w:val="18"/>
          <w:szCs w:val="18"/>
          <w:b w:val="1"/>
          <w:bCs w:val="1"/>
          <w:color w:val="auto"/>
        </w:rPr>
        <w:t>Fitness Center</w:t>
      </w:r>
      <w:r>
        <w:rPr>
          <w:rFonts w:ascii="Arial" w:cs="Arial" w:eastAsia="Arial" w:hAnsi="Arial"/>
          <w:sz w:val="18"/>
          <w:szCs w:val="18"/>
          <w:color w:val="auto"/>
        </w:rPr>
        <w:t>”) in the building located at 201 Redwood Shores, Redwood City,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California. The use of the Fitness Center shall be subject to the reasonable rules and regulations (including rules regarding hours of use) established from time to time by Landlord for the Fitness Center. Landlord and Tenant acknowledge that the use of the Fitness Center by the Fitness Center Users shall be at their own risk and that the terms and provisions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Lease shall apply to Tenant and the Fitness Center User’s use of the Fitness Center. The costs of operating, maintaining and repairing the Fitness Center may be included as part of Expenses. Tenant acknowledges that the provisions of this Section shall not be deemed to be a representation by Landlord that Landlord shall continuously maintain the Fitness Center (or any other fitness facility) throughout the Term of this Lease, and Landlord shall have the right, at Landlord’s sole discretion, to expand, contract, eliminate or otherwise modify the Fitness Center. In addition, in the event Landlord no longer owns the building located at 201 Redwood Shores, Redwood City, California, the rights of Tenant and the users of the Fitness Center to use the Fitness Center may, at Landlord’s option, be terminated. No expansion, contraction, elimination or modification of the Fitness Center, and no termination of Tenant’s or the Fitness Center Users’ rights to the Fitness Center shall entitle Tenant to an abatement or reduction in Rent, or constitute a constructive eviction, or result in an event of default by Landlord under this Lease.</w:t>
      </w:r>
    </w:p>
    <w:p>
      <w:pPr>
        <w:spacing w:after="0" w:line="169" w:lineRule="exact"/>
        <w:rPr>
          <w:sz w:val="20"/>
          <w:szCs w:val="20"/>
          <w:color w:val="auto"/>
        </w:rPr>
      </w:pPr>
    </w:p>
    <w:p>
      <w:pPr>
        <w:jc w:val="both"/>
        <w:ind w:firstLine="562"/>
        <w:spacing w:after="0" w:line="267" w:lineRule="auto"/>
        <w:rPr>
          <w:sz w:val="20"/>
          <w:szCs w:val="20"/>
          <w:color w:val="auto"/>
        </w:rPr>
      </w:pPr>
      <w:r>
        <w:rPr>
          <w:rFonts w:ascii="Arial" w:cs="Arial" w:eastAsia="Arial" w:hAnsi="Arial"/>
          <w:sz w:val="20"/>
          <w:szCs w:val="20"/>
          <w:color w:val="auto"/>
        </w:rPr>
        <w:t xml:space="preserve">25.14 </w:t>
      </w:r>
      <w:r>
        <w:rPr>
          <w:rFonts w:ascii="Arial" w:cs="Arial" w:eastAsia="Arial" w:hAnsi="Arial"/>
          <w:sz w:val="20"/>
          <w:szCs w:val="20"/>
          <w:b w:val="1"/>
          <w:bCs w:val="1"/>
          <w:color w:val="auto"/>
        </w:rPr>
        <w:t>Shower Facility</w:t>
      </w:r>
      <w:r>
        <w:rPr>
          <w:rFonts w:ascii="Arial" w:cs="Arial" w:eastAsia="Arial" w:hAnsi="Arial"/>
          <w:sz w:val="20"/>
          <w:szCs w:val="20"/>
          <w:color w:val="auto"/>
        </w:rPr>
        <w:t xml:space="preserve">. Subject to the provisions of this </w:t>
      </w:r>
      <w:r>
        <w:rPr>
          <w:rFonts w:ascii="Arial" w:cs="Arial" w:eastAsia="Arial" w:hAnsi="Arial"/>
          <w:sz w:val="20"/>
          <w:szCs w:val="20"/>
          <w:u w:val="single" w:color="auto"/>
          <w:color w:val="auto"/>
        </w:rPr>
        <w:t>Section 25.14</w:t>
      </w:r>
      <w:r>
        <w:rPr>
          <w:rFonts w:ascii="Arial" w:cs="Arial" w:eastAsia="Arial" w:hAnsi="Arial"/>
          <w:sz w:val="20"/>
          <w:szCs w:val="20"/>
          <w:color w:val="auto"/>
        </w:rPr>
        <w:t>, Tenant employees (the “</w:t>
      </w:r>
      <w:r>
        <w:rPr>
          <w:rFonts w:ascii="Arial" w:cs="Arial" w:eastAsia="Arial" w:hAnsi="Arial"/>
          <w:sz w:val="20"/>
          <w:szCs w:val="20"/>
          <w:b w:val="1"/>
          <w:bCs w:val="1"/>
          <w:color w:val="auto"/>
        </w:rPr>
        <w:t>Shower Users</w:t>
      </w:r>
      <w:r>
        <w:rPr>
          <w:rFonts w:ascii="Arial" w:cs="Arial" w:eastAsia="Arial" w:hAnsi="Arial"/>
          <w:sz w:val="20"/>
          <w:szCs w:val="20"/>
          <w:color w:val="auto"/>
        </w:rPr>
        <w:t>”) shall be entitled to use the shower facility (the “</w:t>
      </w:r>
      <w:r>
        <w:rPr>
          <w:rFonts w:ascii="Arial" w:cs="Arial" w:eastAsia="Arial" w:hAnsi="Arial"/>
          <w:sz w:val="20"/>
          <w:szCs w:val="20"/>
          <w:b w:val="1"/>
          <w:bCs w:val="1"/>
          <w:color w:val="auto"/>
        </w:rPr>
        <w:t>Shower Facility</w:t>
      </w:r>
      <w:r>
        <w:rPr>
          <w:rFonts w:ascii="Arial" w:cs="Arial" w:eastAsia="Arial" w:hAnsi="Arial"/>
          <w:sz w:val="20"/>
          <w:szCs w:val="20"/>
          <w:color w:val="auto"/>
        </w:rPr>
        <w:t>”) in the building located at 201 Redwood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509"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8"/>
          <w:szCs w:val="18"/>
          <w:color w:val="auto"/>
        </w:rPr>
        <w:t xml:space="preserve">Shores, Redwood City, California. The use of the Shower Facility shall be subject to the reasonable rules and regulations (including rules regarding hours of use) established from time to time by Landlord for the Shower Facility. Landlord and Tenant acknowledge that the use of the Shower Facility by the Shower Users shall be at their own risk and that the terms and provisions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Lease shall apply to Tenant and the Shower User’s use of the Shower Facility. The costs of operating, maintaining and repairing the Shower Facility shall be included as part of Expenses. Tenant acknowledges that the provisions of this Section shall not be deemed to be a representation by Landlord that Landlord shall continuously maintain the Shower Facility throughout the Term, and Landlord shall have the right, at Landlord’s sole discretion, to expand, contract, eliminate or otherwise modify the Shower Facility. In addition, in the event Landlord no longer owns the building located at 201 Redwood Shores, Redwood City, California, the rights of Tenant and the users of the Shower Facility to use the Shower Facility may, at Landlord’s option, be terminated. No expansion, contraction, elimination or modification of the Shower Facility, and no termination of Tenant’s or the Shower User’s rights to the Shower Facility shall entitle Tenant to an abatement or reduction in Rent, constitute a constructive eviction, or result in an event of default by Landlord under this Lease.</w:t>
      </w:r>
    </w:p>
    <w:p>
      <w:pPr>
        <w:spacing w:after="0" w:line="200" w:lineRule="exact"/>
        <w:rPr>
          <w:sz w:val="20"/>
          <w:szCs w:val="20"/>
          <w:color w:val="auto"/>
        </w:rPr>
      </w:pPr>
    </w:p>
    <w:p>
      <w:pPr>
        <w:spacing w:after="0" w:line="396"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[SIGNATURES ARE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1" w:name="page42"/>
    <w:bookmarkEnd w:id="41"/>
    <w:p>
      <w:pPr>
        <w:ind w:left="760"/>
        <w:spacing w:after="0"/>
        <w:rPr>
          <w:sz w:val="20"/>
          <w:szCs w:val="20"/>
          <w:color w:val="auto"/>
        </w:rPr>
      </w:pPr>
      <w:r>
        <w:rPr>
          <w:rFonts w:ascii="Arial" w:cs="Arial" w:eastAsia="Arial" w:hAnsi="Arial"/>
          <w:sz w:val="16"/>
          <w:szCs w:val="16"/>
          <w:color w:val="auto"/>
        </w:rPr>
        <w:t>IN WITNESS WHEREOF, Landlord and Tenant have caused this Lease to be executed the day and date first above written.</w:t>
      </w:r>
    </w:p>
    <w:p>
      <w:pPr>
        <w:spacing w:after="0" w:line="200" w:lineRule="exact"/>
        <w:rPr>
          <w:sz w:val="20"/>
          <w:szCs w:val="20"/>
          <w:color w:val="auto"/>
        </w:rPr>
      </w:pPr>
    </w:p>
    <w:p>
      <w:pPr>
        <w:spacing w:after="0" w:line="278" w:lineRule="exact"/>
        <w:rPr>
          <w:sz w:val="20"/>
          <w:szCs w:val="20"/>
          <w:color w:val="auto"/>
        </w:rPr>
      </w:pPr>
    </w:p>
    <w:p>
      <w:pPr>
        <w:ind w:left="4320"/>
        <w:spacing w:after="0"/>
        <w:rPr>
          <w:sz w:val="20"/>
          <w:szCs w:val="20"/>
          <w:color w:val="auto"/>
        </w:rPr>
      </w:pPr>
      <w:r>
        <w:rPr>
          <w:rFonts w:ascii="Arial" w:cs="Arial" w:eastAsia="Arial" w:hAnsi="Arial"/>
          <w:sz w:val="20"/>
          <w:szCs w:val="20"/>
          <w:u w:val="single" w:color="auto"/>
          <w:color w:val="auto"/>
        </w:rPr>
        <w:t>LANDLORD</w:t>
      </w:r>
      <w:r>
        <w:rPr>
          <w:rFonts w:ascii="Arial" w:cs="Arial" w:eastAsia="Arial" w:hAnsi="Arial"/>
          <w:sz w:val="20"/>
          <w:szCs w:val="20"/>
          <w:color w:val="auto"/>
        </w:rPr>
        <w:t>:</w:t>
      </w:r>
    </w:p>
    <w:p>
      <w:pPr>
        <w:spacing w:after="0" w:line="223"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Hudson Towers at Shore Center, LLC,</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a Delaware limited liability company</w:t>
      </w:r>
    </w:p>
    <w:p>
      <w:pPr>
        <w:spacing w:after="0" w:line="213"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By:Hudson Pacific Properties, L.P.,</w:t>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 Maryland limited partnership,</w:t>
      </w:r>
    </w:p>
    <w:p>
      <w:pPr>
        <w:ind w:left="498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 Hudson Pacific Properties, Inc.,</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 Maryland corporation,</w:t>
      </w:r>
    </w:p>
    <w:p>
      <w:pPr>
        <w:ind w:left="5620"/>
        <w:spacing w:after="0"/>
        <w:rPr>
          <w:sz w:val="20"/>
          <w:szCs w:val="20"/>
          <w:color w:val="auto"/>
        </w:rPr>
      </w:pPr>
      <w:r>
        <w:rPr>
          <w:rFonts w:ascii="Arial" w:cs="Arial" w:eastAsia="Arial" w:hAnsi="Arial"/>
          <w:sz w:val="20"/>
          <w:szCs w:val="20"/>
          <w:color w:val="auto"/>
        </w:rPr>
        <w:t>its general partner</w:t>
      </w:r>
    </w:p>
    <w:p>
      <w:pPr>
        <w:spacing w:after="0" w:line="18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8"/>
              </w:rPr>
              <w:t>/s/ Kenneth Young</w:t>
            </w:r>
          </w:p>
        </w:tc>
        <w:tc>
          <w:tcPr>
            <w:tcW w:w="20" w:type="dxa"/>
            <w:vAlign w:val="bottom"/>
          </w:tcPr>
          <w:p>
            <w:pPr>
              <w:spacing w:after="0"/>
              <w:rPr>
                <w:sz w:val="19"/>
                <w:szCs w:val="19"/>
                <w:color w:val="auto"/>
              </w:rPr>
            </w:pPr>
          </w:p>
        </w:tc>
      </w:tr>
      <w:tr>
        <w:trPr>
          <w:trHeight w:val="210"/>
        </w:trPr>
        <w:tc>
          <w:tcPr>
            <w:tcW w:w="2140" w:type="dxa"/>
            <w:vAlign w:val="bottom"/>
            <w:gridSpan w:val="5"/>
          </w:tcPr>
          <w:p>
            <w:pPr>
              <w:spacing w:after="0" w:line="209" w:lineRule="exact"/>
              <w:rPr>
                <w:sz w:val="20"/>
                <w:szCs w:val="20"/>
                <w:color w:val="auto"/>
              </w:rPr>
            </w:pPr>
            <w:r>
              <w:rPr>
                <w:rFonts w:ascii="Arial" w:cs="Arial" w:eastAsia="Arial" w:hAnsi="Arial"/>
                <w:sz w:val="20"/>
                <w:szCs w:val="20"/>
                <w:color w:val="auto"/>
              </w:rPr>
              <w:t>Name: Kenneth Young</w:t>
            </w: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09"/>
        </w:trPr>
        <w:tc>
          <w:tcPr>
            <w:tcW w:w="620" w:type="dxa"/>
            <w:vAlign w:val="bottom"/>
          </w:tcPr>
          <w:p>
            <w:pPr>
              <w:spacing w:after="0" w:line="209" w:lineRule="exact"/>
              <w:rPr>
                <w:sz w:val="20"/>
                <w:szCs w:val="20"/>
                <w:color w:val="auto"/>
              </w:rPr>
            </w:pPr>
            <w:r>
              <w:rPr>
                <w:rFonts w:ascii="Arial" w:cs="Arial" w:eastAsia="Arial" w:hAnsi="Arial"/>
                <w:sz w:val="20"/>
                <w:szCs w:val="20"/>
                <w:color w:val="auto"/>
              </w:rPr>
              <w:t>Title:</w:t>
            </w:r>
          </w:p>
        </w:tc>
        <w:tc>
          <w:tcPr>
            <w:tcW w:w="1520" w:type="dxa"/>
            <w:vAlign w:val="bottom"/>
            <w:tcBorders>
              <w:bottom w:val="single" w:sz="8" w:color="auto"/>
            </w:tcBorders>
            <w:gridSpan w:val="4"/>
          </w:tcPr>
          <w:p>
            <w:pPr>
              <w:spacing w:after="0" w:line="209" w:lineRule="exact"/>
              <w:rPr>
                <w:sz w:val="20"/>
                <w:szCs w:val="20"/>
                <w:color w:val="auto"/>
              </w:rPr>
            </w:pPr>
            <w:r>
              <w:rPr>
                <w:rFonts w:ascii="Arial" w:cs="Arial" w:eastAsia="Arial" w:hAnsi="Arial"/>
                <w:sz w:val="20"/>
                <w:szCs w:val="20"/>
                <w:color w:val="auto"/>
                <w:w w:val="87"/>
              </w:rPr>
              <w:t>Senior VP, Leasing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5460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20"/>
        <w:spacing w:after="0"/>
        <w:rPr>
          <w:sz w:val="20"/>
          <w:szCs w:val="20"/>
          <w:color w:val="auto"/>
        </w:rPr>
      </w:pPr>
      <w:r>
        <w:rPr>
          <w:rFonts w:ascii="Arial" w:cs="Arial" w:eastAsia="Arial" w:hAnsi="Arial"/>
          <w:sz w:val="20"/>
          <w:szCs w:val="20"/>
          <w:u w:val="single" w:color="auto"/>
          <w:color w:val="auto"/>
        </w:rPr>
        <w:t>TENANT</w:t>
      </w:r>
      <w:r>
        <w:rPr>
          <w:rFonts w:ascii="Arial" w:cs="Arial" w:eastAsia="Arial" w:hAnsi="Arial"/>
          <w:sz w:val="20"/>
          <w:szCs w:val="20"/>
          <w:color w:val="auto"/>
        </w:rPr>
        <w:t>:</w:t>
      </w:r>
    </w:p>
    <w:p>
      <w:pPr>
        <w:spacing w:after="0" w:line="223"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SOLENO THERAPEUTICS, INC.,</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a Delaware corporation</w:t>
      </w:r>
    </w:p>
    <w:p>
      <w:pPr>
        <w:spacing w:after="0" w:line="213"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Anish Bhatnagar</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w:t>
      </w:r>
      <w:r>
        <w:rPr>
          <w:rFonts w:ascii="Arial" w:cs="Arial" w:eastAsia="Arial" w:hAnsi="Arial"/>
          <w:sz w:val="20"/>
          <w:szCs w:val="20"/>
          <w:u w:val="single" w:color="auto"/>
          <w:color w:val="auto"/>
        </w:rPr>
        <w:t>Anish Bhatnagar</w:t>
      </w:r>
    </w:p>
    <w:p>
      <w:pPr>
        <w:ind w:left="4320"/>
        <w:spacing w:after="0"/>
        <w:rPr>
          <w:sz w:val="20"/>
          <w:szCs w:val="20"/>
          <w:color w:val="auto"/>
        </w:rPr>
      </w:pPr>
      <w:r>
        <w:rPr>
          <w:rFonts w:ascii="Arial" w:cs="Arial" w:eastAsia="Arial" w:hAnsi="Arial"/>
          <w:sz w:val="20"/>
          <w:szCs w:val="20"/>
          <w:color w:val="auto"/>
        </w:rPr>
        <w:t>Title:</w:t>
      </w:r>
      <w:r>
        <w:rPr>
          <w:rFonts w:ascii="Arial" w:cs="Arial" w:eastAsia="Arial" w:hAnsi="Arial"/>
          <w:sz w:val="20"/>
          <w:szCs w:val="20"/>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Lease Form_FSG Office_California (YR21)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40"/>
          </w:cols>
          <w:pgMar w:left="320" w:top="555" w:right="10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THE TOWERS @ SHORES CENTER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203 REDWOOD SHORES PARKWAY</w:t>
      </w:r>
    </w:p>
    <w:p>
      <w:pPr>
        <w:jc w:val="center"/>
        <w:ind w:right="-19"/>
        <w:spacing w:after="0"/>
        <w:rPr>
          <w:sz w:val="20"/>
          <w:szCs w:val="20"/>
          <w:color w:val="auto"/>
        </w:rPr>
      </w:pPr>
      <w:r>
        <w:rPr>
          <w:rFonts w:ascii="Arial" w:cs="Arial" w:eastAsia="Arial" w:hAnsi="Arial"/>
          <w:sz w:val="20"/>
          <w:szCs w:val="20"/>
          <w:b w:val="1"/>
          <w:bCs w:val="1"/>
          <w:color w:val="auto"/>
        </w:rPr>
        <w:t>REDWOOD CITY,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OUTLINE OF PREMISES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Exhibit "A" is provided for informational purposes only and is intended to be only an approximation of the layout of the Premises and shall not be deemed to constitute any representation by Landlord as to the exact layout or configuration of the Premises.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THE TOWERS @ SHORES CENTER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203 REDWOOD SHORES PARKWAY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REDWOOD CITY, CALIFORNIA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335915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THE TOWERS @ SHORES CENTER</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203 REDWOOD SHORES PARKWAY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REDWOOD CITY,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CONFIRMATION LETTER</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20"/>
          <w:szCs w:val="20"/>
          <w:color w:val="auto"/>
        </w:rPr>
        <w:t>_____________________, 20__</w:t>
      </w:r>
    </w:p>
    <w:p>
      <w:pPr>
        <w:sectPr>
          <w:pgSz w:w="11900" w:h="16838" w:orient="portrait"/>
          <w:cols w:equalWidth="0" w:num="1">
            <w:col w:w="11240"/>
          </w:cols>
          <w:pgMar w:left="320" w:top="549" w:right="3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 w:lineRule="exact"/>
        <w:rPr>
          <w:sz w:val="20"/>
          <w:szCs w:val="20"/>
          <w:color w:val="auto"/>
        </w:rPr>
      </w:pPr>
    </w:p>
    <w:p>
      <w:pPr>
        <w:ind w:left="700"/>
        <w:spacing w:after="0"/>
        <w:tabs>
          <w:tab w:leader="none" w:pos="1360" w:val="left"/>
          <w:tab w:leader="none" w:pos="2020" w:val="left"/>
        </w:tabs>
        <w:rPr>
          <w:sz w:val="20"/>
          <w:szCs w:val="20"/>
          <w:color w:val="auto"/>
        </w:rPr>
      </w:pPr>
      <w:r>
        <w:rPr>
          <w:rFonts w:ascii="Arial" w:cs="Arial" w:eastAsia="Arial" w:hAnsi="Arial"/>
          <w:sz w:val="20"/>
          <w:szCs w:val="20"/>
          <w:color w:val="auto"/>
        </w:rPr>
        <w:t>Office</w:t>
        <w:tab/>
        <w:t>Lease</w:t>
      </w:r>
      <w:r>
        <w:rPr>
          <w:sz w:val="20"/>
          <w:szCs w:val="20"/>
          <w:color w:val="auto"/>
        </w:rPr>
        <w:tab/>
      </w:r>
      <w:r>
        <w:rPr>
          <w:rFonts w:ascii="Arial" w:cs="Arial" w:eastAsia="Arial" w:hAnsi="Arial"/>
          <w:sz w:val="18"/>
          <w:szCs w:val="18"/>
          <w:color w:val="auto"/>
        </w:rPr>
        <w:t>(the</w:t>
      </w:r>
    </w:p>
    <w:p>
      <w:pPr>
        <w:spacing w:after="0"/>
        <w:rPr>
          <w:sz w:val="20"/>
          <w:szCs w:val="20"/>
          <w:color w:val="auto"/>
        </w:rPr>
      </w:pPr>
      <w:r>
        <w:rPr>
          <w:rFonts w:ascii="Arial" w:cs="Arial" w:eastAsia="Arial" w:hAnsi="Arial"/>
          <w:sz w:val="16"/>
          <w:szCs w:val="16"/>
          <w:color w:val="auto"/>
        </w:rPr>
        <w:t>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concerning Suite _____ 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dated</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Landlord</w:t>
      </w:r>
      <w:r>
        <w:rPr>
          <w:rFonts w:ascii="Arial" w:cs="Arial" w:eastAsia="Arial" w:hAnsi="Arial"/>
          <w:sz w:val="19"/>
          <w:szCs w:val="19"/>
          <w:color w:val="auto"/>
        </w:rPr>
        <w:t>”), and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the _______ floor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72"/>
        <w:spacing w:after="0" w:line="291" w:lineRule="auto"/>
        <w:rPr>
          <w:sz w:val="20"/>
          <w:szCs w:val="20"/>
          <w:color w:val="auto"/>
        </w:rPr>
      </w:pPr>
      <w:r>
        <w:rPr>
          <w:rFonts w:ascii="Arial" w:cs="Arial" w:eastAsia="Arial" w:hAnsi="Arial"/>
          <w:sz w:val="18"/>
          <w:szCs w:val="18"/>
          <w:color w:val="auto"/>
        </w:rPr>
        <w:t>______________, 20____, between ___________________________, a ______________________________, a _____________________ (“</w:t>
      </w:r>
      <w:r>
        <w:rPr>
          <w:rFonts w:ascii="Arial" w:cs="Arial" w:eastAsia="Arial" w:hAnsi="Arial"/>
          <w:sz w:val="18"/>
          <w:szCs w:val="18"/>
          <w:b w:val="1"/>
          <w:bCs w:val="1"/>
          <w:color w:val="auto"/>
        </w:rPr>
        <w:t>Tenant</w:t>
      </w:r>
      <w:r>
        <w:rPr>
          <w:rFonts w:ascii="Arial" w:cs="Arial" w:eastAsia="Arial" w:hAnsi="Arial"/>
          <w:sz w:val="18"/>
          <w:szCs w:val="18"/>
          <w:color w:val="auto"/>
        </w:rPr>
        <w:t>”), of the building located at ___________________, _____________________</w:t>
      </w:r>
    </w:p>
    <w:p>
      <w:pPr>
        <w:spacing w:after="0" w:line="381" w:lineRule="exact"/>
        <w:rPr>
          <w:sz w:val="20"/>
          <w:szCs w:val="20"/>
          <w:color w:val="auto"/>
        </w:rPr>
      </w:pPr>
    </w:p>
    <w:p>
      <w:pPr>
        <w:sectPr>
          <w:pgSz w:w="11900" w:h="16838" w:orient="portrait"/>
          <w:cols w:equalWidth="0" w:num="4">
            <w:col w:w="340" w:space="420"/>
            <w:col w:w="2360" w:space="40"/>
            <w:col w:w="1600" w:space="40"/>
            <w:col w:w="6440"/>
          </w:cols>
          <w:pgMar w:left="320" w:top="549" w:right="339" w:bottom="1440" w:gutter="0" w:footer="0" w:header="0"/>
          <w:type w:val="continuous"/>
        </w:sectPr>
      </w:pPr>
    </w:p>
    <w:p>
      <w:pPr>
        <w:spacing w:after="0"/>
        <w:rPr>
          <w:sz w:val="20"/>
          <w:szCs w:val="20"/>
          <w:color w:val="auto"/>
        </w:rPr>
      </w:pPr>
      <w:r>
        <w:rPr>
          <w:rFonts w:ascii="Arial" w:cs="Arial" w:eastAsia="Arial" w:hAnsi="Arial"/>
          <w:sz w:val="20"/>
          <w:szCs w:val="20"/>
          <w:color w:val="auto"/>
        </w:rPr>
        <w:t>Dear _________________:</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In accordance with the Lease, Tenant accepts possession of the Premises and confirms the following:</w:t>
      </w:r>
    </w:p>
    <w:p>
      <w:pPr>
        <w:spacing w:after="0" w:line="216" w:lineRule="exact"/>
        <w:rPr>
          <w:sz w:val="20"/>
          <w:szCs w:val="20"/>
          <w:color w:val="auto"/>
        </w:rPr>
      </w:pPr>
    </w:p>
    <w:p>
      <w:pPr>
        <w:ind w:left="1500" w:hanging="750"/>
        <w:spacing w:after="0"/>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Commencement Date is _____________ and the Expiration Date is _______________.</w:t>
      </w:r>
    </w:p>
    <w:p>
      <w:pPr>
        <w:spacing w:after="0" w:line="215" w:lineRule="exact"/>
        <w:rPr>
          <w:rFonts w:ascii="Arial" w:cs="Arial" w:eastAsia="Arial" w:hAnsi="Arial"/>
          <w:sz w:val="20"/>
          <w:szCs w:val="20"/>
          <w:color w:val="auto"/>
        </w:rPr>
      </w:pPr>
    </w:p>
    <w:p>
      <w:pPr>
        <w:ind w:left="1500" w:hanging="750"/>
        <w:spacing w:after="0"/>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exact number of rentable square feet within the Premises is _________ square feet.</w:t>
      </w:r>
    </w:p>
    <w:p>
      <w:pPr>
        <w:spacing w:after="0" w:line="215" w:lineRule="exact"/>
        <w:rPr>
          <w:rFonts w:ascii="Arial" w:cs="Arial" w:eastAsia="Arial" w:hAnsi="Arial"/>
          <w:sz w:val="20"/>
          <w:szCs w:val="20"/>
          <w:color w:val="auto"/>
        </w:rPr>
      </w:pPr>
    </w:p>
    <w:p>
      <w:pPr>
        <w:ind w:left="1500" w:hanging="750"/>
        <w:spacing w:after="0"/>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Tenant’s Share, based upon the exact number of rentable square feet within the Premises.</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Please acknowledge the foregoing by signing all three (3) counterparts of this letter in the space provided below and returning two (2) fully executed counterparts to my attention. Please note that, pursuant to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of the Lease, if Tenant fails to execute and return (or, by notice to Landlord, reasonably object to) this letter within 10 business days after receiving it, Tenant shall be deemed to have executed and returned it without exception.</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“Landlord”:</w:t>
      </w: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_______________________________,</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a ________________________</w:t>
      </w: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w:t>
      </w:r>
    </w:p>
    <w:p>
      <w:pPr>
        <w:ind w:left="4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20"/>
                <w:szCs w:val="20"/>
                <w:color w:val="auto"/>
                <w:w w:val="90"/>
              </w:rPr>
              <w:t>Agreed and Accepted as of</w:t>
            </w:r>
          </w:p>
        </w:tc>
        <w:tc>
          <w:tcPr>
            <w:tcW w:w="1140" w:type="dxa"/>
            <w:vAlign w:val="bottom"/>
            <w:gridSpan w:val="4"/>
          </w:tcPr>
          <w:p>
            <w:pPr>
              <w:jc w:val="right"/>
              <w:spacing w:after="0"/>
              <w:rPr>
                <w:sz w:val="20"/>
                <w:szCs w:val="20"/>
                <w:color w:val="auto"/>
              </w:rPr>
            </w:pPr>
            <w:r>
              <w:rPr>
                <w:rFonts w:ascii="Arial" w:cs="Arial" w:eastAsia="Arial" w:hAnsi="Arial"/>
                <w:sz w:val="20"/>
                <w:szCs w:val="20"/>
                <w:color w:val="auto"/>
              </w:rPr>
              <w:t>, 20 .</w:t>
            </w:r>
          </w:p>
        </w:tc>
      </w:tr>
      <w:tr>
        <w:trPr>
          <w:trHeight w:val="20"/>
        </w:trPr>
        <w:tc>
          <w:tcPr>
            <w:tcW w:w="2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________________________</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20"/>
          <w:szCs w:val="20"/>
          <w:b w:val="1"/>
          <w:bCs w:val="1"/>
          <w:u w:val="single" w:color="auto"/>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THE TOWERS @ SHORES CENTER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203 REDWOOD SHORES PARKWAY</w:t>
      </w:r>
    </w:p>
    <w:p>
      <w:pPr>
        <w:jc w:val="center"/>
        <w:spacing w:after="0"/>
        <w:rPr>
          <w:sz w:val="20"/>
          <w:szCs w:val="20"/>
          <w:color w:val="auto"/>
        </w:rPr>
      </w:pPr>
      <w:r>
        <w:rPr>
          <w:rFonts w:ascii="Arial" w:cs="Arial" w:eastAsia="Arial" w:hAnsi="Arial"/>
          <w:sz w:val="20"/>
          <w:szCs w:val="20"/>
          <w:b w:val="1"/>
          <w:bCs w:val="1"/>
          <w:color w:val="auto"/>
        </w:rPr>
        <w:t>REDWOOD CITY, CALIFORNIA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RULES AND REGULATIONS</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Tenant shall comply with the following rules and regulations (as modified or supplemented from time to time, the “</w:t>
      </w:r>
      <w:r>
        <w:rPr>
          <w:rFonts w:ascii="Arial" w:cs="Arial" w:eastAsia="Arial" w:hAnsi="Arial"/>
          <w:sz w:val="20"/>
          <w:szCs w:val="20"/>
          <w:b w:val="1"/>
          <w:bCs w:val="1"/>
          <w:color w:val="auto"/>
        </w:rPr>
        <w:t>Rules and</w:t>
      </w:r>
      <w:r>
        <w:rPr>
          <w:rFonts w:ascii="Arial" w:cs="Arial" w:eastAsia="Arial" w:hAnsi="Arial"/>
          <w:sz w:val="20"/>
          <w:szCs w:val="20"/>
          <w:color w:val="auto"/>
        </w:rPr>
        <w:t xml:space="preserve"> </w:t>
      </w:r>
      <w:r>
        <w:rPr>
          <w:rFonts w:ascii="Arial" w:cs="Arial" w:eastAsia="Arial" w:hAnsi="Arial"/>
          <w:sz w:val="20"/>
          <w:szCs w:val="20"/>
          <w:b w:val="1"/>
          <w:bCs w:val="1"/>
          <w:color w:val="auto"/>
        </w:rPr>
        <w:t>Regulations</w:t>
      </w:r>
      <w:r>
        <w:rPr>
          <w:rFonts w:ascii="Arial" w:cs="Arial" w:eastAsia="Arial" w:hAnsi="Arial"/>
          <w:sz w:val="20"/>
          <w:szCs w:val="20"/>
          <w:color w:val="auto"/>
        </w:rPr>
        <w:t>”). Landlord shall not be responsible to Tenant for the nonperformance of any of the Rules and Regulations by any other tenants</w:t>
      </w:r>
      <w:r>
        <w:rPr>
          <w:rFonts w:ascii="Arial" w:cs="Arial" w:eastAsia="Arial" w:hAnsi="Arial"/>
          <w:sz w:val="20"/>
          <w:szCs w:val="20"/>
          <w:b w:val="1"/>
          <w:bCs w:val="1"/>
          <w:color w:val="auto"/>
        </w:rPr>
        <w:t xml:space="preserve"> </w:t>
      </w:r>
      <w:r>
        <w:rPr>
          <w:rFonts w:ascii="Arial" w:cs="Arial" w:eastAsia="Arial" w:hAnsi="Arial"/>
          <w:sz w:val="20"/>
          <w:szCs w:val="20"/>
          <w:color w:val="auto"/>
        </w:rPr>
        <w:t>or occupants of the Project. In the event of any conflict between the Rules and Regulations and the other provisions of this Lease, the latter shall control.</w:t>
      </w:r>
    </w:p>
    <w:p>
      <w:pPr>
        <w:spacing w:after="0" w:line="189" w:lineRule="exact"/>
        <w:rPr>
          <w:sz w:val="20"/>
          <w:szCs w:val="20"/>
          <w:color w:val="auto"/>
        </w:rPr>
      </w:pPr>
    </w:p>
    <w:p>
      <w:pPr>
        <w:jc w:val="both"/>
        <w:ind w:left="760" w:hanging="703"/>
        <w:spacing w:after="0" w:line="276"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Tenant shall not alter any lock or install any new or additional locks or bolts on any doors or windows of the Premises without obtaining Landlord’s prior consent. Tenant shall bear the cost of any lock changes or repairs required by Tenant. Five (5)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furnished to or otherwise procured by Tenant, and if any such keys are lost, Tenant shall pay Landlord the cost of replacing them or of changing the applicable locks if Landlord deems such changes necessary.</w:t>
      </w:r>
    </w:p>
    <w:p>
      <w:pPr>
        <w:spacing w:after="0" w:line="164" w:lineRule="exact"/>
        <w:rPr>
          <w:rFonts w:ascii="Arial" w:cs="Arial" w:eastAsia="Arial" w:hAnsi="Arial"/>
          <w:sz w:val="18"/>
          <w:szCs w:val="18"/>
          <w:color w:val="auto"/>
        </w:rPr>
      </w:pPr>
    </w:p>
    <w:p>
      <w:pPr>
        <w:ind w:left="1460" w:hanging="1403"/>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doors opening to public corridors shall be kept closed at all times except for normal ingress and egress to the Premises.</w:t>
      </w:r>
    </w:p>
    <w:p>
      <w:pPr>
        <w:spacing w:after="0" w:line="238" w:lineRule="exact"/>
        <w:rPr>
          <w:rFonts w:ascii="Arial" w:cs="Arial" w:eastAsia="Arial" w:hAnsi="Arial"/>
          <w:sz w:val="18"/>
          <w:szCs w:val="18"/>
          <w:color w:val="auto"/>
        </w:rPr>
      </w:pPr>
    </w:p>
    <w:p>
      <w:pPr>
        <w:jc w:val="both"/>
        <w:ind w:left="760" w:hanging="703"/>
        <w:spacing w:after="0" w:line="255" w:lineRule="auto"/>
        <w:tabs>
          <w:tab w:leader="none" w:pos="14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Landlord may close and keep locked all entrance and exit doors of the Building during such hours as are customary for Comparable Buildings. Tenant shall cause its employees, agents, contractors, invitees and licensees who use Building doors during such hours to securely close and lock them after such use. Any person entering or leaving the Building during such hours, or when the Building doors are otherwise locked, may be required to sign the Building register (if applicable), and access to the Building may be refused unless such person has proper identification or has a previously arranged access pass. Landlord will furnish passes to persons for whom Tenant requests them. Tenant shall be responsible for all persons for whom Tenant requests passes and shall be liable to Landlord for all acts of such persons. Landlord and its agents shall not be liable for damages for any error with regard to the admission or exclusion of any person to or from the Building. In case of invasion, mob, riot, evacuation, public excitement or other commotion, Landlord may prevent access to the Building or the Project during the continuance thereof by any means it deems appropriate for the safety and protection of life and property.</w:t>
      </w:r>
    </w:p>
    <w:p>
      <w:pPr>
        <w:spacing w:after="0" w:line="189" w:lineRule="exact"/>
        <w:rPr>
          <w:rFonts w:ascii="Arial" w:cs="Arial" w:eastAsia="Arial" w:hAnsi="Arial"/>
          <w:sz w:val="19"/>
          <w:szCs w:val="19"/>
          <w:color w:val="auto"/>
        </w:rPr>
      </w:pPr>
    </w:p>
    <w:p>
      <w:pPr>
        <w:jc w:val="both"/>
        <w:ind w:left="760" w:hanging="703"/>
        <w:spacing w:after="0" w:line="257" w:lineRule="auto"/>
        <w:tabs>
          <w:tab w:leader="none" w:pos="14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No furniture, freight or equipment shall be brought into the Building without prior notice to Landlord. All moving activity into or out of the Building shall be scheduled with Landlord and done only at such time and in such manner as Landlord designates. Landlord may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Any damage to the Building, its contents, occupants or invitees resulting from Tenant’s moving or maintaining any such safe or other heavy property shall be the sole responsibility and expense of Tenant (notwithstanding </w:t>
      </w:r>
      <w:r>
        <w:rPr>
          <w:rFonts w:ascii="Arial" w:cs="Arial" w:eastAsia="Arial" w:hAnsi="Arial"/>
          <w:sz w:val="19"/>
          <w:szCs w:val="19"/>
          <w:u w:val="single" w:color="auto"/>
          <w:color w:val="auto"/>
        </w:rPr>
        <w:t>Sections 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10.4</w:t>
      </w:r>
      <w:r>
        <w:rPr>
          <w:rFonts w:ascii="Arial" w:cs="Arial" w:eastAsia="Arial" w:hAnsi="Arial"/>
          <w:sz w:val="19"/>
          <w:szCs w:val="19"/>
          <w:color w:val="auto"/>
        </w:rPr>
        <w:t xml:space="preserve"> of this Lease).</w:t>
      </w:r>
    </w:p>
    <w:p>
      <w:pPr>
        <w:spacing w:after="0" w:line="180" w:lineRule="exact"/>
        <w:rPr>
          <w:rFonts w:ascii="Arial" w:cs="Arial" w:eastAsia="Arial" w:hAnsi="Arial"/>
          <w:sz w:val="19"/>
          <w:szCs w:val="19"/>
          <w:color w:val="auto"/>
        </w:rPr>
      </w:pPr>
    </w:p>
    <w:p>
      <w:pPr>
        <w:ind w:left="760" w:hanging="703"/>
        <w:spacing w:after="0" w:line="316"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furniture, packages, supplies, equipment or merchandise will be received in the Building or carried up or down in the elevators, except between such hours, in such specific elevator and by such personnel as shall be designated by Landlord.</w:t>
      </w:r>
    </w:p>
    <w:p>
      <w:pPr>
        <w:spacing w:after="0" w:line="129" w:lineRule="exact"/>
        <w:rPr>
          <w:rFonts w:ascii="Arial" w:cs="Arial" w:eastAsia="Arial" w:hAnsi="Arial"/>
          <w:sz w:val="18"/>
          <w:szCs w:val="18"/>
          <w:color w:val="auto"/>
        </w:rPr>
      </w:pPr>
    </w:p>
    <w:p>
      <w:pPr>
        <w:ind w:left="760" w:hanging="703"/>
        <w:spacing w:after="0" w:line="260" w:lineRule="auto"/>
        <w:tabs>
          <w:tab w:leader="none" w:pos="1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Employees of Landlord shall not perform any work or do anything outside their regular duties unless under special instructions from Landlord.</w:t>
      </w:r>
    </w:p>
    <w:p>
      <w:pPr>
        <w:spacing w:after="0" w:line="176" w:lineRule="exact"/>
        <w:rPr>
          <w:rFonts w:ascii="Arial" w:cs="Arial" w:eastAsia="Arial" w:hAnsi="Arial"/>
          <w:sz w:val="20"/>
          <w:szCs w:val="20"/>
          <w:color w:val="auto"/>
        </w:rPr>
      </w:pPr>
    </w:p>
    <w:p>
      <w:pPr>
        <w:jc w:val="both"/>
        <w:ind w:left="760" w:hanging="703"/>
        <w:spacing w:after="0" w:line="250" w:lineRule="auto"/>
        <w:tabs>
          <w:tab w:leader="none" w:pos="1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 sign, advertisement, notice or handbill shall be exhibited, distributed, painted or affixed by Tenant on any part of the Premises or the Building without Landlord’s prior consent. Tenant shall not disturb, solicit, peddle or canvass any occupant of the Project.</w:t>
      </w:r>
    </w:p>
    <w:p>
      <w:pPr>
        <w:spacing w:after="0" w:line="185" w:lineRule="exact"/>
        <w:rPr>
          <w:rFonts w:ascii="Arial" w:cs="Arial" w:eastAsia="Arial" w:hAnsi="Arial"/>
          <w:sz w:val="20"/>
          <w:szCs w:val="20"/>
          <w:color w:val="auto"/>
        </w:rPr>
      </w:pPr>
    </w:p>
    <w:p>
      <w:pPr>
        <w:jc w:val="both"/>
        <w:ind w:left="760" w:hanging="703"/>
        <w:spacing w:after="0" w:line="246" w:lineRule="auto"/>
        <w:tabs>
          <w:tab w:leader="none" w:pos="1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The toilet rooms, urinals, wash bowls and other apparatus shall not be used for any purpose other than that for which they were constructed, and no foreign substance shall be thrown therein. Notwithstanding </w:t>
      </w:r>
      <w:r>
        <w:rPr>
          <w:rFonts w:ascii="Arial" w:cs="Arial" w:eastAsia="Arial" w:hAnsi="Arial"/>
          <w:sz w:val="20"/>
          <w:szCs w:val="20"/>
          <w:u w:val="single" w:color="auto"/>
          <w:color w:val="auto"/>
        </w:rPr>
        <w:t>Sections 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10.4</w:t>
      </w:r>
      <w:r>
        <w:rPr>
          <w:rFonts w:ascii="Arial" w:cs="Arial" w:eastAsia="Arial" w:hAnsi="Arial"/>
          <w:sz w:val="20"/>
          <w:szCs w:val="20"/>
          <w:color w:val="auto"/>
        </w:rPr>
        <w:t xml:space="preserve"> of this Lease, Tenant shall bear the expense of any breakage, stoppage or damage resulting from any violation of this rule by Tenant or any of its employees, agents, contractors, invitees or licensees.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jc w:val="both"/>
        <w:ind w:left="703" w:hanging="703"/>
        <w:spacing w:after="0" w:line="269" w:lineRule="auto"/>
        <w:tabs>
          <w:tab w:leader="none" w:pos="1402" w:val="left"/>
        </w:tabs>
        <w:numPr>
          <w:ilvl w:val="0"/>
          <w:numId w:val="33"/>
        </w:numPr>
        <w:rPr>
          <w:rFonts w:ascii="Arial" w:cs="Arial" w:eastAsia="Arial" w:hAnsi="Arial"/>
          <w:sz w:val="19"/>
          <w:szCs w:val="19"/>
          <w:color w:val="auto"/>
        </w:rPr>
      </w:pPr>
      <w:r>
        <w:rPr>
          <w:rFonts w:ascii="Arial" w:cs="Arial" w:eastAsia="Arial" w:hAnsi="Arial"/>
          <w:sz w:val="19"/>
          <w:szCs w:val="19"/>
          <w:color w:val="auto"/>
        </w:rPr>
        <w:t>Tenant shall not overload the floor of the Premises, or mark, drive nails or screws or drill into the partitions, woodwork or drywall of the Premises, or otherwise deface the Premises, without Landlord’s prior consent. Tenant shall not purchase bottled water, ice, towel, linen, maintenance or other like services from any person not approved by Landlord.</w:t>
      </w:r>
    </w:p>
    <w:p>
      <w:pPr>
        <w:spacing w:after="0" w:line="169" w:lineRule="exact"/>
        <w:rPr>
          <w:rFonts w:ascii="Arial" w:cs="Arial" w:eastAsia="Arial" w:hAnsi="Arial"/>
          <w:sz w:val="19"/>
          <w:szCs w:val="19"/>
          <w:color w:val="auto"/>
        </w:rPr>
      </w:pPr>
    </w:p>
    <w:p>
      <w:pPr>
        <w:jc w:val="both"/>
        <w:ind w:left="703" w:right="20" w:hanging="703"/>
        <w:spacing w:after="0" w:line="250" w:lineRule="auto"/>
        <w:tabs>
          <w:tab w:leader="none" w:pos="14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Except for snack and soft drink vending machines at locations within the Premises reasonably approved by Landlord and intended for the sole use of Tenant’s employees and invitees, no vending machine shall be installed, maintained or operated in the Premises without Landlord’s prior consent.</w:t>
      </w:r>
    </w:p>
    <w:p>
      <w:pPr>
        <w:spacing w:after="0" w:line="185" w:lineRule="exact"/>
        <w:rPr>
          <w:rFonts w:ascii="Arial" w:cs="Arial" w:eastAsia="Arial" w:hAnsi="Arial"/>
          <w:sz w:val="20"/>
          <w:szCs w:val="20"/>
          <w:color w:val="auto"/>
        </w:rPr>
      </w:pPr>
    </w:p>
    <w:p>
      <w:pPr>
        <w:jc w:val="both"/>
        <w:ind w:left="703" w:hanging="703"/>
        <w:spacing w:after="0" w:line="272" w:lineRule="auto"/>
        <w:tabs>
          <w:tab w:leader="none" w:pos="14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Tenant shall not, without Landlord’s prior consent, use, store, install, disturb, spill, remove, release or dispose of, within or about the Premises or any other portion of the Project, any asbestos-containing materials, any solid, liquid or gaseous material now or subsequently considered toxic or hazardous under the provisions of 42 U.S.C. Section 9601 et seq. or any other applicable environmental Law, or any inflammable, explosive or dangerous fluid or substance; provided, however, that Tenant may use, store and dispose of such substances in such amounts as are typically found in similar premises used for general office purposes provided that such use, storage and disposal does not damage any part of the Premises, Building or Project and is performed in a safe manner and in accordance with all Laws. Tenant shall comply with all Laws pertaining to and governing the use of such materials by Tenant and shall remain solely liable for the costs of abatement and removal. No burning candle or other open flame shall be ignited or kept by Tenant in or about the Premises, Building or Project.</w:t>
      </w:r>
    </w:p>
    <w:p>
      <w:pPr>
        <w:spacing w:after="0" w:line="170" w:lineRule="exact"/>
        <w:rPr>
          <w:rFonts w:ascii="Arial" w:cs="Arial" w:eastAsia="Arial" w:hAnsi="Arial"/>
          <w:sz w:val="18"/>
          <w:szCs w:val="18"/>
          <w:color w:val="auto"/>
        </w:rPr>
      </w:pPr>
    </w:p>
    <w:p>
      <w:pPr>
        <w:ind w:left="703" w:hanging="703"/>
        <w:spacing w:after="0" w:line="260" w:lineRule="auto"/>
        <w:tabs>
          <w:tab w:leader="none" w:pos="14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Tenant shall not, without Landlord’s prior consent, use any method of heating or air conditioning other than that supplied by Landlord.</w:t>
      </w:r>
    </w:p>
    <w:p>
      <w:pPr>
        <w:spacing w:after="0" w:line="176" w:lineRule="exact"/>
        <w:rPr>
          <w:rFonts w:ascii="Arial" w:cs="Arial" w:eastAsia="Arial" w:hAnsi="Arial"/>
          <w:sz w:val="20"/>
          <w:szCs w:val="20"/>
          <w:color w:val="auto"/>
        </w:rPr>
      </w:pPr>
    </w:p>
    <w:p>
      <w:pPr>
        <w:jc w:val="both"/>
        <w:ind w:left="703" w:hanging="703"/>
        <w:spacing w:after="0" w:line="263" w:lineRule="auto"/>
        <w:tabs>
          <w:tab w:leader="none" w:pos="1402" w:val="left"/>
        </w:tabs>
        <w:numPr>
          <w:ilvl w:val="0"/>
          <w:numId w:val="33"/>
        </w:numPr>
        <w:rPr>
          <w:rFonts w:ascii="Arial" w:cs="Arial" w:eastAsia="Arial" w:hAnsi="Arial"/>
          <w:sz w:val="19"/>
          <w:szCs w:val="19"/>
          <w:color w:val="auto"/>
        </w:rPr>
      </w:pPr>
      <w:r>
        <w:rPr>
          <w:rFonts w:ascii="Arial" w:cs="Arial" w:eastAsia="Arial" w:hAnsi="Arial"/>
          <w:sz w:val="19"/>
          <w:szCs w:val="19"/>
          <w:color w:val="auto"/>
        </w:rPr>
        <w:t>Tenant shall not use or keep any foul or noxious gas or substance in or on the Premises, or occupy or use the Premises in a manner offensive or objectionable to Landlord or other occupants of the Project by reason of noise, odors or vibrations, or interfere with other occupants or those having business therein, whether by the use of any musical instrument, radio, CD player or otherwise. Tenant shall not throw anything out of doors, windows or skylights or down passageways.</w:t>
      </w:r>
    </w:p>
    <w:p>
      <w:pPr>
        <w:spacing w:after="0" w:line="176" w:lineRule="exact"/>
        <w:rPr>
          <w:rFonts w:ascii="Arial" w:cs="Arial" w:eastAsia="Arial" w:hAnsi="Arial"/>
          <w:sz w:val="19"/>
          <w:szCs w:val="19"/>
          <w:color w:val="auto"/>
        </w:rPr>
      </w:pPr>
    </w:p>
    <w:p>
      <w:pPr>
        <w:ind w:left="703" w:hanging="703"/>
        <w:spacing w:after="0" w:line="316" w:lineRule="auto"/>
        <w:tabs>
          <w:tab w:leader="none" w:pos="14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Tenant shall not bring into or keep within the Project, the Building or the Premises any animals (other than service animals legally required to be admitted), birds, aquariums, or, except in areas designated by Landlord, bicycles or other vehicles.</w:t>
      </w:r>
    </w:p>
    <w:p>
      <w:pPr>
        <w:spacing w:after="0" w:line="129" w:lineRule="exact"/>
        <w:rPr>
          <w:rFonts w:ascii="Arial" w:cs="Arial" w:eastAsia="Arial" w:hAnsi="Arial"/>
          <w:sz w:val="18"/>
          <w:szCs w:val="18"/>
          <w:color w:val="auto"/>
        </w:rPr>
      </w:pPr>
    </w:p>
    <w:p>
      <w:pPr>
        <w:jc w:val="both"/>
        <w:ind w:left="703" w:hanging="703"/>
        <w:spacing w:after="0" w:line="263" w:lineRule="auto"/>
        <w:tabs>
          <w:tab w:leader="none" w:pos="1402"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 cooking shall be done in the Premises, nor shall the Premises be used for lodging, for living quarters or sleeping apartments, or for any improper, objectionable or immoral purposes. Notwithstanding the foregoing, Underwriters’ laboratory-approved equipment and microwave ovens may be used in the Premises for heating food and brewing coffee, tea, hot chocolate and similar beverages for employees and invitees, provided that such use complies with all Laws.</w:t>
      </w:r>
    </w:p>
    <w:p>
      <w:pPr>
        <w:spacing w:after="0" w:line="176" w:lineRule="exact"/>
        <w:rPr>
          <w:rFonts w:ascii="Arial" w:cs="Arial" w:eastAsia="Arial" w:hAnsi="Arial"/>
          <w:sz w:val="19"/>
          <w:szCs w:val="19"/>
          <w:color w:val="auto"/>
        </w:rPr>
      </w:pPr>
    </w:p>
    <w:p>
      <w:pPr>
        <w:jc w:val="both"/>
        <w:ind w:left="703" w:hanging="703"/>
        <w:spacing w:after="0" w:line="246" w:lineRule="auto"/>
        <w:tabs>
          <w:tab w:leader="none" w:pos="14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Premises shall not be used for manufacturing or for the storage of merchandise except to the extent such storage may be incidental to the Permitted Use. Tenant shall not occupy the Premises as an office for a messenger-type operation or dispatch office, or for the manufacture or sale of liquor, narcotics or tobacco, or as a medical office, a barber or manicure shop, or an employment bureau.</w:t>
      </w:r>
    </w:p>
    <w:p>
      <w:pPr>
        <w:spacing w:after="0" w:line="191" w:lineRule="exact"/>
        <w:rPr>
          <w:rFonts w:ascii="Arial" w:cs="Arial" w:eastAsia="Arial" w:hAnsi="Arial"/>
          <w:sz w:val="20"/>
          <w:szCs w:val="20"/>
          <w:color w:val="auto"/>
        </w:rPr>
      </w:pPr>
    </w:p>
    <w:p>
      <w:pPr>
        <w:ind w:left="703" w:hanging="703"/>
        <w:spacing w:after="0" w:line="260" w:lineRule="auto"/>
        <w:tabs>
          <w:tab w:leader="none" w:pos="14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Landlord may exclude from the Project any person who, in Landlord’s judgment, is intoxicated or under the influence of liquor or drugs, or who violates any of these Rules and Regulations.</w:t>
      </w:r>
    </w:p>
    <w:p>
      <w:pPr>
        <w:spacing w:after="0" w:line="176" w:lineRule="exact"/>
        <w:rPr>
          <w:rFonts w:ascii="Arial" w:cs="Arial" w:eastAsia="Arial" w:hAnsi="Arial"/>
          <w:sz w:val="20"/>
          <w:szCs w:val="20"/>
          <w:color w:val="auto"/>
        </w:rPr>
      </w:pPr>
    </w:p>
    <w:p>
      <w:pPr>
        <w:jc w:val="both"/>
        <w:ind w:left="703" w:hanging="703"/>
        <w:spacing w:after="0" w:line="250" w:lineRule="auto"/>
        <w:tabs>
          <w:tab w:leader="none" w:pos="14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Tenant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w:t>
      </w:r>
    </w:p>
    <w:p>
      <w:pPr>
        <w:spacing w:after="0" w:line="185" w:lineRule="exact"/>
        <w:rPr>
          <w:rFonts w:ascii="Arial" w:cs="Arial" w:eastAsia="Arial" w:hAnsi="Arial"/>
          <w:sz w:val="20"/>
          <w:szCs w:val="20"/>
          <w:color w:val="auto"/>
        </w:rPr>
      </w:pPr>
    </w:p>
    <w:p>
      <w:pPr>
        <w:jc w:val="both"/>
        <w:ind w:left="703" w:hanging="703"/>
        <w:spacing w:after="0" w:line="308" w:lineRule="auto"/>
        <w:tabs>
          <w:tab w:leader="none" w:pos="14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Tenant shall not waste electricity, water or air conditioning, shall cooperate with Landlord to ensure the most effective operation of the Building’s heating and air conditioning system, and shall not attempt to adjust any controls. Tenant shall install and use in the Premises only ENERGY STAR rated equipment, where available. Tenant shall use recycled paper in the Premises to the extent consistent with its business requirements. To the extent that Landlord and/or Tenant need to discuss matters related to sustainability and energy (including, without limitation retrofit projects, billing issues, energy efficiency upgrades and data access), the parties may notify each other in the manner described in </w:t>
      </w:r>
      <w:r>
        <w:rPr>
          <w:rFonts w:ascii="Arial" w:cs="Arial" w:eastAsia="Arial" w:hAnsi="Arial"/>
          <w:sz w:val="16"/>
          <w:szCs w:val="16"/>
          <w:u w:val="single" w:color="auto"/>
          <w:color w:val="auto"/>
        </w:rPr>
        <w:t>Section 25.1</w:t>
      </w:r>
      <w:r>
        <w:rPr>
          <w:rFonts w:ascii="Arial" w:cs="Arial" w:eastAsia="Arial" w:hAnsi="Arial"/>
          <w:sz w:val="16"/>
          <w:szCs w:val="16"/>
          <w:color w:val="auto"/>
        </w:rPr>
        <w:t xml:space="preserve"> of the Lease using the addresses set forth in </w:t>
      </w:r>
      <w:r>
        <w:rPr>
          <w:rFonts w:ascii="Arial" w:cs="Arial" w:eastAsia="Arial" w:hAnsi="Arial"/>
          <w:sz w:val="16"/>
          <w:szCs w:val="16"/>
          <w:u w:val="single" w:color="auto"/>
          <w:color w:val="auto"/>
        </w:rPr>
        <w:t>Sections 1.10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(as applicable), as such addresses may be updated from time to time in accordance with the terms hereof. Upon no less than 90 days written request at the end of each calendar year during the Term, Landlord shall provide to Tenant reports detailing the amount of electricity, natural gas and fuel oil (where applicable) consumed at the Building broken down by utility type, energy unit usage (e.g., kWh, therms or ccf, gallons), cost per month for each energy source and the energy use intensity (EUI measured in kBtu/SF/YR). To the extent Tenant obtains electricity independently of the Building, Tenant shall give Landlord access to Tenant’s</w:t>
      </w:r>
    </w:p>
    <w:p>
      <w:pPr>
        <w:spacing w:after="0" w:line="200" w:lineRule="exact"/>
        <w:rPr>
          <w:sz w:val="20"/>
          <w:szCs w:val="20"/>
          <w:color w:val="auto"/>
        </w:rPr>
      </w:pPr>
    </w:p>
    <w:p>
      <w:pPr>
        <w:spacing w:after="0" w:line="398" w:lineRule="exact"/>
        <w:rPr>
          <w:sz w:val="20"/>
          <w:szCs w:val="20"/>
          <w:color w:val="auto"/>
        </w:rPr>
      </w:pPr>
    </w:p>
    <w:p>
      <w:pPr>
        <w:jc w:val="center"/>
        <w:ind w:right="37"/>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3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335915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3"/>
          </w:cols>
          <w:pgMar w:left="377" w:top="339" w:right="339" w:bottom="1440" w:gutter="0" w:footer="0" w:header="0"/>
        </w:sectPr>
      </w:pPr>
    </w:p>
    <w:bookmarkStart w:id="47" w:name="page48"/>
    <w:bookmarkEnd w:id="47"/>
    <w:p>
      <w:pPr>
        <w:ind w:left="760" w:firstLine="700"/>
        <w:spacing w:after="0" w:line="260" w:lineRule="auto"/>
        <w:rPr>
          <w:sz w:val="20"/>
          <w:szCs w:val="20"/>
          <w:color w:val="auto"/>
        </w:rPr>
      </w:pPr>
      <w:r>
        <w:rPr>
          <w:rFonts w:ascii="Arial" w:cs="Arial" w:eastAsia="Arial" w:hAnsi="Arial"/>
          <w:sz w:val="20"/>
          <w:szCs w:val="20"/>
          <w:color w:val="auto"/>
        </w:rPr>
        <w:t>data on energy use at the Building for inclusion in Landlord’s annual reports, ENERGY STAR annual rating and similar purposes.</w:t>
      </w:r>
    </w:p>
    <w:p>
      <w:pPr>
        <w:spacing w:after="0" w:line="177" w:lineRule="exact"/>
        <w:rPr>
          <w:sz w:val="20"/>
          <w:szCs w:val="20"/>
          <w:color w:val="auto"/>
        </w:rPr>
      </w:pPr>
    </w:p>
    <w:p>
      <w:pPr>
        <w:jc w:val="both"/>
        <w:ind w:left="760" w:hanging="703"/>
        <w:spacing w:after="0" w:line="282"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Tenant shall store all its trash and garbage inside the Premises. No material shall be placed in the trash or garbage receptacles if, under Law, it may not be disposed of in the ordinary and customary manner of disposing of trash and garbage in the vicinity of the Building. All trash, garbage and refuse disposal shall be made only through entryways and elevators provided for such purposes at such times as Landlord shall designate. Tenant shall comply with Landlord’s recycling program, if any.</w:t>
      </w:r>
    </w:p>
    <w:p>
      <w:pPr>
        <w:spacing w:after="0" w:line="161" w:lineRule="exact"/>
        <w:rPr>
          <w:rFonts w:ascii="Arial" w:cs="Arial" w:eastAsia="Arial" w:hAnsi="Arial"/>
          <w:sz w:val="18"/>
          <w:szCs w:val="18"/>
          <w:color w:val="auto"/>
        </w:rPr>
      </w:pPr>
    </w:p>
    <w:p>
      <w:pPr>
        <w:jc w:val="both"/>
        <w:ind w:left="760" w:hanging="703"/>
        <w:spacing w:after="0" w:line="246" w:lineRule="auto"/>
        <w:tabs>
          <w:tab w:leader="none" w:pos="14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Tenant shall comply with all safety, fire protection and evacuation procedures and regulations established by Landlord or any governmental agency. Tenant shall not, without Landlord's prior written consent (which consent may be granted or withheld in Landlord's sole and absolute discretion), allow any employee, contractor or agent to carry any type of gun or other firearm in or about the Premises, the Building or the Project.</w:t>
      </w:r>
    </w:p>
    <w:p>
      <w:pPr>
        <w:spacing w:after="0" w:line="191" w:lineRule="exact"/>
        <w:rPr>
          <w:rFonts w:ascii="Arial" w:cs="Arial" w:eastAsia="Arial" w:hAnsi="Arial"/>
          <w:sz w:val="20"/>
          <w:szCs w:val="20"/>
          <w:color w:val="auto"/>
        </w:rPr>
      </w:pPr>
    </w:p>
    <w:p>
      <w:pPr>
        <w:jc w:val="both"/>
        <w:ind w:left="760" w:hanging="703"/>
        <w:spacing w:after="0" w:line="244" w:lineRule="auto"/>
        <w:tabs>
          <w:tab w:leader="none" w:pos="14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persons employed by Tenant to do janitorial work (a) shall be subject to Landlord’s prior consent; (b) shall not, in Landlord’s reasonable judgment, disturb labor harmony with any workforce or trades engaged in performing other work or services at the Project; and (c) while in the Building and outside of the Premises, shall be subject to the control and direction of the Building manager (but not as an agent or employee of such manager or Landlord), and Tenant shall be responsible for all acts of such persons.</w:t>
      </w:r>
    </w:p>
    <w:p>
      <w:pPr>
        <w:spacing w:after="0" w:line="194" w:lineRule="exact"/>
        <w:rPr>
          <w:rFonts w:ascii="Arial" w:cs="Arial" w:eastAsia="Arial" w:hAnsi="Arial"/>
          <w:sz w:val="20"/>
          <w:szCs w:val="20"/>
          <w:color w:val="auto"/>
        </w:rPr>
      </w:pPr>
    </w:p>
    <w:p>
      <w:pPr>
        <w:jc w:val="both"/>
        <w:ind w:left="760" w:hanging="703"/>
        <w:spacing w:after="0" w:line="243" w:lineRule="auto"/>
        <w:tabs>
          <w:tab w:leader="none" w:pos="14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 awning or other projection shall be attached to the outside walls of the Building. Other than Landlord’s Building-standard window coverings, no curtains, blinds, shades or screens shall be attached to or hung in, or used in connection with, any window or door of the Premises. All electrical ceiling fixtures hung in the Premises or spaces along the perimeter of the Building must be fluorescent and/or of a quality, type, design and a warm white bulb color approved in advance by Landlord. Neither the interior nor exterior of any windows shall be coated or otherwise sunscreened. Tenant shall abide by Landlord’s regulations concerning the opening and closing of window coverings.</w:t>
      </w:r>
    </w:p>
    <w:p>
      <w:pPr>
        <w:spacing w:after="0" w:line="195" w:lineRule="exact"/>
        <w:rPr>
          <w:rFonts w:ascii="Arial" w:cs="Arial" w:eastAsia="Arial" w:hAnsi="Arial"/>
          <w:sz w:val="20"/>
          <w:szCs w:val="20"/>
          <w:color w:val="auto"/>
        </w:rPr>
      </w:pPr>
    </w:p>
    <w:p>
      <w:pPr>
        <w:ind w:left="760" w:hanging="703"/>
        <w:spacing w:after="0" w:line="316"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Tenant shall not obstruct any sashes, sash doors, skylights, windows or doors that reflect or admit light or air into the halls, passageways or other public places in the Building, nor shall Tenant place any bottles, parcels or other articles on the windowsills.</w:t>
      </w:r>
    </w:p>
    <w:p>
      <w:pPr>
        <w:spacing w:after="0" w:line="129" w:lineRule="exact"/>
        <w:rPr>
          <w:rFonts w:ascii="Arial" w:cs="Arial" w:eastAsia="Arial" w:hAnsi="Arial"/>
          <w:sz w:val="18"/>
          <w:szCs w:val="18"/>
          <w:color w:val="auto"/>
        </w:rPr>
      </w:pPr>
    </w:p>
    <w:p>
      <w:pPr>
        <w:ind w:left="760" w:right="20" w:hanging="703"/>
        <w:spacing w:after="0" w:line="260" w:lineRule="auto"/>
        <w:tabs>
          <w:tab w:leader="none" w:pos="14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Tenant must comply with requests by Landlord concerning the informing of their employees of items of importance to the Landlord.</w:t>
      </w:r>
    </w:p>
    <w:p>
      <w:pPr>
        <w:spacing w:after="0" w:line="176" w:lineRule="exact"/>
        <w:rPr>
          <w:rFonts w:ascii="Arial" w:cs="Arial" w:eastAsia="Arial" w:hAnsi="Arial"/>
          <w:sz w:val="20"/>
          <w:szCs w:val="20"/>
          <w:color w:val="auto"/>
        </w:rPr>
      </w:pPr>
    </w:p>
    <w:p>
      <w:pPr>
        <w:ind w:left="760" w:hanging="703"/>
        <w:spacing w:after="0" w:line="240" w:lineRule="exact"/>
        <w:tabs>
          <w:tab w:leader="none" w:pos="14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Tenant must comply with the State of California “No</w:t>
      </w:r>
      <w:r>
        <w:rPr>
          <w:rFonts w:ascii="MS PGothic" w:cs="MS PGothic" w:eastAsia="MS PGothic" w:hAnsi="MS PGothic"/>
          <w:sz w:val="19"/>
          <w:szCs w:val="19"/>
          <w:color w:val="auto"/>
        </w:rPr>
        <w:t>‑</w:t>
      </w:r>
      <w:r>
        <w:rPr>
          <w:rFonts w:ascii="Arial" w:cs="Arial" w:eastAsia="Arial" w:hAnsi="Arial"/>
          <w:sz w:val="19"/>
          <w:szCs w:val="19"/>
          <w:color w:val="auto"/>
        </w:rPr>
        <w:t>Smoking” law set forth in California Labor Code Section 6404.5 (as may be amended or replaced) and with any local “No</w:t>
      </w:r>
      <w:r>
        <w:rPr>
          <w:rFonts w:ascii="MS PGothic" w:cs="MS PGothic" w:eastAsia="MS PGothic" w:hAnsi="MS PGothic"/>
          <w:sz w:val="19"/>
          <w:szCs w:val="19"/>
          <w:color w:val="auto"/>
        </w:rPr>
        <w:t>‑</w:t>
      </w:r>
      <w:r>
        <w:rPr>
          <w:rFonts w:ascii="Arial" w:cs="Arial" w:eastAsia="Arial" w:hAnsi="Arial"/>
          <w:sz w:val="19"/>
          <w:szCs w:val="19"/>
          <w:color w:val="auto"/>
        </w:rPr>
        <w:t>Smoking” ordinance that is not superseded by such law.</w:t>
      </w:r>
    </w:p>
    <w:p>
      <w:pPr>
        <w:spacing w:after="0" w:line="196" w:lineRule="exact"/>
        <w:rPr>
          <w:rFonts w:ascii="Arial" w:cs="Arial" w:eastAsia="Arial" w:hAnsi="Arial"/>
          <w:sz w:val="19"/>
          <w:szCs w:val="19"/>
          <w:color w:val="auto"/>
        </w:rPr>
      </w:pPr>
    </w:p>
    <w:p>
      <w:pPr>
        <w:ind w:left="1460" w:hanging="1403"/>
        <w:spacing w:after="0"/>
        <w:tabs>
          <w:tab w:leader="none" w:pos="14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Tenant shall cooperate in any safety or security program developed by Landlord or required by Law.</w:t>
      </w:r>
    </w:p>
    <w:p>
      <w:pPr>
        <w:spacing w:after="0" w:line="215" w:lineRule="exact"/>
        <w:rPr>
          <w:rFonts w:ascii="Arial" w:cs="Arial" w:eastAsia="Arial" w:hAnsi="Arial"/>
          <w:sz w:val="20"/>
          <w:szCs w:val="20"/>
          <w:color w:val="auto"/>
        </w:rPr>
      </w:pPr>
    </w:p>
    <w:p>
      <w:pPr>
        <w:ind w:left="760" w:hanging="703"/>
        <w:spacing w:after="0" w:line="260" w:lineRule="auto"/>
        <w:tabs>
          <w:tab w:leader="none" w:pos="14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All office equipment of an electrical or mechanical nature shall be placed by Tenant in the Premises in settings approved by Landlord, to absorb or prevent any vibration, noise or annoyance.</w:t>
      </w:r>
    </w:p>
    <w:p>
      <w:pPr>
        <w:spacing w:after="0" w:line="176" w:lineRule="exact"/>
        <w:rPr>
          <w:rFonts w:ascii="Arial" w:cs="Arial" w:eastAsia="Arial" w:hAnsi="Arial"/>
          <w:sz w:val="20"/>
          <w:szCs w:val="20"/>
          <w:color w:val="auto"/>
        </w:rPr>
      </w:pPr>
    </w:p>
    <w:p>
      <w:pPr>
        <w:ind w:left="1460" w:hanging="1403"/>
        <w:spacing w:after="0"/>
        <w:tabs>
          <w:tab w:leader="none" w:pos="14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Tenant shall not use any hand trucks except those equipped with rubber tires and rubber side guards.</w:t>
      </w:r>
    </w:p>
    <w:p>
      <w:pPr>
        <w:spacing w:after="0" w:line="215" w:lineRule="exact"/>
        <w:rPr>
          <w:rFonts w:ascii="Arial" w:cs="Arial" w:eastAsia="Arial" w:hAnsi="Arial"/>
          <w:sz w:val="20"/>
          <w:szCs w:val="20"/>
          <w:color w:val="auto"/>
        </w:rPr>
      </w:pPr>
    </w:p>
    <w:p>
      <w:pPr>
        <w:ind w:left="760" w:hanging="703"/>
        <w:spacing w:after="0" w:line="260" w:lineRule="auto"/>
        <w:tabs>
          <w:tab w:leader="none" w:pos="14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 auction, liquidation, fire sale, going-out-of-business or bankruptcy sale shall be conducted in the Premises without Landlord’s prior consent.</w:t>
      </w:r>
    </w:p>
    <w:p>
      <w:pPr>
        <w:spacing w:after="0" w:line="176" w:lineRule="exact"/>
        <w:rPr>
          <w:rFonts w:ascii="Arial" w:cs="Arial" w:eastAsia="Arial" w:hAnsi="Arial"/>
          <w:sz w:val="20"/>
          <w:szCs w:val="20"/>
          <w:color w:val="auto"/>
        </w:rPr>
      </w:pPr>
    </w:p>
    <w:p>
      <w:pPr>
        <w:jc w:val="both"/>
        <w:ind w:left="760" w:hanging="703"/>
        <w:spacing w:after="0" w:line="250" w:lineRule="auto"/>
        <w:tabs>
          <w:tab w:leader="none" w:pos="14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Without Landlord’s prior consent, Tenant shall not use the name of the Project or Building or use pictures or illustrations of the Project or Building in advertising or other publicity or for any purpose other than as the address of the business to be conducted by Tenant in the Premises.</w:t>
      </w:r>
    </w:p>
    <w:p>
      <w:pPr>
        <w:spacing w:after="0" w:line="18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auto"/>
        </w:rPr>
        <w:t>Landlord may from time to time modify or supplement these Rules and Regulations in a manner that, in Landlord’s reasonable judgment, is appropriate for the management, safety, public health, care and cleanliness of the Premises, the Building, the Common Areas and the Project, for the preservation of good order therein, and for the convenience of other occupants and tenants thereof, provided that no such modification or supplement shall materially reduce Tenant’s rights or materially increase Tenant’s obligations hereunder. Landlord may waive any of these Rules and Regulations for the benefit of any tenant, but no such waiver shall be construed as a waiver of such Rule and Regulation in favor of any other tenant nor prevent Landlord from thereafter enforcing such Rule and Regulation against any tenant. Notwithstanding the foregoing, no rule that is added to the initial Rules and Regulations shall be enforced against Tenant in a manner that unreasonably discriminates in favor of any other similarly situated tenant.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THE TOWERS @ SHORES CENTER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203 REDWOOD SHORES PARKWAY</w:t>
      </w:r>
    </w:p>
    <w:p>
      <w:pPr>
        <w:jc w:val="center"/>
        <w:spacing w:after="0"/>
        <w:rPr>
          <w:sz w:val="20"/>
          <w:szCs w:val="20"/>
          <w:color w:val="auto"/>
        </w:rPr>
      </w:pPr>
      <w:r>
        <w:rPr>
          <w:rFonts w:ascii="Arial" w:cs="Arial" w:eastAsia="Arial" w:hAnsi="Arial"/>
          <w:sz w:val="20"/>
          <w:szCs w:val="20"/>
          <w:b w:val="1"/>
          <w:bCs w:val="1"/>
          <w:color w:val="auto"/>
        </w:rPr>
        <w:t>REDWOOD CITY, CALIFORNIA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JUDICIAL REFERENCE</w:t>
      </w:r>
    </w:p>
    <w:p>
      <w:pPr>
        <w:spacing w:after="0" w:line="200" w:lineRule="exact"/>
        <w:rPr>
          <w:sz w:val="20"/>
          <w:szCs w:val="20"/>
          <w:color w:val="auto"/>
        </w:rPr>
      </w:pPr>
    </w:p>
    <w:p>
      <w:pPr>
        <w:spacing w:after="0" w:line="251" w:lineRule="exact"/>
        <w:rPr>
          <w:sz w:val="20"/>
          <w:szCs w:val="20"/>
          <w:color w:val="auto"/>
        </w:rPr>
      </w:pPr>
    </w:p>
    <w:p>
      <w:pPr>
        <w:ind w:firstLine="728"/>
        <w:spacing w:after="0" w:line="260" w:lineRule="auto"/>
        <w:rPr>
          <w:sz w:val="20"/>
          <w:szCs w:val="20"/>
          <w:color w:val="auto"/>
        </w:rPr>
      </w:pPr>
      <w:r>
        <w:rPr>
          <w:rFonts w:ascii="Arial" w:cs="Arial" w:eastAsia="Arial" w:hAnsi="Arial"/>
          <w:sz w:val="20"/>
          <w:szCs w:val="20"/>
          <w:color w:val="auto"/>
        </w:rPr>
        <w:t xml:space="preserve">IF THE JURY-WAIVER PROVISIONS OF </w:t>
      </w:r>
      <w:r>
        <w:rPr>
          <w:rFonts w:ascii="Arial" w:cs="Arial" w:eastAsia="Arial" w:hAnsi="Arial"/>
          <w:sz w:val="20"/>
          <w:szCs w:val="20"/>
          <w:u w:val="single" w:color="auto"/>
          <w:color w:val="auto"/>
        </w:rPr>
        <w:t>SECTION 25.8</w:t>
      </w:r>
      <w:r>
        <w:rPr>
          <w:rFonts w:ascii="Arial" w:cs="Arial" w:eastAsia="Arial" w:hAnsi="Arial"/>
          <w:sz w:val="20"/>
          <w:szCs w:val="20"/>
          <w:color w:val="auto"/>
        </w:rPr>
        <w:t xml:space="preserve"> OF THIS LEASE ARE NOT ENFORCEABLE UNDER CALIFORNIA LAW, THE PROVISIONS SET FORTH BELOW SHALL APPLY.</w:t>
      </w:r>
    </w:p>
    <w:p>
      <w:pPr>
        <w:spacing w:after="0" w:line="177" w:lineRule="exact"/>
        <w:rPr>
          <w:sz w:val="20"/>
          <w:szCs w:val="20"/>
          <w:color w:val="auto"/>
        </w:rPr>
      </w:pPr>
    </w:p>
    <w:p>
      <w:pPr>
        <w:jc w:val="both"/>
        <w:ind w:firstLine="736"/>
        <w:spacing w:after="0" w:line="274" w:lineRule="auto"/>
        <w:tabs>
          <w:tab w:leader="none" w:pos="15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the desire and intention of the parties to agree upon a mechanism and procedure under which controversies and disputes arising out of this Lease or related to the Premises will be resolved in a prompt and expeditious manner. Accordingly, subject to the exclusions set forth in (b) below, any and every action, proceeding or cross-claim brought by either party hereto against the other (and/or against its officers, directors, employees, agents or subsidiaries or affiliated entities) on any matters arising out of or in any way connected with this Lease, Tenant’s use or occupancy of the Premises and/or any claim of injury or damage, whether sounding in contract, tort, or otherwise, shall be heard and resolved by a referee under the provisions of the California Code of Civil Procedure, Sections 638 — 645.1, inclusive (as same may be amended, or any successor statute(s) thereto) (the "Referee Sections").</w:t>
      </w:r>
    </w:p>
    <w:p>
      <w:pPr>
        <w:spacing w:after="0" w:line="168" w:lineRule="exact"/>
        <w:rPr>
          <w:rFonts w:ascii="Arial" w:cs="Arial" w:eastAsia="Arial" w:hAnsi="Arial"/>
          <w:sz w:val="18"/>
          <w:szCs w:val="18"/>
          <w:color w:val="auto"/>
        </w:rPr>
      </w:pPr>
    </w:p>
    <w:p>
      <w:pPr>
        <w:jc w:val="both"/>
        <w:ind w:firstLine="736"/>
        <w:spacing w:after="0" w:line="259" w:lineRule="auto"/>
        <w:tabs>
          <w:tab w:leader="none" w:pos="1606" w:val="left"/>
        </w:tabs>
        <w:numPr>
          <w:ilvl w:val="0"/>
          <w:numId w:val="35"/>
        </w:numPr>
        <w:rPr>
          <w:rFonts w:ascii="Arial" w:cs="Arial" w:eastAsia="Arial" w:hAnsi="Arial"/>
          <w:sz w:val="19"/>
          <w:szCs w:val="19"/>
          <w:color w:val="auto"/>
        </w:rPr>
      </w:pPr>
      <w:r>
        <w:rPr>
          <w:rFonts w:ascii="Arial" w:cs="Arial" w:eastAsia="Arial" w:hAnsi="Arial"/>
          <w:sz w:val="19"/>
          <w:szCs w:val="19"/>
          <w:color w:val="auto"/>
        </w:rPr>
        <w:t>Excluded from the requirement of judicial reference set forth above are (i) actions to seek emergency injunctive relief, preliminary injunctive relief, unlawful or forcible detainer, or a prejudgment writ of attachment and (ii) any dispute for which an alternative dispute resolution procedure is otherwise expressly provided in the Lease (including any exhibits thereto). The actions described in (i) above may be brought in the trial court in the county in which the Premises are located; provided, however, that as soon as practicable after the trial court rules on one or more of the above issues, the parties shall refer the lawsuit, and any remaining issues, controversies, or disputes to a referee, as provided in this section and the Referee Sections.</w:t>
      </w:r>
    </w:p>
    <w:p>
      <w:pPr>
        <w:spacing w:after="0" w:line="178" w:lineRule="exact"/>
        <w:rPr>
          <w:rFonts w:ascii="Arial" w:cs="Arial" w:eastAsia="Arial" w:hAnsi="Arial"/>
          <w:sz w:val="19"/>
          <w:szCs w:val="19"/>
          <w:color w:val="auto"/>
        </w:rPr>
      </w:pPr>
    </w:p>
    <w:p>
      <w:pPr>
        <w:jc w:val="both"/>
        <w:ind w:firstLine="736"/>
        <w:spacing w:after="0" w:line="244" w:lineRule="auto"/>
        <w:tabs>
          <w:tab w:leader="none" w:pos="1595"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Section 25.6 of this Lease.</w:t>
      </w:r>
    </w:p>
    <w:p>
      <w:pPr>
        <w:spacing w:after="0" w:line="194" w:lineRule="exact"/>
        <w:rPr>
          <w:rFonts w:ascii="Arial" w:cs="Arial" w:eastAsia="Arial" w:hAnsi="Arial"/>
          <w:sz w:val="20"/>
          <w:szCs w:val="20"/>
          <w:color w:val="auto"/>
        </w:rPr>
      </w:pPr>
    </w:p>
    <w:p>
      <w:pPr>
        <w:ind w:left="1620" w:hanging="884"/>
        <w:spacing w:after="0"/>
        <w:tabs>
          <w:tab w:leader="none" w:pos="16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exclusive venue of the proceedings shall be in the county in which the Premises are located.</w:t>
      </w:r>
    </w:p>
    <w:p>
      <w:pPr>
        <w:spacing w:after="0" w:line="209" w:lineRule="exact"/>
        <w:rPr>
          <w:rFonts w:ascii="Arial" w:cs="Arial" w:eastAsia="Arial" w:hAnsi="Arial"/>
          <w:sz w:val="20"/>
          <w:szCs w:val="20"/>
          <w:color w:val="auto"/>
        </w:rPr>
      </w:pPr>
    </w:p>
    <w:p>
      <w:pPr>
        <w:jc w:val="both"/>
        <w:ind w:firstLine="736"/>
        <w:spacing w:after="0" w:line="271" w:lineRule="auto"/>
        <w:tabs>
          <w:tab w:leader="none" w:pos="15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Within 10 days of receipt by any party of a request to resolve any dispute or controversy pursuant to this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the parties shall agree upon a single referee who shall try all issues, whether of fact or law, and report a finding and judgment on such issues as required by the Referee Sections. If the parties are unable to agree upon a referee within such 10-day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the panels offered by JAMS or ADR Services, Inc.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punitive damages, nor shall the referee have the power to award any other damages that are not permitted by the express provisions of this Lease, and the parties waive any right to recover such damages.</w:t>
      </w:r>
    </w:p>
    <w:p>
      <w:pPr>
        <w:spacing w:after="0" w:line="175" w:lineRule="exact"/>
        <w:rPr>
          <w:rFonts w:ascii="Arial" w:cs="Arial" w:eastAsia="Arial" w:hAnsi="Arial"/>
          <w:sz w:val="18"/>
          <w:szCs w:val="18"/>
          <w:color w:val="auto"/>
        </w:rPr>
      </w:pPr>
    </w:p>
    <w:p>
      <w:pPr>
        <w:jc w:val="both"/>
        <w:ind w:firstLine="736"/>
        <w:spacing w:after="0" w:line="269" w:lineRule="auto"/>
        <w:tabs>
          <w:tab w:leader="none" w:pos="1573"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parties may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w:t>
      </w:r>
    </w:p>
    <w:p>
      <w:pPr>
        <w:spacing w:after="0" w:line="169" w:lineRule="exact"/>
        <w:rPr>
          <w:rFonts w:ascii="Arial" w:cs="Arial" w:eastAsia="Arial" w:hAnsi="Arial"/>
          <w:sz w:val="19"/>
          <w:szCs w:val="19"/>
          <w:color w:val="auto"/>
        </w:rPr>
      </w:pPr>
    </w:p>
    <w:p>
      <w:pPr>
        <w:jc w:val="both"/>
        <w:ind w:firstLine="736"/>
        <w:spacing w:after="0" w:line="246" w:lineRule="auto"/>
        <w:tabs>
          <w:tab w:leader="none" w:pos="1606"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both"/>
        <w:spacing w:after="0" w:line="248" w:lineRule="auto"/>
        <w:rPr>
          <w:sz w:val="20"/>
          <w:szCs w:val="20"/>
          <w:color w:val="auto"/>
        </w:rPr>
      </w:pPr>
      <w:r>
        <w:rPr>
          <w:rFonts w:ascii="Arial" w:cs="Arial" w:eastAsia="Arial" w:hAnsi="Arial"/>
          <w:sz w:val="20"/>
          <w:szCs w:val="20"/>
          <w:color w:val="auto"/>
        </w:rPr>
        <w:t xml:space="preserve">the dispute or controversy in accordance with the terms of this </w:t>
      </w:r>
      <w:r>
        <w:rPr>
          <w:rFonts w:ascii="Arial" w:cs="Arial" w:eastAsia="Arial" w:hAnsi="Arial"/>
          <w:sz w:val="20"/>
          <w:szCs w:val="20"/>
          <w:b w:val="1"/>
          <w:bCs w:val="1"/>
          <w:u w:val="single" w:color="auto"/>
          <w:color w:val="auto"/>
        </w:rPr>
        <w:t>Exhibit E</w:t>
      </w:r>
      <w:r>
        <w:rPr>
          <w:rFonts w:ascii="Arial" w:cs="Arial" w:eastAsia="Arial" w:hAnsi="Arial"/>
          <w:sz w:val="20"/>
          <w:szCs w:val="20"/>
          <w:color w:val="auto"/>
        </w:rPr>
        <w:t>. In this regard, the parties agree that the parties and the referee shall use best efforts to ensure that (a) discovery, including all expert discovery (but excluding motions regarding discovery) be concluded within six (6) months of the date of the appointment of the referee, and (b) a trial date be set so that the trial proceeding is held no more than nine (9) months after the date of the appointment of the referee.</w:t>
      </w:r>
    </w:p>
    <w:p>
      <w:pPr>
        <w:spacing w:after="0" w:line="189" w:lineRule="exact"/>
        <w:rPr>
          <w:sz w:val="20"/>
          <w:szCs w:val="20"/>
          <w:color w:val="auto"/>
        </w:rPr>
      </w:pPr>
    </w:p>
    <w:p>
      <w:pPr>
        <w:jc w:val="both"/>
        <w:ind w:firstLine="736"/>
        <w:spacing w:after="0" w:line="256" w:lineRule="auto"/>
        <w:tabs>
          <w:tab w:leader="none" w:pos="1606"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w:t>
      </w:r>
      <w:r>
        <w:rPr>
          <w:rFonts w:ascii="Arial" w:cs="Arial" w:eastAsia="Arial" w:hAnsi="Arial"/>
          <w:sz w:val="19"/>
          <w:szCs w:val="19"/>
          <w:b w:val="1"/>
          <w:bCs w:val="1"/>
          <w:u w:val="single" w:color="auto"/>
          <w:color w:val="auto"/>
        </w:rPr>
        <w:t>Exhibit E</w:t>
      </w:r>
      <w:r>
        <w:rPr>
          <w:rFonts w:ascii="Arial" w:cs="Arial" w:eastAsia="Arial" w:hAnsi="Arial"/>
          <w:sz w:val="19"/>
          <w:szCs w:val="19"/>
          <w:color w:val="auto"/>
        </w:rPr>
        <w:t xml:space="preserve"> shall prejudice the right of any party to obtain provisional relief or other equitable remedies from a court of competent jurisdiction as shall otherwise be available under the Code of Civil Procedure and/or applicable court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u w:val="single" w:color="auto"/>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THE TOWERS @ SHORES CENTER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203 REDWOOD SHORES PARKWAY</w:t>
      </w:r>
    </w:p>
    <w:p>
      <w:pPr>
        <w:jc w:val="center"/>
        <w:spacing w:after="0"/>
        <w:rPr>
          <w:sz w:val="20"/>
          <w:szCs w:val="20"/>
          <w:color w:val="auto"/>
        </w:rPr>
      </w:pPr>
      <w:r>
        <w:rPr>
          <w:rFonts w:ascii="Arial" w:cs="Arial" w:eastAsia="Arial" w:hAnsi="Arial"/>
          <w:sz w:val="20"/>
          <w:szCs w:val="20"/>
          <w:b w:val="1"/>
          <w:bCs w:val="1"/>
          <w:color w:val="auto"/>
        </w:rPr>
        <w:t>REDWOOD CITY, CALIFORNIA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ADDITIONAL PROVISIONS</w:t>
      </w:r>
    </w:p>
    <w:p>
      <w:pPr>
        <w:spacing w:after="0" w:line="200" w:lineRule="exact"/>
        <w:rPr>
          <w:sz w:val="20"/>
          <w:szCs w:val="20"/>
          <w:color w:val="auto"/>
        </w:rPr>
      </w:pPr>
    </w:p>
    <w:p>
      <w:pPr>
        <w:spacing w:after="0" w:line="245" w:lineRule="exact"/>
        <w:rPr>
          <w:sz w:val="20"/>
          <w:szCs w:val="20"/>
          <w:color w:val="auto"/>
        </w:rPr>
      </w:pPr>
    </w:p>
    <w:p>
      <w:pPr>
        <w:ind w:left="760" w:hanging="752"/>
        <w:spacing w:after="0" w:line="293" w:lineRule="auto"/>
        <w:tabs>
          <w:tab w:leader="none" w:pos="760"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California Civil Code Section 1938</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California Civil Code § 1938, Landlord hereby states that the Premises have not</w:t>
      </w:r>
      <w:r>
        <w:rPr>
          <w:rFonts w:ascii="Arial" w:cs="Arial" w:eastAsia="Arial" w:hAnsi="Arial"/>
          <w:sz w:val="19"/>
          <w:szCs w:val="19"/>
          <w:b w:val="1"/>
          <w:bCs w:val="1"/>
          <w:color w:val="auto"/>
        </w:rPr>
        <w:t xml:space="preserve"> </w:t>
      </w:r>
      <w:r>
        <w:rPr>
          <w:rFonts w:ascii="Arial" w:cs="Arial" w:eastAsia="Arial" w:hAnsi="Arial"/>
          <w:sz w:val="19"/>
          <w:szCs w:val="19"/>
          <w:color w:val="auto"/>
        </w:rPr>
        <w:t>undergone inspection by a Certified Access Specialist (CASp) (defined in California Civil Code § 55.52).</w:t>
      </w:r>
    </w:p>
    <w:p>
      <w:pPr>
        <w:spacing w:after="0" w:line="161" w:lineRule="exact"/>
        <w:rPr>
          <w:rFonts w:ascii="Arial" w:cs="Arial" w:eastAsia="Arial" w:hAnsi="Arial"/>
          <w:sz w:val="19"/>
          <w:szCs w:val="19"/>
          <w:color w:val="auto"/>
        </w:rPr>
      </w:pPr>
    </w:p>
    <w:p>
      <w:pPr>
        <w:jc w:val="both"/>
        <w:ind w:left="760"/>
        <w:spacing w:after="0" w:line="313" w:lineRule="auto"/>
        <w:rPr>
          <w:rFonts w:ascii="Arial" w:cs="Arial" w:eastAsia="Arial" w:hAnsi="Arial"/>
          <w:sz w:val="19"/>
          <w:szCs w:val="19"/>
          <w:color w:val="auto"/>
        </w:rPr>
      </w:pPr>
      <w:r>
        <w:rPr>
          <w:rFonts w:ascii="Arial" w:cs="Arial" w:eastAsia="Arial" w:hAnsi="Arial"/>
          <w:sz w:val="16"/>
          <w:szCs w:val="16"/>
          <w:color w:val="auto"/>
        </w:rPr>
        <w:t>Accordingly, pursuant to California Civil Code § 1938(e), Landlord hereby further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56" w:lineRule="exact"/>
        <w:rPr>
          <w:rFonts w:ascii="Arial" w:cs="Arial" w:eastAsia="Arial" w:hAnsi="Arial"/>
          <w:sz w:val="19"/>
          <w:szCs w:val="19"/>
          <w:color w:val="auto"/>
        </w:rPr>
      </w:pPr>
    </w:p>
    <w:p>
      <w:pPr>
        <w:jc w:val="both"/>
        <w:ind w:left="760"/>
        <w:spacing w:after="0" w:line="291" w:lineRule="auto"/>
        <w:rPr>
          <w:rFonts w:ascii="Arial" w:cs="Arial" w:eastAsia="Arial" w:hAnsi="Arial"/>
          <w:sz w:val="19"/>
          <w:szCs w:val="19"/>
          <w:color w:val="auto"/>
        </w:rPr>
      </w:pPr>
      <w:r>
        <w:rPr>
          <w:rFonts w:ascii="Arial" w:cs="Arial" w:eastAsia="Arial" w:hAnsi="Arial"/>
          <w:sz w:val="18"/>
          <w:szCs w:val="18"/>
          <w:color w:val="auto"/>
        </w:rPr>
        <w:t xml:space="preserve">In accordance with the foregoing, Landlord and Tenant agree that if Tenant requests a CASp inspection of the Premises, then Tenant shall pay (i) Tenant shall pay the fee for such inspection, and (ii) the cost of making any repairs necessary to correct violations of construction-related accessibility standards within the Premises shall be governed by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Lease.</w:t>
      </w:r>
    </w:p>
    <w:p>
      <w:pPr>
        <w:spacing w:after="0" w:line="389" w:lineRule="exact"/>
        <w:rPr>
          <w:sz w:val="20"/>
          <w:szCs w:val="20"/>
          <w:color w:val="auto"/>
        </w:rPr>
      </w:pPr>
    </w:p>
    <w:p>
      <w:pPr>
        <w:jc w:val="both"/>
        <w:ind w:left="740" w:hanging="368"/>
        <w:spacing w:after="0" w:line="278"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Exposure to Pathogens; Release and Waiver</w:t>
      </w:r>
      <w:r>
        <w:rPr>
          <w:rFonts w:ascii="Arial" w:cs="Arial" w:eastAsia="Arial" w:hAnsi="Arial"/>
          <w:sz w:val="18"/>
          <w:szCs w:val="18"/>
          <w:color w:val="auto"/>
        </w:rPr>
        <w:t>. Tenant hereby acknowledges and agrees that (a) there is a risk of exposure to</w:t>
      </w:r>
      <w:r>
        <w:rPr>
          <w:rFonts w:ascii="Arial" w:cs="Arial" w:eastAsia="Arial" w:hAnsi="Arial"/>
          <w:sz w:val="18"/>
          <w:szCs w:val="18"/>
          <w:b w:val="1"/>
          <w:bCs w:val="1"/>
          <w:color w:val="auto"/>
        </w:rPr>
        <w:t xml:space="preserve"> </w:t>
      </w:r>
      <w:r>
        <w:rPr>
          <w:rFonts w:ascii="Arial" w:cs="Arial" w:eastAsia="Arial" w:hAnsi="Arial"/>
          <w:sz w:val="18"/>
          <w:szCs w:val="18"/>
          <w:color w:val="auto"/>
        </w:rPr>
        <w:t>pathogens (including, without limitation, the novel coronavirus SARS-CoV-2 and mutations, adaptations or variations thereof)</w:t>
      </w:r>
    </w:p>
    <w:p>
      <w:pPr>
        <w:spacing w:after="0" w:line="1" w:lineRule="exact"/>
        <w:rPr>
          <w:sz w:val="20"/>
          <w:szCs w:val="20"/>
          <w:color w:val="auto"/>
        </w:rPr>
      </w:pPr>
    </w:p>
    <w:p>
      <w:pPr>
        <w:jc w:val="both"/>
        <w:ind w:left="740"/>
        <w:spacing w:after="0" w:line="254" w:lineRule="auto"/>
        <w:rPr>
          <w:sz w:val="20"/>
          <w:szCs w:val="20"/>
          <w:color w:val="auto"/>
        </w:rPr>
      </w:pPr>
      <w:r>
        <w:rPr>
          <w:rFonts w:ascii="Arial" w:cs="Arial" w:eastAsia="Arial" w:hAnsi="Arial"/>
          <w:sz w:val="19"/>
          <w:szCs w:val="19"/>
          <w:color w:val="auto"/>
        </w:rPr>
        <w:t>(collectively, ("</w:t>
      </w:r>
      <w:r>
        <w:rPr>
          <w:rFonts w:ascii="Arial" w:cs="Arial" w:eastAsia="Arial" w:hAnsi="Arial"/>
          <w:sz w:val="19"/>
          <w:szCs w:val="19"/>
          <w:b w:val="1"/>
          <w:bCs w:val="1"/>
          <w:color w:val="auto"/>
        </w:rPr>
        <w:t>Contagions</w:t>
      </w:r>
      <w:r>
        <w:rPr>
          <w:rFonts w:ascii="Arial" w:cs="Arial" w:eastAsia="Arial" w:hAnsi="Arial"/>
          <w:sz w:val="19"/>
          <w:szCs w:val="19"/>
          <w:color w:val="auto"/>
        </w:rPr>
        <w:t xml:space="preserve">")) everywhere people are present, including at the Project; (b) no precautions, including those implemented by Landlord and/or third parties (e.g., the CDC and applicable governmental agencies), can entirely eliminate the risk of exposure to Contagions and (c) a governmental restriction of the use and/or occupancy of the Premises in an effort to address the potential or the actual presence of Contagions shall not be deemed a Casualty pursuant to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Lease nor a Taking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the Lease. Accordingly, by entering into the Project, Tenant and all Tenant Parties knowingly and voluntarily assume the risk of exposure to Contagions. Tenant, on behalf of itself and, to the fullest extent permitted by applicable Law, the Tenant Parties, hereby waives all Claims against any Landlord Party arising out of or in connection with exposure to Contagions at the Project, including, without limitation any damages due to illness, short- or long-term adverse health effects, disability and/or death (the "</w:t>
      </w:r>
      <w:r>
        <w:rPr>
          <w:rFonts w:ascii="Arial" w:cs="Arial" w:eastAsia="Arial" w:hAnsi="Arial"/>
          <w:sz w:val="19"/>
          <w:szCs w:val="19"/>
          <w:b w:val="1"/>
          <w:bCs w:val="1"/>
          <w:color w:val="auto"/>
        </w:rPr>
        <w:t>Released Claims</w:t>
      </w:r>
      <w:r>
        <w:rPr>
          <w:rFonts w:ascii="Arial" w:cs="Arial" w:eastAsia="Arial" w:hAnsi="Arial"/>
          <w:sz w:val="19"/>
          <w:szCs w:val="19"/>
          <w:color w:val="auto"/>
        </w:rPr>
        <w:t>"). With regard to the Released Claims, Tenant expressly waives the provisions of California Civil Code Section 1542, which provides:</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A GENERAL RELEASE DOES NOT EXTEND TO CLAIMS THAT THE CREDITOR OR</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RELEASING PARTY DOES NOT KNOW OR SUSPECT TO EXIST IN HIS OR HER FAVOR</w:t>
      </w:r>
    </w:p>
    <w:p>
      <w:pPr>
        <w:ind w:left="1500"/>
        <w:spacing w:after="0"/>
        <w:rPr>
          <w:sz w:val="20"/>
          <w:szCs w:val="20"/>
          <w:color w:val="auto"/>
        </w:rPr>
      </w:pPr>
      <w:r>
        <w:rPr>
          <w:rFonts w:ascii="Arial" w:cs="Arial" w:eastAsia="Arial" w:hAnsi="Arial"/>
          <w:sz w:val="20"/>
          <w:szCs w:val="20"/>
          <w:b w:val="1"/>
          <w:bCs w:val="1"/>
          <w:color w:val="auto"/>
        </w:rPr>
        <w:t>AT THE TIME OF EXECUTING THE RELEASE AND THAT, IF KNOWN BY HIM OR HER,</w:t>
      </w:r>
    </w:p>
    <w:p>
      <w:pPr>
        <w:ind w:left="1500"/>
        <w:spacing w:after="0"/>
        <w:rPr>
          <w:sz w:val="20"/>
          <w:szCs w:val="20"/>
          <w:color w:val="auto"/>
        </w:rPr>
      </w:pPr>
      <w:r>
        <w:rPr>
          <w:rFonts w:ascii="Arial" w:cs="Arial" w:eastAsia="Arial" w:hAnsi="Arial"/>
          <w:sz w:val="20"/>
          <w:szCs w:val="20"/>
          <w:b w:val="1"/>
          <w:bCs w:val="1"/>
          <w:color w:val="auto"/>
        </w:rPr>
        <w:t>WOULD HAVE MATERIALLY AFFECTED HIS OR HER SETTLEMENT WITH THE</w:t>
      </w:r>
    </w:p>
    <w:p>
      <w:pPr>
        <w:ind w:left="1500"/>
        <w:spacing w:after="0"/>
        <w:rPr>
          <w:sz w:val="20"/>
          <w:szCs w:val="20"/>
          <w:color w:val="auto"/>
        </w:rPr>
      </w:pPr>
      <w:r>
        <w:rPr>
          <w:rFonts w:ascii="Arial" w:cs="Arial" w:eastAsia="Arial" w:hAnsi="Arial"/>
          <w:sz w:val="20"/>
          <w:szCs w:val="20"/>
          <w:b w:val="1"/>
          <w:bCs w:val="1"/>
          <w:color w:val="auto"/>
        </w:rPr>
        <w:t>DEBTOR OR RELEASED PARTY.</w:t>
      </w:r>
    </w:p>
    <w:p>
      <w:pPr>
        <w:spacing w:after="0" w:line="213" w:lineRule="exact"/>
        <w:rPr>
          <w:sz w:val="20"/>
          <w:szCs w:val="20"/>
          <w:color w:val="auto"/>
        </w:rPr>
      </w:pPr>
    </w:p>
    <w:p>
      <w:pPr>
        <w:ind w:left="760"/>
        <w:spacing w:after="0" w:line="260" w:lineRule="auto"/>
        <w:rPr>
          <w:sz w:val="20"/>
          <w:szCs w:val="20"/>
          <w:color w:val="auto"/>
        </w:rPr>
      </w:pPr>
      <w:r>
        <w:rPr>
          <w:rFonts w:ascii="Arial" w:cs="Arial" w:eastAsia="Arial" w:hAnsi="Arial"/>
          <w:sz w:val="20"/>
          <w:szCs w:val="20"/>
          <w:color w:val="auto"/>
        </w:rPr>
        <w:t>Tenant acknowledges that it has received the advice of legal counsel with respect to the aforementioned waiver and understands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4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60" w:hanging="2"/>
        <w:spacing w:after="0" w:line="263" w:lineRule="auto"/>
        <w:tabs>
          <w:tab w:leader="none" w:pos="7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hanging="2"/>
        <w:spacing w:after="0" w:line="263" w:lineRule="auto"/>
        <w:tabs>
          <w:tab w:leader="none" w:pos="7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780" w:hanging="2"/>
        <w:spacing w:after="0" w:line="342" w:lineRule="auto"/>
        <w:tabs>
          <w:tab w:leader="none" w:pos="765"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220" w:hanging="2"/>
        <w:spacing w:after="0" w:line="263" w:lineRule="auto"/>
        <w:tabs>
          <w:tab w:leader="none" w:pos="7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80" w:hanging="2"/>
        <w:spacing w:after="0" w:line="277" w:lineRule="auto"/>
        <w:tabs>
          <w:tab w:leader="none" w:pos="7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120" w:hanging="2"/>
        <w:spacing w:after="0" w:line="277" w:lineRule="auto"/>
        <w:tabs>
          <w:tab w:leader="none" w:pos="7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Mackaness,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60" w:hanging="2"/>
        <w:spacing w:after="0" w:line="263" w:lineRule="auto"/>
        <w:tabs>
          <w:tab w:leader="none" w:pos="7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hanging="2"/>
        <w:spacing w:after="0" w:line="263" w:lineRule="auto"/>
        <w:tabs>
          <w:tab w:leader="none" w:pos="7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780" w:hanging="2"/>
        <w:spacing w:after="0" w:line="342" w:lineRule="auto"/>
        <w:tabs>
          <w:tab w:leader="none" w:pos="76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220" w:hanging="2"/>
        <w:spacing w:after="0" w:line="263" w:lineRule="auto"/>
        <w:tabs>
          <w:tab w:leader="none" w:pos="7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80" w:hanging="2"/>
        <w:spacing w:after="0" w:line="277" w:lineRule="auto"/>
        <w:tabs>
          <w:tab w:leader="none" w:pos="7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120" w:hanging="2"/>
        <w:spacing w:after="0" w:line="277" w:lineRule="auto"/>
        <w:tabs>
          <w:tab w:leader="none" w:pos="7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March 31, 2021,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57" w:lineRule="exact"/>
        <w:rPr>
          <w:sz w:val="20"/>
          <w:szCs w:val="20"/>
          <w:color w:val="auto"/>
        </w:rPr>
      </w:pPr>
    </w:p>
    <w:p>
      <w:pPr>
        <w:ind w:left="1520" w:hanging="500"/>
        <w:spacing w:after="0"/>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connection with the Quarterly Report of Soleno Therapeutics, Inc. (the “Company”) on Form 10-Q for the fiscal quarter ended March 31, 2021,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76" w:lineRule="exact"/>
        <w:rPr>
          <w:sz w:val="20"/>
          <w:szCs w:val="20"/>
          <w:color w:val="auto"/>
        </w:rPr>
      </w:pPr>
    </w:p>
    <w:p>
      <w:pPr>
        <w:ind w:left="1520" w:hanging="500"/>
        <w:spacing w:after="0"/>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bullet"/>
      <w:start w:val="1"/>
    </w:lvl>
  </w:abstractNum>
  <w:abstractNum w:abstractNumId="7">
    <w:nsid w:val="79838CB2"/>
    <w:multiLevelType w:val="hybridMultilevel"/>
    <w:lvl w:ilvl="0">
      <w:lvlJc w:val="left"/>
      <w:lvlText w:val="2"/>
      <w:numFmt w:val="bullet"/>
      <w:start w:val="1"/>
    </w:lvl>
  </w:abstractNum>
  <w:abstractNum w:abstractNumId="8">
    <w:nsid w:val="4353D0CD"/>
    <w:multiLevelType w:val="hybridMultilevel"/>
    <w:lvl w:ilvl="0">
      <w:lvlJc w:val="left"/>
      <w:lvlText w:val="3"/>
      <w:numFmt w:val="bullet"/>
      <w:start w:val="1"/>
    </w:lvl>
  </w:abstractNum>
  <w:abstractNum w:abstractNumId="9">
    <w:nsid w:val="B03E0C6"/>
    <w:multiLevelType w:val="hybridMultilevel"/>
    <w:lvl w:ilvl="0">
      <w:lvlJc w:val="left"/>
      <w:lvlText w:val="4"/>
      <w:numFmt w:val="bullet"/>
      <w:start w:val="1"/>
    </w:lvl>
  </w:abstractNum>
  <w:abstractNum w:abstractNumId="10">
    <w:nsid w:val="189A769B"/>
    <w:multiLevelType w:val="hybridMultilevel"/>
    <w:lvl w:ilvl="0">
      <w:lvlJc w:val="left"/>
      <w:lvlText w:val="5"/>
      <w:numFmt w:val="bullet"/>
      <w:start w:val="1"/>
    </w:lvl>
  </w:abstractNum>
  <w:abstractNum w:abstractNumId="11">
    <w:nsid w:val="54E49EB4"/>
    <w:multiLevelType w:val="hybridMultilevel"/>
    <w:lvl w:ilvl="0">
      <w:lvlJc w:val="left"/>
      <w:lvlText w:val="6"/>
      <w:numFmt w:val="bullet"/>
      <w:start w:val="1"/>
    </w:lvl>
  </w:abstractNum>
  <w:abstractNum w:abstractNumId="12">
    <w:nsid w:val="71F32454"/>
    <w:multiLevelType w:val="hybridMultilevel"/>
    <w:lvl w:ilvl="0">
      <w:lvlJc w:val="left"/>
      <w:lvlText w:val="7"/>
      <w:numFmt w:val="bullet"/>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4"/>
    </w:lvl>
  </w:abstractNum>
  <w:abstractNum w:abstractNumId="15">
    <w:nsid w:val="2901D82"/>
    <w:multiLevelType w:val="hybridMultilevel"/>
    <w:lvl w:ilvl="0">
      <w:lvlJc w:val="left"/>
      <w:lvlText w:val="(%1)"/>
      <w:numFmt w:val="lowerLetter"/>
      <w:start w:val="3"/>
    </w:lvl>
  </w:abstractNum>
  <w:abstractNum w:abstractNumId="16">
    <w:nsid w:val="3A95F874"/>
    <w:multiLevelType w:val="hybridMultilevel"/>
    <w:lvl w:ilvl="0">
      <w:lvlJc w:val="left"/>
      <w:lvlText w:val="8"/>
      <w:numFmt w:val="bullet"/>
      <w:start w:val="1"/>
    </w:lvl>
  </w:abstractNum>
  <w:abstractNum w:abstractNumId="17">
    <w:nsid w:val="8138641"/>
    <w:multiLevelType w:val="hybridMultilevel"/>
    <w:lvl w:ilvl="0">
      <w:lvlJc w:val="left"/>
      <w:lvlText w:val="9"/>
      <w:numFmt w:val="bullet"/>
      <w:start w:val="1"/>
    </w:lvl>
  </w:abstractNum>
  <w:abstractNum w:abstractNumId="18">
    <w:nsid w:val="1E7FF521"/>
    <w:multiLevelType w:val="hybridMultilevel"/>
    <w:lvl w:ilvl="0">
      <w:lvlJc w:val="left"/>
      <w:lvlText w:val="%1"/>
      <w:numFmt w:val="decimal"/>
      <w:start w:val="11"/>
    </w:lvl>
  </w:abstractNum>
  <w:abstractNum w:abstractNumId="19">
    <w:nsid w:val="7C3DBD3D"/>
    <w:multiLevelType w:val="hybridMultilevel"/>
    <w:lvl w:ilvl="0">
      <w:lvlJc w:val="left"/>
      <w:lvlText w:val="%1"/>
      <w:numFmt w:val="decimal"/>
      <w:start w:val="270"/>
    </w:lvl>
  </w:abstractNum>
  <w:abstractNum w:abstractNumId="20">
    <w:nsid w:val="737B8DDC"/>
    <w:multiLevelType w:val="hybridMultilevel"/>
    <w:lvl w:ilvl="0">
      <w:lvlJc w:val="left"/>
      <w:lvlText w:val="%1"/>
      <w:numFmt w:val="decimal"/>
      <w:start w:val="12"/>
    </w:lvl>
  </w:abstractNum>
  <w:abstractNum w:abstractNumId="21">
    <w:nsid w:val="6CEAF087"/>
    <w:multiLevelType w:val="hybridMultilevel"/>
    <w:lvl w:ilvl="0">
      <w:lvlJc w:val="left"/>
      <w:lvlText w:val="%1"/>
      <w:numFmt w:val="decimal"/>
      <w:start w:val="13"/>
    </w:lvl>
  </w:abstractNum>
  <w:abstractNum w:abstractNumId="22">
    <w:nsid w:val="22221A70"/>
    <w:multiLevelType w:val="hybridMultilevel"/>
    <w:lvl w:ilvl="0">
      <w:lvlJc w:val="left"/>
      <w:lvlText w:val="%1"/>
      <w:numFmt w:val="decimal"/>
      <w:start w:val="15"/>
    </w:lvl>
  </w:abstractNum>
  <w:abstractNum w:abstractNumId="23">
    <w:nsid w:val="4516DDE9"/>
    <w:multiLevelType w:val="hybridMultilevel"/>
    <w:lvl w:ilvl="0">
      <w:lvlJc w:val="left"/>
      <w:lvlText w:val="%1"/>
      <w:numFmt w:val="decimal"/>
      <w:start w:val="16"/>
    </w:lvl>
  </w:abstractNum>
  <w:abstractNum w:abstractNumId="24">
    <w:nsid w:val="3006C83E"/>
    <w:multiLevelType w:val="hybridMultilevel"/>
    <w:lvl w:ilvl="0">
      <w:lvlJc w:val="left"/>
      <w:lvlText w:val="%1"/>
      <w:numFmt w:val="decimal"/>
      <w:start w:val="20"/>
    </w:lvl>
  </w:abstractNum>
  <w:abstractNum w:abstractNumId="25">
    <w:nsid w:val="614FD4A1"/>
    <w:multiLevelType w:val="hybridMultilevel"/>
    <w:lvl w:ilvl="0">
      <w:lvlJc w:val="left"/>
      <w:lvlText w:val="%1"/>
      <w:numFmt w:val="decimal"/>
      <w:start w:val="22"/>
    </w:lvl>
  </w:abstractNum>
  <w:abstractNum w:abstractNumId="26">
    <w:nsid w:val="419AC241"/>
    <w:multiLevelType w:val="hybridMultilevel"/>
    <w:lvl w:ilvl="0">
      <w:lvlJc w:val="left"/>
      <w:lvlText w:val="(%1)"/>
      <w:numFmt w:val="lowerLetter"/>
      <w:start w:val="2"/>
    </w:lvl>
  </w:abstractNum>
  <w:abstractNum w:abstractNumId="27">
    <w:nsid w:val="5577F8E1"/>
    <w:multiLevelType w:val="hybridMultilevel"/>
    <w:lvl w:ilvl="0">
      <w:lvlJc w:val="left"/>
      <w:lvlText w:val="(%1)"/>
      <w:numFmt w:val="lowerLetter"/>
      <w:start w:val="22"/>
    </w:lvl>
  </w:abstractNum>
  <w:abstractNum w:abstractNumId="28">
    <w:nsid w:val="440BADFC"/>
    <w:multiLevelType w:val="hybridMultilevel"/>
    <w:lvl w:ilvl="0">
      <w:lvlJc w:val="left"/>
      <w:lvlText w:val="(%1)"/>
      <w:numFmt w:val="lowerLetter"/>
      <w:start w:val="6"/>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9"/>
    </w:lvl>
  </w:abstractNum>
  <w:abstractNum w:abstractNumId="33">
    <w:nsid w:val="5C482A97"/>
    <w:multiLevelType w:val="hybridMultilevel"/>
    <w:lvl w:ilvl="0">
      <w:lvlJc w:val="left"/>
      <w:lvlText w:val="%1."/>
      <w:numFmt w:val="decimal"/>
      <w:start w:val="20"/>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8"/>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2021-05-05T15:30:43Z</dcterms:created>
  <dcterms:modified xsi:type="dcterms:W3CDTF">2021-05-05T15:30:43Z</dcterms:modified>
</cp:coreProperties>
</file>