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465361"/>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65361"/>
        </w:rPr>
        <w:t>Registration No. 333-276344</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(To Prospectus dated January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100330</wp:posOffset>
            </wp:positionV>
            <wp:extent cx="12858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9"/>
          <w:szCs w:val="29"/>
          <w:b w:val="1"/>
          <w:bCs w:val="1"/>
          <w:color w:val="465361"/>
        </w:rPr>
        <w:t>3,000,000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258445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465361"/>
        </w:rPr>
        <w:t>We are offering 3,000,0000 shares of our common stock, par value $0.001 per share.</w:t>
      </w:r>
    </w:p>
    <w:p>
      <w:pPr>
        <w:spacing w:after="0" w:line="158" w:lineRule="exact"/>
        <w:rPr>
          <w:sz w:val="24"/>
          <w:szCs w:val="24"/>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465361"/>
        </w:rPr>
        <w:t>Our common stock is listed on The Nasdaq Capital Market under the symbol “SLNO.” On May 1, 2024, the last reported sale price of shares of our common stock on The Nasdaq Capital Market was $47.54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217170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color w:val="465361"/>
        </w:rPr>
        <w:t>Investing in our securities involves significant risks. Please read the information contained in or incorporated by reference under the heading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465361"/>
        </w:rPr>
        <w:t>” beginning on page S-10 of this prospectus supplement, and under similar headings in other documents filed after the date hereof and incorporated by reference into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225425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465361"/>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12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Per share</w:t>
            </w:r>
          </w:p>
        </w:tc>
        <w:tc>
          <w:tcPr>
            <w:tcW w:w="10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465361"/>
              </w:rPr>
              <w:t>Total</w:t>
            </w:r>
          </w:p>
        </w:tc>
      </w:tr>
      <w:tr>
        <w:trPr>
          <w:trHeight w:val="210"/>
        </w:trPr>
        <w:tc>
          <w:tcPr>
            <w:tcW w:w="9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Public offering price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46.00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465361"/>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7"/>
              </w:rPr>
              <w:t>138,000,000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1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465361"/>
              </w:rPr>
              <w:t>Underwriting discounts and commissions</w:t>
            </w:r>
            <w:r>
              <w:rPr>
                <w:rFonts w:ascii="Times New Roman" w:cs="Times New Roman" w:eastAsia="Times New Roman" w:hAnsi="Times New Roman"/>
                <w:sz w:val="25"/>
                <w:szCs w:val="25"/>
                <w:color w:val="465361"/>
                <w:vertAlign w:val="superscript"/>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2.76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465361"/>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8,280,000</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Proceeds, before expenses, to us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43.24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465361"/>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w w:val="97"/>
              </w:rPr>
              <w:t>129,720,000</w:t>
            </w:r>
          </w:p>
        </w:tc>
      </w:tr>
      <w:tr>
        <w:trPr>
          <w:trHeight w:val="135"/>
        </w:trPr>
        <w:tc>
          <w:tcPr>
            <w:tcW w:w="9100" w:type="dxa"/>
            <w:vAlign w:val="bottom"/>
            <w:tcBorders>
              <w:bottom w:val="single" w:sz="8" w:color="465361"/>
            </w:tcBorders>
          </w:tcPr>
          <w:p>
            <w:pPr>
              <w:spacing w:after="0"/>
              <w:rPr>
                <w:sz w:val="11"/>
                <w:szCs w:val="11"/>
                <w:color w:val="auto"/>
              </w:rPr>
            </w:pPr>
          </w:p>
        </w:tc>
        <w:tc>
          <w:tcPr>
            <w:tcW w:w="140" w:type="dxa"/>
            <w:vAlign w:val="bottom"/>
            <w:tcBorders>
              <w:bottom w:val="single" w:sz="8" w:color="465361"/>
            </w:tcBorders>
          </w:tcPr>
          <w:p>
            <w:pPr>
              <w:spacing w:after="0"/>
              <w:rPr>
                <w:sz w:val="11"/>
                <w:szCs w:val="11"/>
                <w:color w:val="auto"/>
              </w:rPr>
            </w:pPr>
          </w:p>
        </w:tc>
        <w:tc>
          <w:tcPr>
            <w:tcW w:w="440" w:type="dxa"/>
            <w:vAlign w:val="bottom"/>
            <w:tcBorders>
              <w:bottom w:val="single" w:sz="8" w:color="465361"/>
            </w:tcBorders>
          </w:tcPr>
          <w:p>
            <w:pPr>
              <w:spacing w:after="0"/>
              <w:rPr>
                <w:sz w:val="11"/>
                <w:szCs w:val="11"/>
                <w:color w:val="auto"/>
              </w:rPr>
            </w:pPr>
          </w:p>
        </w:tc>
        <w:tc>
          <w:tcPr>
            <w:tcW w:w="280" w:type="dxa"/>
            <w:vAlign w:val="bottom"/>
            <w:tcBorders>
              <w:bottom w:val="single" w:sz="8" w:color="465361"/>
            </w:tcBorders>
          </w:tcPr>
          <w:p>
            <w:pPr>
              <w:spacing w:after="0"/>
              <w:rPr>
                <w:sz w:val="11"/>
                <w:szCs w:val="11"/>
                <w:color w:val="auto"/>
              </w:rPr>
            </w:pPr>
          </w:p>
        </w:tc>
        <w:tc>
          <w:tcPr>
            <w:tcW w:w="100" w:type="dxa"/>
            <w:vAlign w:val="bottom"/>
            <w:tcBorders>
              <w:bottom w:val="single" w:sz="8" w:color="465361"/>
            </w:tcBorders>
          </w:tcPr>
          <w:p>
            <w:pPr>
              <w:spacing w:after="0"/>
              <w:rPr>
                <w:sz w:val="11"/>
                <w:szCs w:val="11"/>
                <w:color w:val="auto"/>
              </w:rPr>
            </w:pPr>
          </w:p>
        </w:tc>
        <w:tc>
          <w:tcPr>
            <w:tcW w:w="900" w:type="dxa"/>
            <w:vAlign w:val="bottom"/>
            <w:tcBorders>
              <w:bottom w:val="single" w:sz="8" w:color="465361"/>
            </w:tcBorders>
          </w:tcPr>
          <w:p>
            <w:pPr>
              <w:spacing w:after="0"/>
              <w:rPr>
                <w:sz w:val="11"/>
                <w:szCs w:val="11"/>
                <w:color w:val="auto"/>
              </w:rPr>
            </w:pPr>
          </w:p>
        </w:tc>
        <w:tc>
          <w:tcPr>
            <w:tcW w:w="60" w:type="dxa"/>
            <w:vAlign w:val="bottom"/>
            <w:tcBorders>
              <w:bottom w:val="single" w:sz="8" w:color="465361"/>
            </w:tcBorders>
          </w:tcPr>
          <w:p>
            <w:pPr>
              <w:spacing w:after="0"/>
              <w:rPr>
                <w:sz w:val="11"/>
                <w:szCs w:val="11"/>
                <w:color w:val="auto"/>
              </w:rPr>
            </w:pPr>
          </w:p>
        </w:tc>
      </w:tr>
      <w:tr>
        <w:trPr>
          <w:trHeight w:val="34"/>
        </w:trPr>
        <w:tc>
          <w:tcPr>
            <w:tcW w:w="9100" w:type="dxa"/>
            <w:vAlign w:val="bottom"/>
            <w:tcBorders>
              <w:bottom w:val="single" w:sz="8" w:color="465361"/>
            </w:tcBorders>
          </w:tcPr>
          <w:p>
            <w:pPr>
              <w:spacing w:after="0"/>
              <w:rPr>
                <w:sz w:val="2"/>
                <w:szCs w:val="2"/>
                <w:color w:val="auto"/>
              </w:rPr>
            </w:pPr>
          </w:p>
        </w:tc>
        <w:tc>
          <w:tcPr>
            <w:tcW w:w="140" w:type="dxa"/>
            <w:vAlign w:val="bottom"/>
            <w:tcBorders>
              <w:bottom w:val="single" w:sz="8" w:color="465361"/>
            </w:tcBorders>
          </w:tcPr>
          <w:p>
            <w:pPr>
              <w:spacing w:after="0"/>
              <w:rPr>
                <w:sz w:val="2"/>
                <w:szCs w:val="2"/>
                <w:color w:val="auto"/>
              </w:rPr>
            </w:pPr>
          </w:p>
        </w:tc>
        <w:tc>
          <w:tcPr>
            <w:tcW w:w="440" w:type="dxa"/>
            <w:vAlign w:val="bottom"/>
            <w:tcBorders>
              <w:bottom w:val="single" w:sz="8" w:color="465361"/>
            </w:tcBorders>
          </w:tcPr>
          <w:p>
            <w:pPr>
              <w:spacing w:after="0"/>
              <w:rPr>
                <w:sz w:val="2"/>
                <w:szCs w:val="2"/>
                <w:color w:val="auto"/>
              </w:rPr>
            </w:pPr>
          </w:p>
        </w:tc>
        <w:tc>
          <w:tcPr>
            <w:tcW w:w="280" w:type="dxa"/>
            <w:vAlign w:val="bottom"/>
            <w:tcBorders>
              <w:bottom w:val="single" w:sz="8" w:color="465361"/>
            </w:tcBorders>
          </w:tcPr>
          <w:p>
            <w:pPr>
              <w:spacing w:after="0"/>
              <w:rPr>
                <w:sz w:val="2"/>
                <w:szCs w:val="2"/>
                <w:color w:val="auto"/>
              </w:rPr>
            </w:pPr>
          </w:p>
        </w:tc>
        <w:tc>
          <w:tcPr>
            <w:tcW w:w="100" w:type="dxa"/>
            <w:vAlign w:val="bottom"/>
            <w:tcBorders>
              <w:bottom w:val="single" w:sz="8" w:color="465361"/>
            </w:tcBorders>
          </w:tcPr>
          <w:p>
            <w:pPr>
              <w:spacing w:after="0"/>
              <w:rPr>
                <w:sz w:val="2"/>
                <w:szCs w:val="2"/>
                <w:color w:val="auto"/>
              </w:rPr>
            </w:pPr>
          </w:p>
        </w:tc>
        <w:tc>
          <w:tcPr>
            <w:tcW w:w="900" w:type="dxa"/>
            <w:vAlign w:val="bottom"/>
            <w:tcBorders>
              <w:bottom w:val="single" w:sz="8" w:color="465361"/>
            </w:tcBorders>
          </w:tcPr>
          <w:p>
            <w:pPr>
              <w:spacing w:after="0"/>
              <w:rPr>
                <w:sz w:val="2"/>
                <w:szCs w:val="2"/>
                <w:color w:val="auto"/>
              </w:rPr>
            </w:pPr>
          </w:p>
        </w:tc>
        <w:tc>
          <w:tcPr>
            <w:tcW w:w="60" w:type="dxa"/>
            <w:vAlign w:val="bottom"/>
            <w:tcBorders>
              <w:bottom w:val="single" w:sz="8" w:color="465361"/>
            </w:tcBorders>
          </w:tcPr>
          <w:p>
            <w:pPr>
              <w:spacing w:after="0"/>
              <w:rPr>
                <w:sz w:val="2"/>
                <w:szCs w:val="2"/>
                <w:color w:val="auto"/>
              </w:rPr>
            </w:pPr>
          </w:p>
        </w:tc>
      </w:tr>
    </w:tbl>
    <w:p>
      <w:pPr>
        <w:spacing w:after="0" w:line="139" w:lineRule="exact"/>
        <w:rPr>
          <w:sz w:val="24"/>
          <w:szCs w:val="24"/>
          <w:color w:val="auto"/>
        </w:rPr>
      </w:pPr>
    </w:p>
    <w:p>
      <w:pPr>
        <w:ind w:left="340" w:right="380" w:hanging="224"/>
        <w:spacing w:after="0" w:line="261" w:lineRule="auto"/>
        <w:tabs>
          <w:tab w:leader="none" w:pos="340" w:val="left"/>
        </w:tabs>
        <w:numPr>
          <w:ilvl w:val="0"/>
          <w:numId w:val="1"/>
        </w:numPr>
        <w:rPr>
          <w:rFonts w:ascii="Times New Roman" w:cs="Times New Roman" w:eastAsia="Times New Roman" w:hAnsi="Times New Roman"/>
          <w:sz w:val="11"/>
          <w:szCs w:val="11"/>
          <w:color w:val="465361"/>
        </w:rPr>
      </w:pPr>
      <w:r>
        <w:rPr>
          <w:rFonts w:ascii="Times New Roman" w:cs="Times New Roman" w:eastAsia="Times New Roman" w:hAnsi="Times New Roman"/>
          <w:sz w:val="14"/>
          <w:szCs w:val="14"/>
          <w:color w:val="465361"/>
        </w:rPr>
        <w:t>We have agreed to reimburse the underwriters for certain expenses. We refer you to “Underwriting” beginning on page S-25 of this prospectus supplement for additional information regarding total underwriting compensation.</w:t>
      </w:r>
    </w:p>
    <w:p>
      <w:pPr>
        <w:spacing w:after="0" w:line="100" w:lineRule="exact"/>
        <w:rPr>
          <w:sz w:val="24"/>
          <w:szCs w:val="24"/>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465361"/>
        </w:rPr>
        <w:t>We have granted the underwriters an option for a period of 30 days to purchase up to an additional shares of our common stock. If the underwriters exercise the option in full, the total underwriting discounts and commissions payable by us will be $9,522,000, and the total proceeds to us, before expenses, will be $149,178,000.</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465361"/>
        </w:rPr>
        <w:t>The underwriters expect to deliver the shares of common stock against payment on or about May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257175</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465361"/>
        </w:rPr>
        <w:t>Joint Book-Running Managers</w:t>
      </w:r>
    </w:p>
    <w:p>
      <w:pPr>
        <w:sectPr>
          <w:pgSz w:w="11900" w:h="16838" w:orient="portrait"/>
          <w:cols w:equalWidth="0" w:num="1">
            <w:col w:w="11140"/>
          </w:cols>
          <w:pgMar w:left="320" w:top="226" w:right="439" w:bottom="1440" w:gutter="0" w:footer="0" w:header="0"/>
        </w:sectPr>
      </w:pPr>
    </w:p>
    <w:p>
      <w:pPr>
        <w:spacing w:after="0" w:line="22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465361"/>
        </w:rPr>
        <w:t>Piper Sandler</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465361"/>
        </w:rPr>
        <w:t>Guggenheim Securities</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465361"/>
        </w:rPr>
        <w:t>Cantor</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465361"/>
        </w:rPr>
        <w:t>Oppenheimer &amp; Co.</w:t>
      </w:r>
    </w:p>
    <w:p>
      <w:pPr>
        <w:spacing w:after="0" w:line="172" w:lineRule="exact"/>
        <w:rPr>
          <w:sz w:val="24"/>
          <w:szCs w:val="24"/>
          <w:color w:val="auto"/>
        </w:rPr>
      </w:pPr>
    </w:p>
    <w:p>
      <w:pPr>
        <w:sectPr>
          <w:pgSz w:w="11900" w:h="16838" w:orient="portrait"/>
          <w:cols w:equalWidth="0" w:num="4">
            <w:col w:w="2020" w:space="640"/>
            <w:col w:w="3200" w:space="660"/>
            <w:col w:w="1080" w:space="720"/>
            <w:col w:w="2820"/>
          </w:cols>
          <w:pgMar w:left="320" w:top="226"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i w:val="1"/>
          <w:iCs w:val="1"/>
          <w:color w:val="465361"/>
        </w:rPr>
        <w:t>Lead Manager</w:t>
      </w:r>
    </w:p>
    <w:p>
      <w:pPr>
        <w:sectPr>
          <w:pgSz w:w="11900" w:h="16838" w:orient="portrait"/>
          <w:cols w:equalWidth="0" w:num="1">
            <w:col w:w="11140"/>
          </w:cols>
          <w:pgMar w:left="320" w:top="226" w:right="439" w:bottom="1440" w:gutter="0" w:footer="0" w:header="0"/>
          <w:type w:val="continuous"/>
        </w:sectPr>
      </w:pP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Laidlaw &amp; Company (UK) Ltd.</w:t>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465361"/>
        </w:rPr>
        <w:t>The date of this prospectus supplement is May 2, 2024</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0" w:type="dxa"/>
            <w:vAlign w:val="bottom"/>
            <w:gridSpan w:val="4"/>
          </w:tcPr>
          <w:p>
            <w:pPr>
              <w:jc w:val="center"/>
              <w:ind w:right="2720"/>
              <w:spacing w:after="0"/>
              <w:rPr>
                <w:sz w:val="20"/>
                <w:szCs w:val="20"/>
                <w:color w:val="auto"/>
              </w:rPr>
            </w:pPr>
            <w:r>
              <w:rPr>
                <w:rFonts w:ascii="Times New Roman" w:cs="Times New Roman" w:eastAsia="Times New Roman" w:hAnsi="Times New Roman"/>
                <w:sz w:val="18"/>
                <w:szCs w:val="18"/>
                <w:b w:val="1"/>
                <w:bCs w:val="1"/>
                <w:color w:val="465361"/>
                <w:w w:val="98"/>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46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465361"/>
              </w:rPr>
              <w:t>Prospectus Supplement</w:t>
            </w:r>
          </w:p>
        </w:tc>
        <w:tc>
          <w:tcPr>
            <w:tcW w:w="340" w:type="dxa"/>
            <w:vAlign w:val="bottom"/>
            <w:tcBorders>
              <w:bottom w:val="single" w:sz="8" w:color="465361"/>
            </w:tcBorders>
          </w:tcPr>
          <w:p>
            <w:pPr>
              <w:jc w:val="right"/>
              <w:spacing w:after="0"/>
              <w:rPr>
                <w:sz w:val="20"/>
                <w:szCs w:val="20"/>
                <w:color w:val="auto"/>
              </w:rPr>
            </w:pPr>
            <w:r>
              <w:rPr>
                <w:rFonts w:ascii="Times New Roman" w:cs="Times New Roman" w:eastAsia="Times New Roman" w:hAnsi="Times New Roman"/>
                <w:sz w:val="14"/>
                <w:szCs w:val="14"/>
                <w:b w:val="1"/>
                <w:bCs w:val="1"/>
                <w:color w:val="465361"/>
              </w:rPr>
              <w:t>Page</w:t>
            </w:r>
          </w:p>
        </w:tc>
        <w:tc>
          <w:tcPr>
            <w:tcW w:w="0" w:type="dxa"/>
            <w:vAlign w:val="bottom"/>
          </w:tcPr>
          <w:p>
            <w:pPr>
              <w:spacing w:after="0"/>
              <w:rPr>
                <w:sz w:val="1"/>
                <w:szCs w:val="1"/>
                <w:color w:val="auto"/>
              </w:rPr>
            </w:pPr>
          </w:p>
        </w:tc>
      </w:tr>
      <w:tr>
        <w:trPr>
          <w:trHeight w:val="196"/>
        </w:trPr>
        <w:tc>
          <w:tcPr>
            <w:tcW w:w="8460" w:type="dxa"/>
            <w:vAlign w:val="bottom"/>
            <w:gridSpan w:val="29"/>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82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S-1</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Prospectus Supplement Summary</w:t>
            </w:r>
          </w:p>
        </w:tc>
        <w:tc>
          <w:tcPr>
            <w:tcW w:w="100" w:type="dxa"/>
            <w:vAlign w:val="bottom"/>
            <w:tcBorders>
              <w:top w:val="single" w:sz="8" w:color="0000EE"/>
            </w:tcBorders>
            <w:gridSpan w:val="3"/>
          </w:tcPr>
          <w:p>
            <w:pPr>
              <w:spacing w:after="0"/>
              <w:rPr>
                <w:sz w:val="24"/>
                <w:szCs w:val="24"/>
                <w:color w:val="auto"/>
              </w:rPr>
            </w:pPr>
          </w:p>
        </w:tc>
        <w:tc>
          <w:tcPr>
            <w:tcW w:w="574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S-2</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82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S-8</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9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340" w:type="dxa"/>
            <w:vAlign w:val="bottom"/>
            <w:gridSpan w:val="25"/>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20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6200" w:type="dxa"/>
            <w:vAlign w:val="bottom"/>
            <w:gridSpan w:val="13"/>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S-12</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1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Use of Proceeds</w:t>
            </w:r>
          </w:p>
        </w:tc>
        <w:tc>
          <w:tcPr>
            <w:tcW w:w="7100" w:type="dxa"/>
            <w:vAlign w:val="bottom"/>
            <w:gridSpan w:val="2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S-13</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1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7080" w:type="dxa"/>
            <w:vAlign w:val="bottom"/>
            <w:gridSpan w:val="21"/>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S-14</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82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Dilution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33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Description of The Securities We Are Offering</w:t>
            </w:r>
          </w:p>
        </w:tc>
        <w:tc>
          <w:tcPr>
            <w:tcW w:w="490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S-17</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51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Material U.S. Federal Income Tax Consequences To Non-U.S. Holders</w:t>
            </w:r>
          </w:p>
        </w:tc>
        <w:tc>
          <w:tcPr>
            <w:tcW w:w="3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S-18</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Underwriting</w:t>
            </w:r>
          </w:p>
        </w:tc>
        <w:tc>
          <w:tcPr>
            <w:tcW w:w="7300" w:type="dxa"/>
            <w:vAlign w:val="bottom"/>
            <w:gridSpan w:val="24"/>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S-25</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82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S-32</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Experts</w:t>
            </w:r>
          </w:p>
        </w:tc>
        <w:tc>
          <w:tcPr>
            <w:tcW w:w="400" w:type="dxa"/>
            <w:vAlign w:val="bottom"/>
            <w:tcBorders>
              <w:top w:val="single" w:sz="8" w:color="0000EE"/>
            </w:tcBorders>
            <w:gridSpan w:val="4"/>
          </w:tcPr>
          <w:p>
            <w:pPr>
              <w:spacing w:after="0"/>
              <w:rPr>
                <w:sz w:val="24"/>
                <w:szCs w:val="24"/>
                <w:color w:val="auto"/>
              </w:rPr>
            </w:pPr>
          </w:p>
        </w:tc>
        <w:tc>
          <w:tcPr>
            <w:tcW w:w="7280" w:type="dxa"/>
            <w:vAlign w:val="bottom"/>
            <w:gridSpan w:val="23"/>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S-32</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28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540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S-32</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36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Incorporation of Certain Information by Reference</w:t>
            </w:r>
          </w:p>
        </w:tc>
        <w:tc>
          <w:tcPr>
            <w:tcW w:w="462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S-33</w:t>
            </w:r>
          </w:p>
        </w:tc>
        <w:tc>
          <w:tcPr>
            <w:tcW w:w="0" w:type="dxa"/>
            <w:vAlign w:val="bottom"/>
          </w:tcPr>
          <w:p>
            <w:pPr>
              <w:spacing w:after="0"/>
              <w:rPr>
                <w:sz w:val="1"/>
                <w:szCs w:val="1"/>
                <w:color w:val="auto"/>
              </w:rPr>
            </w:pPr>
          </w:p>
        </w:tc>
      </w:tr>
      <w:tr>
        <w:trPr>
          <w:trHeight w:val="453"/>
        </w:trPr>
        <w:tc>
          <w:tcPr>
            <w:tcW w:w="8460" w:type="dxa"/>
            <w:vAlign w:val="bottom"/>
            <w:gridSpan w:val="29"/>
          </w:tcPr>
          <w:p>
            <w:pPr>
              <w:spacing w:after="0"/>
              <w:rPr>
                <w:sz w:val="20"/>
                <w:szCs w:val="20"/>
                <w:color w:val="auto"/>
              </w:rPr>
            </w:pPr>
            <w:r>
              <w:rPr>
                <w:rFonts w:ascii="Times New Roman" w:cs="Times New Roman" w:eastAsia="Times New Roman" w:hAnsi="Times New Roman"/>
                <w:sz w:val="18"/>
                <w:szCs w:val="18"/>
                <w:color w:val="465361"/>
              </w:rPr>
              <w:t>Prospectus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82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16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6640" w:type="dxa"/>
            <w:vAlign w:val="bottom"/>
            <w:gridSpan w:val="17"/>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15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760" w:type="dxa"/>
            <w:vAlign w:val="bottom"/>
            <w:gridSpan w:val="18"/>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21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Forward-Looking Statements</w:t>
            </w:r>
          </w:p>
        </w:tc>
        <w:tc>
          <w:tcPr>
            <w:tcW w:w="616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1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Use of Proceeds</w:t>
            </w:r>
          </w:p>
        </w:tc>
        <w:tc>
          <w:tcPr>
            <w:tcW w:w="7100" w:type="dxa"/>
            <w:vAlign w:val="bottom"/>
            <w:gridSpan w:val="2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2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Description of Capital Stock</w:t>
            </w:r>
          </w:p>
        </w:tc>
        <w:tc>
          <w:tcPr>
            <w:tcW w:w="6220" w:type="dxa"/>
            <w:vAlign w:val="bottom"/>
            <w:gridSpan w:val="14"/>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82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24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Description of Depositary Shares</w:t>
            </w:r>
          </w:p>
        </w:tc>
        <w:tc>
          <w:tcPr>
            <w:tcW w:w="588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18</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82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82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Description of Subscription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22</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250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Description of Purchase Contracts</w:t>
            </w:r>
          </w:p>
        </w:tc>
        <w:tc>
          <w:tcPr>
            <w:tcW w:w="578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23</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Description of Units</w:t>
            </w:r>
          </w:p>
        </w:tc>
        <w:tc>
          <w:tcPr>
            <w:tcW w:w="980" w:type="dxa"/>
            <w:vAlign w:val="bottom"/>
            <w:tcBorders>
              <w:top w:val="single" w:sz="8" w:color="0000EE"/>
            </w:tcBorders>
            <w:gridSpan w:val="11"/>
          </w:tcPr>
          <w:p>
            <w:pPr>
              <w:spacing w:after="0"/>
              <w:rPr>
                <w:sz w:val="24"/>
                <w:szCs w:val="24"/>
                <w:color w:val="auto"/>
              </w:rPr>
            </w:pPr>
          </w:p>
        </w:tc>
        <w:tc>
          <w:tcPr>
            <w:tcW w:w="5820" w:type="dxa"/>
            <w:vAlign w:val="bottom"/>
            <w:gridSpan w:val="8"/>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24</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1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Plan of Distribution</w:t>
            </w:r>
          </w:p>
        </w:tc>
        <w:tc>
          <w:tcPr>
            <w:tcW w:w="6840" w:type="dxa"/>
            <w:vAlign w:val="bottom"/>
            <w:gridSpan w:val="20"/>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25</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82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28</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Experts</w:t>
            </w:r>
          </w:p>
        </w:tc>
        <w:tc>
          <w:tcPr>
            <w:tcW w:w="400" w:type="dxa"/>
            <w:vAlign w:val="bottom"/>
            <w:tcBorders>
              <w:top w:val="single" w:sz="8" w:color="0000EE"/>
            </w:tcBorders>
            <w:gridSpan w:val="4"/>
          </w:tcPr>
          <w:p>
            <w:pPr>
              <w:spacing w:after="0"/>
              <w:rPr>
                <w:sz w:val="24"/>
                <w:szCs w:val="24"/>
                <w:color w:val="auto"/>
              </w:rPr>
            </w:pPr>
          </w:p>
        </w:tc>
        <w:tc>
          <w:tcPr>
            <w:tcW w:w="7280" w:type="dxa"/>
            <w:vAlign w:val="bottom"/>
            <w:gridSpan w:val="23"/>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28</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82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29</w:t>
            </w: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286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Incorporation by Reference</w:t>
            </w:r>
          </w:p>
        </w:tc>
        <w:tc>
          <w:tcPr>
            <w:tcW w:w="542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29</w:t>
            </w: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jc w:val="center"/>
              <w:ind w:right="3500"/>
              <w:spacing w:after="0"/>
              <w:rPr>
                <w:sz w:val="20"/>
                <w:szCs w:val="20"/>
                <w:color w:val="auto"/>
              </w:rPr>
            </w:pPr>
            <w:r>
              <w:rPr>
                <w:rFonts w:ascii="Times New Roman" w:cs="Times New Roman" w:eastAsia="Times New Roman" w:hAnsi="Times New Roman"/>
                <w:sz w:val="18"/>
                <w:szCs w:val="18"/>
                <w:color w:val="465361"/>
                <w:w w:val="94"/>
              </w:rPr>
              <w:t>S-i</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ABOUT THIS PROSPECTUS SUPPLEMENT</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465361"/>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465361"/>
        </w:rPr>
        <w:t>We have not, and the underwriters have not, authorized anyone to provide you with information or to make any representation other than the information and representations contained or incorporated by reference in this prospectus supplement and the accompanying prospectus and the documents incorporated by reference herein and therein, along with the information contained in any permitted free writing prospectuses we have authorized for use in connection with this offering. We take no responsibility for, and can provide no assurance as to the reliability of, any other information that others may give you.</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465361"/>
        </w:rPr>
        <w:t>We are offering to sell, and seeking offers to buy, shares of our common stock only in jurisdictions where offers and sales are permitted. For investors outside the United States: we have not, and the underwriters have not, done anything that would permit this offering or possession or distribution of this prospectus supplement, the accompanying prospectus and in any free writing prospectus that we have authorized for use in connection with this offering in any jurisdiction where action for that purpose is required, other than in the United States. Persons outside the United States who come into possession of this prospectus supplement, the accompanying prospectus and any free writing prospectus that we have authorized for use in connection with this offering must inform themselves about, and observe any restrictions relating to, the offering of the shares of common stock and the distribution of this prospectus supplement, the accompanying prospectus and any free writing prospectus that we have authorized for use in connection with this offering outside the United States.</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465361"/>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in this prospectus supplement and in the accompanying prospectus, before investing in our common stock.</w:t>
      </w:r>
    </w:p>
    <w:p>
      <w:pPr>
        <w:spacing w:after="0" w:line="188"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465361"/>
        </w:rPr>
        <w:t>Unless otherwise indicated or the context otherwise requires, references in this prospectus supplement and the accompanying prospectus to “Soleno,” the “Company,” “we,” “us” and “our” refer to Soleno Therapeutics, Inc.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465361"/>
        </w:rPr>
        <w:t>PROSPECTUS SUPPLEMENT SUMMARY</w:t>
      </w:r>
    </w:p>
    <w:p>
      <w:pPr>
        <w:spacing w:after="0" w:line="227"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i w:val="1"/>
          <w:iCs w:val="1"/>
          <w:color w:val="465361"/>
        </w:rPr>
        <w:t>This summary highlights certain information about us and this offering. Because it is a summary, it does not contain all of the information that you should consider before investing. Before investing in our common stock, you should read this entire prospectus supplement and the accompanying prospectus carefully, including the “Risk Factors,” and the financial statements and accompanying notes and other information included and incorporated by reference in this prospectus supplement and the accompanying prospectus.</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465361"/>
        </w:rPr>
        <w:t>Overview</w:t>
      </w:r>
    </w:p>
    <w:p>
      <w:pPr>
        <w:spacing w:after="0" w:line="121" w:lineRule="exact"/>
        <w:rPr>
          <w:sz w:val="20"/>
          <w:szCs w:val="20"/>
          <w:color w:val="auto"/>
        </w:rPr>
      </w:pPr>
    </w:p>
    <w:p>
      <w:pPr>
        <w:ind w:left="300"/>
        <w:spacing w:after="0" w:line="236" w:lineRule="auto"/>
        <w:rPr>
          <w:sz w:val="20"/>
          <w:szCs w:val="20"/>
          <w:color w:val="auto"/>
        </w:rPr>
      </w:pPr>
      <w:r>
        <w:rPr>
          <w:rFonts w:ascii="Times New Roman" w:cs="Times New Roman" w:eastAsia="Times New Roman" w:hAnsi="Times New Roman"/>
          <w:sz w:val="18"/>
          <w:szCs w:val="18"/>
          <w:color w:val="465361"/>
        </w:rPr>
        <w:t>We are a clinical-stage biopharmaceutical company developing novel therapeutics for the treatment of rare diseases. Our lead candidate, DCCR (Diazoxide Choline) Extended-Release tablets, is a potent ATP-sensitive potassium (K</w:t>
      </w:r>
      <w:r>
        <w:rPr>
          <w:rFonts w:ascii="Times New Roman" w:cs="Times New Roman" w:eastAsia="Times New Roman" w:hAnsi="Times New Roman"/>
          <w:sz w:val="26"/>
          <w:szCs w:val="26"/>
          <w:color w:val="465361"/>
          <w:vertAlign w:val="subscript"/>
        </w:rPr>
        <w:t>ATP</w:t>
      </w:r>
      <w:r>
        <w:rPr>
          <w:rFonts w:ascii="Times New Roman" w:cs="Times New Roman" w:eastAsia="Times New Roman" w:hAnsi="Times New Roman"/>
          <w:sz w:val="18"/>
          <w:szCs w:val="18"/>
          <w:color w:val="465361"/>
        </w:rPr>
        <w:t>) channel activator. The K</w:t>
      </w:r>
      <w:r>
        <w:rPr>
          <w:rFonts w:ascii="Times New Roman" w:cs="Times New Roman" w:eastAsia="Times New Roman" w:hAnsi="Times New Roman"/>
          <w:sz w:val="26"/>
          <w:szCs w:val="26"/>
          <w:color w:val="465361"/>
          <w:vertAlign w:val="subscript"/>
        </w:rPr>
        <w:t>ATP</w:t>
      </w:r>
      <w:r>
        <w:rPr>
          <w:rFonts w:ascii="Times New Roman" w:cs="Times New Roman" w:eastAsia="Times New Roman" w:hAnsi="Times New Roman"/>
          <w:sz w:val="18"/>
          <w:szCs w:val="18"/>
          <w:color w:val="465361"/>
        </w:rPr>
        <w:t xml:space="preserve"> channel plays a central role in the regulation of a number of physiological processes which may otherwise be dysregulated, contributing to the pathophysiology of several diseases. In the context of the underlying genetic or structural defects in many forms of hyperphagic obesity, including Prader-Willi syndrome (PWS), these pathophysiological processes may cumulatively contribute to increases in appetite and aggressive food seeking, lack of satiety, accumulation of excess body fat and the establishment and perpetuation of the obese state.</w:t>
      </w:r>
    </w:p>
    <w:p>
      <w:pPr>
        <w:spacing w:after="0" w:line="200"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color w:val="465361"/>
        </w:rPr>
        <w:t>DCCR’s unique mode of action with targets in the brain, pancreas and fat tissue has the potential to broadly impact complex diseases like PWS to reduce appetite, reduce food seeking, improve satiety, improve insulin and leptin resistance and reduce body fat. It appears that many of the problematic behaviors in conditions like PWS may have hyperphagic drive as a root cause and may therefore be improved by addressing hyperphagia. We have a Fast-Track designation for DCCR in PWS and orphan designation for the drug in the United States (U.S.) and European Union (E.U.).</w:t>
      </w:r>
    </w:p>
    <w:p>
      <w:pPr>
        <w:spacing w:after="0" w:line="183"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465361"/>
        </w:rPr>
        <w:t>DCCR has been evaluated in a Phase 3 study (C601 or DESTINY PWS), a 13-week randomized, double-blind placebo-controlled study, which completed enrollment in January 2020, with 127 randomized participants at 29 sites in the U.S. and United Kingdom (U.K.). Participants who completed DESTINY PWS and sought continued treatment with DCCR were eligible to receive DCCR in a long-term open-label safety extension Study (C602). Top line results from DESTINY PWS were announced in June 2020. Although the trial did not meet its primary endpoint of change from baseline in hyperphagia, significant improvements were observed in two of three key secondary endpoints.</w:t>
      </w:r>
    </w:p>
    <w:p>
      <w:pPr>
        <w:spacing w:after="0" w:line="183" w:lineRule="exact"/>
        <w:rPr>
          <w:sz w:val="20"/>
          <w:szCs w:val="20"/>
          <w:color w:val="auto"/>
        </w:rPr>
      </w:pPr>
    </w:p>
    <w:p>
      <w:pPr>
        <w:ind w:left="300" w:right="100"/>
        <w:spacing w:after="0" w:line="256" w:lineRule="auto"/>
        <w:rPr>
          <w:sz w:val="20"/>
          <w:szCs w:val="20"/>
          <w:color w:val="auto"/>
        </w:rPr>
      </w:pPr>
      <w:r>
        <w:rPr>
          <w:rFonts w:ascii="Times New Roman" w:cs="Times New Roman" w:eastAsia="Times New Roman" w:hAnsi="Times New Roman"/>
          <w:sz w:val="18"/>
          <w:szCs w:val="18"/>
          <w:color w:val="465361"/>
        </w:rPr>
        <w:t>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interim one-year data from Study C602 showing statistically significant reduction in hyperphagia and all other PWS behavioral parameters and statistically significant improvements compared to natural history of PWS from the PATH for PWS Study (PATH) over a one-year treatment period. The PATH study is an ongoing study sponsored by the Foundation for Prader-Willi Research (FPWR) to advance the understanding of the natural history in individuals with PWS.</w:t>
      </w:r>
    </w:p>
    <w:p>
      <w:pPr>
        <w:spacing w:after="0" w:line="187" w:lineRule="exact"/>
        <w:rPr>
          <w:sz w:val="20"/>
          <w:szCs w:val="20"/>
          <w:color w:val="auto"/>
        </w:rPr>
      </w:pPr>
    </w:p>
    <w:p>
      <w:pPr>
        <w:ind w:left="300" w:right="400"/>
        <w:spacing w:after="0" w:line="282" w:lineRule="auto"/>
        <w:rPr>
          <w:sz w:val="20"/>
          <w:szCs w:val="20"/>
          <w:color w:val="auto"/>
        </w:rPr>
      </w:pPr>
      <w:r>
        <w:rPr>
          <w:rFonts w:ascii="Times New Roman" w:cs="Times New Roman" w:eastAsia="Times New Roman" w:hAnsi="Times New Roman"/>
          <w:sz w:val="18"/>
          <w:szCs w:val="18"/>
          <w:color w:val="465361"/>
        </w:rPr>
        <w:t>The U.S. Food and Drug Administration (FDA) provided official meeting minutes from a Type C meeting in January 2022 that recommended additional controlled data be included in a New Drug Approval (NDA) submission.</w:t>
      </w:r>
    </w:p>
    <w:p>
      <w:pPr>
        <w:spacing w:after="0" w:line="162"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465361"/>
        </w:rPr>
        <w:t>In March 2022, we submitted an amended protocol that incorporated a randomized withdrawal (RW) period to Study C602 to obtain additional controlled data requested by the FDA and the FDA has acknowledged that data from the study has the potential to support an NDA submission for DCCR. The RW period of Study C602 was a multi-center, randomized, double-blind, placebo-controlled study of DCCR in 77 patients with PWS at 17 sites in the U.S. and five sites in the U.K. This RW period consisted only of patients previously enrolled in Study C602 and did not enroll any new patients. We announced the initiation of the RW period for Study C602 in October 2022, and completed enrollment in May 2023.</w:t>
      </w:r>
    </w:p>
    <w:p>
      <w:pPr>
        <w:spacing w:after="0" w:line="2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465361"/>
        </w:rPr>
        <w:t>S-2</w:t>
      </w:r>
    </w:p>
    <w:p>
      <w:pPr>
        <w:sectPr>
          <w:pgSz w:w="11900" w:h="16838" w:orient="portrait"/>
          <w:cols w:equalWidth="0" w:num="1">
            <w:col w:w="10900"/>
          </w:cols>
          <w:pgMar w:left="320" w:top="455"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779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7779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465361"/>
        </w:rPr>
        <w:t>On September 26, 2023, we announced positive statistically significant top-line results from the RW period of Study C602. Subsequently, we received preliminary comments from the FDA for our pre-NDA meeting, and as we decided not to proceed with the meeting, they are considered the official record of the meeting. The FDA stated that the potential for data from the DCCR clinical program to provide substantial evidence of effectiveness will be a matter of review following the submission of an NDA. We plan to submit our NDA for DCCR to the FDA in mid-2024.</w:t>
      </w:r>
    </w:p>
    <w:p>
      <w:pPr>
        <w:spacing w:after="0" w:line="180"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465361"/>
        </w:rPr>
        <w:t>On April 29, 2024, we announced that the FDA granted Breakthrough Therapy Designation to diazoxide choline for the treatment of adults and children ages 4 years and older with genetically confirmed PWS who have hyperphagia. The designation reflects the FDA’s determination that, based on an assessment of the preliminary data from the Phase 3 clinical development program, diazoxide choline may demonstrate substantial improvement on a clinically significant endpoint(s) over available therapies. The FDA’s Breakthrough Therapy Designation is intended to expedite the development and review of drugs in the U.S. that are intended to treat a serious condition, when preliminary clinical evidence indicates the drug may demonstrate substantial improvement over available therapy on a clinically significant endpoint(s). With Breakthrough Therapy Designation, the FDA provides intensive guidance and organizational commitment involving senior managers in a proactive, collaborative, cross-disciplinary review, and may also allow for priority review and other actions to expedite review.</w:t>
      </w:r>
    </w:p>
    <w:p>
      <w:pPr>
        <w:spacing w:after="0" w:line="192" w:lineRule="exact"/>
        <w:rPr>
          <w:sz w:val="20"/>
          <w:szCs w:val="20"/>
          <w:color w:val="auto"/>
        </w:rPr>
      </w:pPr>
    </w:p>
    <w:p>
      <w:pPr>
        <w:ind w:left="300" w:right="80"/>
        <w:spacing w:after="0" w:line="258" w:lineRule="auto"/>
        <w:rPr>
          <w:sz w:val="20"/>
          <w:szCs w:val="20"/>
          <w:color w:val="auto"/>
        </w:rPr>
      </w:pPr>
      <w:r>
        <w:rPr>
          <w:rFonts w:ascii="Times New Roman" w:cs="Times New Roman" w:eastAsia="Times New Roman" w:hAnsi="Times New Roman"/>
          <w:sz w:val="18"/>
          <w:szCs w:val="18"/>
          <w:color w:val="465361"/>
        </w:rPr>
        <w:t>Our current focus is the development of DCCR for PWS. However, other syndromes that may be similarly addressed include SH2B1 deficient obesity, Fragile X Prader-Willi Phenotype, KSR2 deficient obesity and other hyperphagic conditions. Other diseases where DCCR may be efficacious include those where hypoglycemia due to excess insulin secretion is a significant problem. Examples include hyperinsulinemic hypoglycemia and certain Glycogen Storage Diseases. We have orphan drug designation for the treatment of Glycogen Storage Disease Type 1a in the U.S.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465361"/>
        </w:rPr>
        <w:t>Diazoxide Choline Extended-Release Tablets</w:t>
      </w:r>
    </w:p>
    <w:p>
      <w:pPr>
        <w:spacing w:after="0" w:line="121" w:lineRule="exact"/>
        <w:rPr>
          <w:sz w:val="20"/>
          <w:szCs w:val="20"/>
          <w:color w:val="auto"/>
        </w:rPr>
      </w:pPr>
    </w:p>
    <w:p>
      <w:pPr>
        <w:ind w:left="300" w:right="40"/>
        <w:spacing w:after="0" w:line="207" w:lineRule="auto"/>
        <w:rPr>
          <w:sz w:val="20"/>
          <w:szCs w:val="20"/>
          <w:color w:val="auto"/>
        </w:rPr>
      </w:pPr>
      <w:r>
        <w:rPr>
          <w:rFonts w:ascii="Times New Roman" w:cs="Times New Roman" w:eastAsia="Times New Roman" w:hAnsi="Times New Roman"/>
          <w:sz w:val="17"/>
          <w:szCs w:val="17"/>
          <w:color w:val="465361"/>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K</w:t>
      </w:r>
      <w:r>
        <w:rPr>
          <w:rFonts w:ascii="Times New Roman" w:cs="Times New Roman" w:eastAsia="Times New Roman" w:hAnsi="Times New Roman"/>
          <w:sz w:val="25"/>
          <w:szCs w:val="25"/>
          <w:color w:val="465361"/>
          <w:vertAlign w:val="subscript"/>
        </w:rPr>
        <w:t>ATP</w:t>
      </w:r>
      <w:r>
        <w:rPr>
          <w:rFonts w:ascii="Times New Roman" w:cs="Times New Roman" w:eastAsia="Times New Roman" w:hAnsi="Times New Roman"/>
          <w:sz w:val="17"/>
          <w:szCs w:val="17"/>
          <w:color w:val="465361"/>
        </w:rPr>
        <w:t xml:space="preserve"> channels and appears to act on signs and symptoms of PWS in a variety of ways. Activating the K</w:t>
      </w:r>
      <w:r>
        <w:rPr>
          <w:rFonts w:ascii="Times New Roman" w:cs="Times New Roman" w:eastAsia="Times New Roman" w:hAnsi="Times New Roman"/>
          <w:sz w:val="25"/>
          <w:szCs w:val="25"/>
          <w:color w:val="465361"/>
          <w:vertAlign w:val="subscript"/>
        </w:rPr>
        <w:t>ATP</w:t>
      </w:r>
      <w:r>
        <w:rPr>
          <w:rFonts w:ascii="Times New Roman" w:cs="Times New Roman" w:eastAsia="Times New Roman" w:hAnsi="Times New Roman"/>
          <w:sz w:val="17"/>
          <w:szCs w:val="17"/>
          <w:color w:val="465361"/>
        </w:rPr>
        <w:t xml:space="preserve"> channel in NPY/AgRP neurons in the hypothalamus may reduce secretion of neuropeptide Y (NPY), Agouti-related peptile (AgRP) and likely gamma-amino butyric acid (GABA) contributing to a reduction in hyperphagia. Activating the K</w:t>
      </w:r>
      <w:r>
        <w:rPr>
          <w:rFonts w:ascii="Times New Roman" w:cs="Times New Roman" w:eastAsia="Times New Roman" w:hAnsi="Times New Roman"/>
          <w:sz w:val="25"/>
          <w:szCs w:val="25"/>
          <w:color w:val="465361"/>
          <w:vertAlign w:val="subscript"/>
        </w:rPr>
        <w:t>ATP</w:t>
      </w:r>
      <w:r>
        <w:rPr>
          <w:rFonts w:ascii="Times New Roman" w:cs="Times New Roman" w:eastAsia="Times New Roman" w:hAnsi="Times New Roman"/>
          <w:sz w:val="17"/>
          <w:szCs w:val="17"/>
          <w:color w:val="465361"/>
        </w:rPr>
        <w:t xml:space="preserve"> channel in the dorsal motor nucleus of vagus may potentiate the effects of leptin, insulin and - melanocortin stimulating hormone to reduce hyperinsulinemia and impact appetite and satiety. Activating the K</w:t>
      </w:r>
      <w:r>
        <w:rPr>
          <w:rFonts w:ascii="Times New Roman" w:cs="Times New Roman" w:eastAsia="Times New Roman" w:hAnsi="Times New Roman"/>
          <w:sz w:val="25"/>
          <w:szCs w:val="25"/>
          <w:color w:val="465361"/>
          <w:vertAlign w:val="subscript"/>
        </w:rPr>
        <w:t>ATP</w:t>
      </w:r>
      <w:r>
        <w:rPr>
          <w:rFonts w:ascii="Times New Roman" w:cs="Times New Roman" w:eastAsia="Times New Roman" w:hAnsi="Times New Roman"/>
          <w:sz w:val="17"/>
          <w:szCs w:val="17"/>
          <w:color w:val="465361"/>
        </w:rPr>
        <w:t xml:space="preserve"> in pancreatic ß-cells can reduce the secretion of insulin, and further reduce the accumulation of excess body fat and the progression to insulin resistance. Activating the K</w:t>
      </w:r>
      <w:r>
        <w:rPr>
          <w:rFonts w:ascii="Times New Roman" w:cs="Times New Roman" w:eastAsia="Times New Roman" w:hAnsi="Times New Roman"/>
          <w:sz w:val="25"/>
          <w:szCs w:val="25"/>
          <w:color w:val="465361"/>
          <w:vertAlign w:val="subscript"/>
        </w:rPr>
        <w:t>ATP</w:t>
      </w:r>
      <w:r>
        <w:rPr>
          <w:rFonts w:ascii="Times New Roman" w:cs="Times New Roman" w:eastAsia="Times New Roman" w:hAnsi="Times New Roman"/>
          <w:sz w:val="17"/>
          <w:szCs w:val="17"/>
          <w:color w:val="465361"/>
        </w:rPr>
        <w:t xml:space="preserve"> channel in adipocytes has the potential to decrease de-novo triglyceride synthesis and increase ß-oxidation of fat, reducing fat mass.</w:t>
      </w:r>
    </w:p>
    <w:p>
      <w:pPr>
        <w:spacing w:after="0" w:line="198" w:lineRule="exact"/>
        <w:rPr>
          <w:sz w:val="20"/>
          <w:szCs w:val="20"/>
          <w:color w:val="auto"/>
        </w:rPr>
      </w:pPr>
    </w:p>
    <w:p>
      <w:pPr>
        <w:ind w:left="300" w:right="20"/>
        <w:spacing w:after="0" w:line="238" w:lineRule="auto"/>
        <w:rPr>
          <w:sz w:val="20"/>
          <w:szCs w:val="20"/>
          <w:color w:val="auto"/>
        </w:rPr>
      </w:pPr>
      <w:r>
        <w:rPr>
          <w:rFonts w:ascii="Times New Roman" w:cs="Times New Roman" w:eastAsia="Times New Roman" w:hAnsi="Times New Roman"/>
          <w:sz w:val="18"/>
          <w:szCs w:val="18"/>
          <w:color w:val="465361"/>
        </w:rPr>
        <w:t>In the U.S., diazoxide was first approved in 1973 as an intravenous formulation for the emergency treatment of malignant hypertension. In 1976, immediate-release oral formulations including Proglycem</w:t>
      </w:r>
      <w:r>
        <w:rPr>
          <w:rFonts w:ascii="Times New Roman" w:cs="Times New Roman" w:eastAsia="Times New Roman" w:hAnsi="Times New Roman"/>
          <w:sz w:val="26"/>
          <w:szCs w:val="26"/>
          <w:color w:val="465361"/>
          <w:vertAlign w:val="superscript"/>
        </w:rPr>
        <w:t>®</w:t>
      </w:r>
      <w:r>
        <w:rPr>
          <w:rFonts w:ascii="Times New Roman" w:cs="Times New Roman" w:eastAsia="Times New Roman" w:hAnsi="Times New Roman"/>
          <w:sz w:val="18"/>
          <w:szCs w:val="18"/>
          <w:color w:val="465361"/>
        </w:rPr>
        <w:t xml:space="preserve"> Oral Suspension and Capsules (“Proglycem”) were approved, and there has been nearly 40 years of use of the 2-3 times a day, orally-administered drug product in the approved ultra-rare indications related to hyperinsulinism. Both the capsule and IV formulations have been withdrawn from the U.S. market for reasons other than safety. There is extensive data on short term and chronic use of Proglycem in children with congenital hyperinsulinism (“CHI”) and in adults with insulinoma. Insulinoma patients tend to be older, with 50% of them over 70 years old. Published data have reported that the average duration of use of Proglycem in certain CHI and insulinoma patients is 5 years and 7 years, respectively.</w:t>
      </w:r>
    </w:p>
    <w:p>
      <w:pPr>
        <w:spacing w:after="0" w:line="200"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465361"/>
        </w:rPr>
        <w:t>DCCR tablets were formulated with the goals of improving the safety and bioavailability of orally-administered diazoxide and reducing the frequency of dosing required by current diazoxide formulations. Diazoxide choline is formulated into an extended-release tablet that provides lower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potentially reducing the adverse events often associated with transiently high circulating drug levels and providing efficacy at lower diazoxide-equivalent doses.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465361"/>
        </w:rPr>
        <w:t>Prader-Willi Syndrome (PWS)</w:t>
      </w:r>
    </w:p>
    <w:p>
      <w:pPr>
        <w:spacing w:after="0" w:line="121"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465361"/>
        </w:rPr>
        <w:t>PWS is a rare, complex neurobehavioral/metabolic disorder caused by the absence of normally active paternally expressed genes from the chromosome 15q11-q13 region. PWS is an imprinted condition with 60-65% of the cases due to a de novo deletion in the paternally inherited chromosome 15 11-q13 region, 30-35% from maternal uniparental disomy 15, where the affected individual inherited two copies of the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2 months—67 years).</w:t>
      </w: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465361"/>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465361"/>
        </w:rPr>
        <w:t>In addition to hyperphagia, typical behavioral disturbances associated with PWS include skin picking, difficulty with change in routine, obsessive and compulsive behaviors, anxiety and mood fluctuations. The majority of older adolescent and adult PWS patients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80"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465361"/>
        </w:rPr>
        <w:t>PWS is typically thought of as a genetic obesity. However, many PWS patients today may not be obese because of increasing awareness among families and caregivers leading to significant control of access to food and its intake. However, patients remain hyperphagic and will typically have a higher body fat and lower lean body mass content compared to similarly obese individuals. They are prone to cardiometabolic issues such as abnormal lipid profiles, diabetes and hypertension associated with obesity once it is established.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Cognitively, most individuals with PWS function in the mild intellectual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465361"/>
        </w:rPr>
        <w:t>Unmet Medical Needs in PWS</w:t>
      </w:r>
    </w:p>
    <w:p>
      <w:pPr>
        <w:spacing w:after="0" w:line="121"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color w:val="465361"/>
        </w:rPr>
        <w:t xml:space="preserve">The target indication for DCCR is the treatment of PWS.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a very important or the most important symptom to be relieved by a new treatment - </w:t>
      </w:r>
      <w:r>
        <w:rPr>
          <w:rFonts w:ascii="Times New Roman" w:cs="Times New Roman" w:eastAsia="Times New Roman" w:hAnsi="Times New Roman"/>
          <w:sz w:val="18"/>
          <w:szCs w:val="18"/>
          <w:u w:val="single" w:color="auto"/>
          <w:color w:val="465361"/>
        </w:rPr>
        <w:t>https://www.fpwr.org/pws-patient-voices</w:t>
      </w:r>
      <w:r>
        <w:rPr>
          <w:rFonts w:ascii="Times New Roman" w:cs="Times New Roman" w:eastAsia="Times New Roman" w:hAnsi="Times New Roman"/>
          <w:sz w:val="18"/>
          <w:szCs w:val="18"/>
          <w:color w:val="465361"/>
        </w:rPr>
        <w: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192" w:lineRule="exact"/>
        <w:rPr>
          <w:sz w:val="20"/>
          <w:szCs w:val="20"/>
          <w:color w:val="auto"/>
        </w:rPr>
      </w:pPr>
    </w:p>
    <w:p>
      <w:pPr>
        <w:ind w:left="300" w:right="400"/>
        <w:spacing w:after="0" w:line="282" w:lineRule="auto"/>
        <w:rPr>
          <w:sz w:val="20"/>
          <w:szCs w:val="20"/>
          <w:color w:val="auto"/>
        </w:rPr>
      </w:pPr>
      <w:r>
        <w:rPr>
          <w:rFonts w:ascii="Times New Roman" w:cs="Times New Roman" w:eastAsia="Times New Roman" w:hAnsi="Times New Roman"/>
          <w:sz w:val="18"/>
          <w:szCs w:val="18"/>
          <w:color w:val="465361"/>
        </w:rPr>
        <w:t>Therefore, there is a clear unmet need in the treatment of PWS to reduce hyperphagia and improve behaviors around food, and to reduce other behavioral and cognitive impacts of this complex disease. In addition, improving metabolic health is also an important unmet need.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465361"/>
        </w:rPr>
        <w:t>Clinical Trials of DCCR for PWS</w:t>
      </w:r>
    </w:p>
    <w:p>
      <w:pPr>
        <w:spacing w:after="0" w:line="121"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465361"/>
        </w:rPr>
        <w:t>A Phase 2 clinical trial was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w:t>
      </w:r>
    </w:p>
    <w:p>
      <w:pPr>
        <w:spacing w:after="0" w:line="187" w:lineRule="exact"/>
        <w:rPr>
          <w:sz w:val="20"/>
          <w:szCs w:val="20"/>
          <w:color w:val="auto"/>
        </w:rPr>
      </w:pPr>
    </w:p>
    <w:p>
      <w:pPr>
        <w:jc w:val="both"/>
        <w:ind w:left="300" w:right="80"/>
        <w:spacing w:after="0" w:line="266" w:lineRule="auto"/>
        <w:rPr>
          <w:sz w:val="20"/>
          <w:szCs w:val="20"/>
          <w:color w:val="auto"/>
        </w:rPr>
      </w:pPr>
      <w:r>
        <w:rPr>
          <w:rFonts w:ascii="Times New Roman" w:cs="Times New Roman" w:eastAsia="Times New Roman" w:hAnsi="Times New Roman"/>
          <w:sz w:val="18"/>
          <w:szCs w:val="18"/>
          <w:color w:val="465361"/>
        </w:rPr>
        <w:t>Responders were randomized in a 1:1 ratio either to continue on active treatment at the dose they were treated with, or to the placebo equivalent of that dose for an additional four weeks. Of the 13 subjects who enrolled, 11 completed the open-label phase and all were designated as responders; the remaining two subjects had discontinued prematurely.</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465361"/>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465361"/>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w:t>
      </w:r>
    </w:p>
    <w:p>
      <w:pPr>
        <w:spacing w:after="0" w:line="187" w:lineRule="exact"/>
        <w:rPr>
          <w:sz w:val="20"/>
          <w:szCs w:val="20"/>
          <w:color w:val="auto"/>
        </w:rPr>
      </w:pPr>
    </w:p>
    <w:p>
      <w:pPr>
        <w:ind w:left="300" w:right="100"/>
        <w:spacing w:after="0" w:line="269" w:lineRule="auto"/>
        <w:rPr>
          <w:sz w:val="20"/>
          <w:szCs w:val="20"/>
          <w:color w:val="auto"/>
        </w:rPr>
      </w:pPr>
      <w:r>
        <w:rPr>
          <w:rFonts w:ascii="Times New Roman" w:cs="Times New Roman" w:eastAsia="Times New Roman" w:hAnsi="Times New Roman"/>
          <w:sz w:val="17"/>
          <w:szCs w:val="17"/>
          <w:color w:val="465361"/>
        </w:rPr>
        <w:t>As described above in the Company Overview, a Phase 3 clinical trial, DESTINY PWS, was subsequently conducted to evaluate the efficacy and safety of DCCR in patients with genetically-confirmed PWS. Top-line results were reported in June 2020. Although the trial did not meet its primary endpoint of change from baseline in hyperphagia, significant improvements were observed in two of three key secondary endpoints. Subjects who complete the DESTINY PWS study were allowed to enroll in a long-term, safety extension study (C602). In September 2021, we announced top-line results from the analysis of one-year data from C602 showing statistically significant reduction in hyperphagia and all other PWS behavioral parameters and statistically significant improvements compared to the natural history of PWS from the PATH for PWS Study (PATH) over a one=year treatment period. PATH is an ongoing study sponsored by the Foundation for Prader Willi Research (FPWR) evaluating the natural history of subjects with PWS in more than 700 families. In October 2022 we announced the initiation of the RW period of Study C602, which was a multi-center, randomized, double-blind, placebo-controlled study of DCCR in 77 patients with PWS at 17 sites in the U.S. and 5 sites in the U.K. This RW period consisted only of patients previously enrolled in Study C602 and did not enroll any new patients. In May 2023, we completed enrollment and we announced positive statistically significant top-line results from the RW period of Study C602 in September 2023.</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465361"/>
        </w:rPr>
        <w:t>Safety of DCCR in the Treatment of PWS</w:t>
      </w:r>
    </w:p>
    <w:p>
      <w:pPr>
        <w:spacing w:after="0" w:line="121"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465361"/>
        </w:rPr>
        <w:t>Across the combined C601 (DESTINY-PWS), and C602 long-term open-label extension (OLE) studies (which included DCCR treatment durations of up to ~4.5 years), 98.4% of participants reported treatment emergent adverse events (TEAEs). Most were grade 1 or 2 (75.2%), with no grade 4 or higher events. The most common TEAEs were hypertrichosis (68.8%), peripheral edema (34.4%), hirsutism (27.2%) and hyperglycemia (27.2%).</w:t>
      </w:r>
    </w:p>
    <w:p>
      <w:pPr>
        <w:spacing w:after="0" w:line="180"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465361"/>
        </w:rPr>
        <w:t>The majority of participants with hypertrichosis, hirsutism, or hyperglycemia experienced resolution or improvement of their symptoms with continued DCCR dosing through the end of the study. Infrequently, DCCR dose adjustments or glucose-lowering agents (for hyperglycemia) and diuretics (for peripheral edema) were prescribed to manager participants experiencing these TEAEs.</w:t>
      </w:r>
    </w:p>
    <w:p>
      <w:pPr>
        <w:spacing w:after="0" w:line="176"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465361"/>
        </w:rPr>
        <w:t>One participant with a known history of psychiatric illness reported a suspected unexpected serious adverse reaction (SUSAR) of aggression in the ongoing C614 open label extension study.</w:t>
      </w:r>
    </w:p>
    <w:p>
      <w:pPr>
        <w:spacing w:after="0" w:line="162" w:lineRule="exact"/>
        <w:rPr>
          <w:sz w:val="20"/>
          <w:szCs w:val="20"/>
          <w:color w:val="auto"/>
        </w:rPr>
      </w:pPr>
    </w:p>
    <w:p>
      <w:pPr>
        <w:ind w:left="300" w:right="240"/>
        <w:spacing w:after="0" w:line="282" w:lineRule="auto"/>
        <w:rPr>
          <w:sz w:val="20"/>
          <w:szCs w:val="20"/>
          <w:color w:val="auto"/>
        </w:rPr>
      </w:pPr>
      <w:r>
        <w:rPr>
          <w:rFonts w:ascii="Times New Roman" w:cs="Times New Roman" w:eastAsia="Times New Roman" w:hAnsi="Times New Roman"/>
          <w:sz w:val="18"/>
          <w:szCs w:val="18"/>
          <w:color w:val="465361"/>
        </w:rPr>
        <w:t>Overall, the safety profile of DCCR in the Phase 3 PWS clinical development program was generally consistent with the known safety profile of diazoxide and prior experience with DCCR.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465361"/>
        </w:rPr>
        <w:t>Regulatory Status of DCCR for the Treatment of PWS</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465361"/>
        </w:rPr>
        <w:t>Diazoxide choline is being developed in the U.S. under a current Investigational New Drug Application (IND) and is designated as an Orphan Drug for the treatment of PWS in the U.S. and Europe and granted Fast Track designation in the U.S. If certain criteria are met, DCCR may be eligible for “Accelerated Approval” and “Priority Review” and also “Rolling Review”, which would allow us to submit to the FDA sections of our NDA as they are finished instead of waiting for all sections to be completed before submitting the marketing application. The current status of our Phase 3 clinical trial is described above in the Company Overview.</w:t>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465361"/>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93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39389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465361"/>
        </w:rPr>
        <w:t>Market opportunity</w:t>
      </w:r>
    </w:p>
    <w:p>
      <w:pPr>
        <w:spacing w:after="0" w:line="121"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465361"/>
        </w:rPr>
        <w:t>An estimated 300,000 to 400,000 individuals worldwide have PWS with a birth incidence ranging from 1:15,000 to 1:25,000. In addition, according to an abstract published in the Journal of Endocrine Society, a 2020 review of medical claims provided by IQVIA Health Plan and CMS Medicare fee-for-service claim data, demonstrated a U.S. diagnosed PWS prevalence of approximately 9,000 patients in the United States in 2018. The numbers of identified PWS patients is growing at a rate that is higher than the rate of general population because of improved rates of diagnosis. DCCR may be the first effective treatment for hyperphagia in PWS patients to reach the market both in the U.S. and Europe and may therefore be likely to be used in a large proportion of patients.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465361"/>
        </w:rPr>
        <w:t>Sales and Marketing</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465361"/>
        </w:rPr>
        <w:t>Newly diagnosed PWS patients are typically treated by a multi-disciplinary team led by a pediatric endocrinologist. Many patients receive care at larger clinics devoted to PWS in university-associated hospitals or at children’s hospitals. This concentration of care may allow us to market DCCR without a partner by assembling a small, dedicated salesforce to target the limited number of major PWS treatment centers in the U.S. We believe similar dynamics exist in Europe. In contrast, we will likely need to identify a marketing partner for DCCR in Japan, and the rest of the world. The final decision on sales and marketing strategy will be made at a later date.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465361"/>
        </w:rPr>
        <w:t>Pricing</w:t>
      </w:r>
    </w:p>
    <w:p>
      <w:pPr>
        <w:spacing w:after="0" w:line="121" w:lineRule="exact"/>
        <w:rPr>
          <w:sz w:val="20"/>
          <w:szCs w:val="20"/>
          <w:color w:val="auto"/>
        </w:rPr>
      </w:pPr>
    </w:p>
    <w:p>
      <w:pPr>
        <w:jc w:val="both"/>
        <w:ind w:left="300" w:right="300"/>
        <w:spacing w:after="0" w:line="266" w:lineRule="auto"/>
        <w:rPr>
          <w:sz w:val="20"/>
          <w:szCs w:val="20"/>
          <w:color w:val="auto"/>
        </w:rPr>
      </w:pPr>
      <w:r>
        <w:rPr>
          <w:rFonts w:ascii="Times New Roman" w:cs="Times New Roman" w:eastAsia="Times New Roman" w:hAnsi="Times New Roman"/>
          <w:sz w:val="18"/>
          <w:szCs w:val="18"/>
          <w:color w:val="465361"/>
        </w:rPr>
        <w:t>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465361"/>
        </w:rPr>
        <w:t>Competition</w:t>
      </w:r>
    </w:p>
    <w:p>
      <w:pPr>
        <w:spacing w:after="0" w:line="121" w:lineRule="exact"/>
        <w:rPr>
          <w:sz w:val="20"/>
          <w:szCs w:val="20"/>
          <w:color w:val="auto"/>
        </w:rPr>
      </w:pPr>
    </w:p>
    <w:p>
      <w:pPr>
        <w:ind w:left="300" w:right="120"/>
        <w:spacing w:after="0" w:line="242" w:lineRule="auto"/>
        <w:rPr>
          <w:sz w:val="20"/>
          <w:szCs w:val="20"/>
          <w:color w:val="auto"/>
        </w:rPr>
      </w:pPr>
      <w:r>
        <w:rPr>
          <w:rFonts w:ascii="Times New Roman" w:cs="Times New Roman" w:eastAsia="Times New Roman" w:hAnsi="Times New Roman"/>
          <w:sz w:val="17"/>
          <w:szCs w:val="17"/>
          <w:color w:val="465361"/>
        </w:rPr>
        <w:t>Currently, the only approved products for PWS are Genotropin</w:t>
      </w:r>
      <w:r>
        <w:rPr>
          <w:rFonts w:ascii="Times New Roman" w:cs="Times New Roman" w:eastAsia="Times New Roman" w:hAnsi="Times New Roman"/>
          <w:sz w:val="25"/>
          <w:szCs w:val="25"/>
          <w:color w:val="465361"/>
          <w:vertAlign w:val="superscript"/>
        </w:rPr>
        <w:t>®</w:t>
      </w:r>
      <w:r>
        <w:rPr>
          <w:rFonts w:ascii="Times New Roman" w:cs="Times New Roman" w:eastAsia="Times New Roman" w:hAnsi="Times New Roman"/>
          <w:sz w:val="17"/>
          <w:szCs w:val="17"/>
          <w:color w:val="465361"/>
        </w:rPr>
        <w:t xml:space="preserve"> (somatropin), and Omnitrope</w:t>
      </w:r>
      <w:r>
        <w:rPr>
          <w:rFonts w:ascii="Times New Roman" w:cs="Times New Roman" w:eastAsia="Times New Roman" w:hAnsi="Times New Roman"/>
          <w:sz w:val="25"/>
          <w:szCs w:val="25"/>
          <w:color w:val="465361"/>
          <w:vertAlign w:val="superscript"/>
        </w:rPr>
        <w:t>®</w:t>
      </w:r>
      <w:r>
        <w:rPr>
          <w:rFonts w:ascii="Times New Roman" w:cs="Times New Roman" w:eastAsia="Times New Roman" w:hAnsi="Times New Roman"/>
          <w:sz w:val="17"/>
          <w:szCs w:val="17"/>
          <w:color w:val="465361"/>
        </w:rPr>
        <w:t xml:space="preserv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Acadia Pharmaceuticals, Aardvark Therapeutics, Gedeon Richter, and Consynance.</w:t>
      </w: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465361"/>
        </w:rPr>
        <w:t>S-6</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41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2419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465361"/>
        </w:rPr>
        <w:t>Risk Factors</w:t>
      </w:r>
    </w:p>
    <w:p>
      <w:pPr>
        <w:spacing w:after="0" w:line="121"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color w:val="465361"/>
        </w:rPr>
        <w:t>Our business is subject to substantial risk. Please carefully consider the section titled “Risk Factors” beginning on page S-10 of this prospectus supplement, as well as risk factors referenced in the accompanying prospectus and in our Annual Report on Form 10-K for the year ended December 31, 2023, for a discussion of the factors you should carefully consider before deciding to purchase securities that may be offered by this prospectus supplement and the accompanying prospectus.</w:t>
      </w:r>
    </w:p>
    <w:p>
      <w:pPr>
        <w:spacing w:after="0" w:line="180"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465361"/>
        </w:rPr>
        <w:t>Additional risks and uncertainties not presently known to us may also impair our business operations. You should be able to bear a complete loss of your investment.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465361"/>
        </w:rPr>
        <w:t>Financial Update</w:t>
      </w:r>
    </w:p>
    <w:p>
      <w:pPr>
        <w:spacing w:after="0" w:line="121" w:lineRule="exact"/>
        <w:rPr>
          <w:sz w:val="20"/>
          <w:szCs w:val="20"/>
          <w:color w:val="auto"/>
        </w:rPr>
      </w:pPr>
    </w:p>
    <w:p>
      <w:pPr>
        <w:ind w:left="300" w:right="240"/>
        <w:spacing w:after="0" w:line="282" w:lineRule="auto"/>
        <w:rPr>
          <w:sz w:val="20"/>
          <w:szCs w:val="20"/>
          <w:color w:val="auto"/>
        </w:rPr>
      </w:pPr>
      <w:r>
        <w:rPr>
          <w:rFonts w:ascii="Times New Roman" w:cs="Times New Roman" w:eastAsia="Times New Roman" w:hAnsi="Times New Roman"/>
          <w:sz w:val="18"/>
          <w:szCs w:val="18"/>
          <w:color w:val="465361"/>
        </w:rPr>
        <w:t>As of March 31, 2024, the Company had a total of 33.3 million shares of common stock and 14.8 million shares of potentially dilutive securities outstanding for a total of 48.1 million shares of common stock and dilutive potential shares of common stock outstanding.</w:t>
      </w:r>
    </w:p>
    <w:p>
      <w:pPr>
        <w:spacing w:after="0" w:line="162"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color w:val="465361"/>
        </w:rPr>
        <w:t>We have not commenced commercialization of DCCR, our current sole novel therapeutic product, and accordingly, through March 31, 2024, have generated no revenue from operations. We had a net loss of $21.4 million during the quarter ended March 31, 2024 and an accumulated deficit of $297.8 million as of March 31, 2024 as a result of having incurred losses since our inception. We had $42.8 million in cash and cash equivalents, $106.8 million of short-term investments and $8.8 million of long-term investments as of March 31, 2024, and used $12.5 million of cash in operating activities during the quarter ended March 31, 2024 and expect to continue incurring losses for the foreseeable future.</w:t>
      </w:r>
    </w:p>
    <w:p>
      <w:pPr>
        <w:spacing w:after="0" w:line="183"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465361"/>
        </w:rPr>
        <w:t>We have not yet completed our quarter-end financial close and review processes for the quarter ended March 31, 2024. The review of our financial statements for the quarter ended March 31, 2024 is ongoing and could result in changes to this amount. The estimates of our cash and cash equivalents, short-term investments and long-term investments as of March 31, 2024 are preliminary, have not been audited, do not present all information necessary for an understanding of our financial condition as of March 31, 2024 and are subject to change upon completion of our financial statement closing procedures. The preliminary financial data included in this prospectus supplement has been prepared by, and is the responsibility of, our management. Marcum LLP has not audited, reviewed, examined, compiled, nor applied agreed-upon procedures with respect to the preliminary financial data. Accordingly, Marcum LLP does not express an opinion or any other form of assurance with respect thereto. Additional information and disclosure would be required for a more complete understanding of our financial position and results of operations as of March 31, 2024.</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465361"/>
        </w:rPr>
        <w:t>Corporate Information</w:t>
      </w:r>
    </w:p>
    <w:p>
      <w:pPr>
        <w:spacing w:after="0" w:line="121"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465361"/>
        </w:rPr>
        <w:t>We were incorporated in Delaware in August of 1999. Our principal executive offices are located at 203 Redwood Shores Pkwy, Suite 500, Redwood City, CA 94065, and our telephone number is (650) 213-8444. Our website address is www.soleno.life. The information contained on our website is not incorporated by reference into this prospectus supplement, and you should not consider any information contained on, or that can be accessed through, our website as part of this prospectus supplement, or in deciding whether to purchase our securities.</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465361"/>
        </w:rPr>
        <w:t>S-7</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995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2995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THE OFFERING</w:t>
      </w:r>
    </w:p>
    <w:p>
      <w:pPr>
        <w:spacing w:after="0" w:line="252" w:lineRule="exact"/>
        <w:rPr>
          <w:sz w:val="20"/>
          <w:szCs w:val="20"/>
          <w:color w:val="auto"/>
        </w:rPr>
      </w:pPr>
    </w:p>
    <w:p>
      <w:pPr>
        <w:ind w:left="3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465361"/>
        </w:rPr>
        <w:t>Common stock offered by us</w:t>
      </w:r>
      <w:r>
        <w:rPr>
          <w:sz w:val="20"/>
          <w:szCs w:val="20"/>
          <w:color w:val="auto"/>
        </w:rPr>
        <w:tab/>
      </w:r>
      <w:r>
        <w:rPr>
          <w:rFonts w:ascii="Times New Roman" w:cs="Times New Roman" w:eastAsia="Times New Roman" w:hAnsi="Times New Roman"/>
          <w:sz w:val="17"/>
          <w:szCs w:val="17"/>
          <w:color w:val="465361"/>
        </w:rPr>
        <w:t>3,000,000 shares.</w:t>
      </w:r>
    </w:p>
    <w:p>
      <w:pPr>
        <w:spacing w:after="0" w:line="117" w:lineRule="exact"/>
        <w:rPr>
          <w:sz w:val="20"/>
          <w:szCs w:val="20"/>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18"/>
          <w:szCs w:val="18"/>
          <w:b w:val="1"/>
          <w:bCs w:val="1"/>
          <w:color w:val="465361"/>
        </w:rPr>
        <w:t>Option to purchase additional</w:t>
      </w:r>
      <w:r>
        <w:rPr>
          <w:sz w:val="20"/>
          <w:szCs w:val="20"/>
          <w:color w:val="auto"/>
        </w:rPr>
        <w:tab/>
      </w:r>
      <w:r>
        <w:rPr>
          <w:rFonts w:ascii="Times New Roman" w:cs="Times New Roman" w:eastAsia="Times New Roman" w:hAnsi="Times New Roman"/>
          <w:sz w:val="17"/>
          <w:szCs w:val="17"/>
          <w:color w:val="465361"/>
        </w:rPr>
        <w:t>We have granted the underwriters an option to purchase up to 450,000 additional shares of our common stock</w:t>
      </w:r>
    </w:p>
    <w:p>
      <w:pPr>
        <w:spacing w:after="0" w:line="31" w:lineRule="exact"/>
        <w:rPr>
          <w:sz w:val="20"/>
          <w:szCs w:val="20"/>
          <w:color w:val="auto"/>
        </w:rPr>
      </w:pPr>
    </w:p>
    <w:p>
      <w:pPr>
        <w:ind w:left="2960" w:right="300" w:hanging="2659"/>
        <w:spacing w:after="0" w:line="260" w:lineRule="auto"/>
        <w:tabs>
          <w:tab w:leader="none" w:pos="2940" w:val="left"/>
        </w:tabs>
        <w:rPr>
          <w:sz w:val="20"/>
          <w:szCs w:val="20"/>
          <w:color w:val="auto"/>
        </w:rPr>
      </w:pPr>
      <w:r>
        <w:rPr>
          <w:rFonts w:ascii="Times New Roman" w:cs="Times New Roman" w:eastAsia="Times New Roman" w:hAnsi="Times New Roman"/>
          <w:sz w:val="18"/>
          <w:szCs w:val="18"/>
          <w:b w:val="1"/>
          <w:bCs w:val="1"/>
          <w:color w:val="465361"/>
        </w:rPr>
        <w:t>shares</w:t>
      </w:r>
      <w:r>
        <w:rPr>
          <w:sz w:val="20"/>
          <w:szCs w:val="20"/>
          <w:color w:val="auto"/>
        </w:rPr>
        <w:tab/>
      </w:r>
      <w:r>
        <w:rPr>
          <w:rFonts w:ascii="Times New Roman" w:cs="Times New Roman" w:eastAsia="Times New Roman" w:hAnsi="Times New Roman"/>
          <w:sz w:val="18"/>
          <w:szCs w:val="18"/>
          <w:color w:val="465361"/>
        </w:rPr>
        <w:t>at the public offering price less underwriting discounts and commissions. This option is exercisable, in whole or in part, for a period of 30 days from the date of this prospectus supplement</w:t>
      </w:r>
    </w:p>
    <w:p>
      <w:pPr>
        <w:sectPr>
          <w:pgSz w:w="11900" w:h="16838" w:orient="portrait"/>
          <w:cols w:equalWidth="0" w:num="1">
            <w:col w:w="11140"/>
          </w:cols>
          <w:pgMar w:left="320" w:top="455" w:right="439" w:bottom="1440" w:gutter="0" w:footer="0" w:header="0"/>
        </w:sectPr>
      </w:pPr>
    </w:p>
    <w:p>
      <w:pPr>
        <w:spacing w:after="0" w:line="69" w:lineRule="exact"/>
        <w:rPr>
          <w:sz w:val="20"/>
          <w:szCs w:val="20"/>
          <w:color w:val="auto"/>
        </w:rPr>
      </w:pPr>
    </w:p>
    <w:p>
      <w:pPr>
        <w:ind w:left="300"/>
        <w:spacing w:after="0" w:line="268" w:lineRule="auto"/>
        <w:rPr>
          <w:sz w:val="20"/>
          <w:szCs w:val="20"/>
          <w:color w:val="auto"/>
        </w:rPr>
      </w:pPr>
      <w:r>
        <w:rPr>
          <w:rFonts w:ascii="Times New Roman" w:cs="Times New Roman" w:eastAsia="Times New Roman" w:hAnsi="Times New Roman"/>
          <w:sz w:val="18"/>
          <w:szCs w:val="18"/>
          <w:b w:val="1"/>
          <w:bCs w:val="1"/>
          <w:color w:val="465361"/>
        </w:rPr>
        <w:t>Common stock to be outstanding immediately after the offering</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465361"/>
        </w:rPr>
        <w:t>34,678,159 shares (or 35,128,159 shares if the underwriters exercise their option to purchase additional shares in full).</w:t>
      </w:r>
    </w:p>
    <w:p>
      <w:pPr>
        <w:spacing w:after="0" w:line="265" w:lineRule="exact"/>
        <w:rPr>
          <w:sz w:val="20"/>
          <w:szCs w:val="20"/>
          <w:color w:val="auto"/>
        </w:rPr>
      </w:pPr>
    </w:p>
    <w:p>
      <w:pPr>
        <w:sectPr>
          <w:pgSz w:w="11900" w:h="16838" w:orient="portrait"/>
          <w:cols w:equalWidth="0" w:num="2">
            <w:col w:w="2620" w:space="340"/>
            <w:col w:w="818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465361"/>
              </w:rPr>
              <w:t>Use of proceeds</w:t>
            </w:r>
          </w:p>
        </w:tc>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465361"/>
              </w:rPr>
              <w:t>We estimate that the net proceeds from this offering will be approximately $129.3 million (or approximately</w:t>
            </w:r>
          </w:p>
        </w:tc>
      </w:tr>
      <w:tr>
        <w:trPr>
          <w:trHeight w:val="216"/>
        </w:trPr>
        <w:tc>
          <w:tcPr>
            <w:tcW w:w="2120" w:type="dxa"/>
            <w:vAlign w:val="bottom"/>
          </w:tcPr>
          <w:p>
            <w:pPr>
              <w:spacing w:after="0"/>
              <w:rPr>
                <w:sz w:val="18"/>
                <w:szCs w:val="18"/>
                <w:color w:val="auto"/>
              </w:rPr>
            </w:pPr>
          </w:p>
        </w:tc>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465361"/>
              </w:rPr>
              <w:t>$148.8 million if the underwriters exercise in full their option to purchase additional shares), after deducting</w:t>
            </w:r>
          </w:p>
        </w:tc>
      </w:tr>
      <w:tr>
        <w:trPr>
          <w:trHeight w:val="234"/>
        </w:trPr>
        <w:tc>
          <w:tcPr>
            <w:tcW w:w="2120" w:type="dxa"/>
            <w:vAlign w:val="bottom"/>
          </w:tcPr>
          <w:p>
            <w:pPr>
              <w:spacing w:after="0"/>
              <w:rPr>
                <w:sz w:val="20"/>
                <w:szCs w:val="20"/>
                <w:color w:val="auto"/>
              </w:rPr>
            </w:pPr>
          </w:p>
        </w:tc>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465361"/>
              </w:rPr>
              <w:t>underwriting discounts and commissions and estimated offering expenses payable by us.</w:t>
            </w:r>
          </w:p>
        </w:tc>
      </w:tr>
      <w:tr>
        <w:trPr>
          <w:trHeight w:val="306"/>
        </w:trPr>
        <w:tc>
          <w:tcPr>
            <w:tcW w:w="2120" w:type="dxa"/>
            <w:vAlign w:val="bottom"/>
          </w:tcPr>
          <w:p>
            <w:pPr>
              <w:spacing w:after="0"/>
              <w:rPr>
                <w:sz w:val="24"/>
                <w:szCs w:val="24"/>
                <w:color w:val="auto"/>
              </w:rPr>
            </w:pPr>
          </w:p>
        </w:tc>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465361"/>
              </w:rPr>
              <w:t>We intend to use the net proceeds from this offering to fund our current research and development efforts</w:t>
            </w:r>
          </w:p>
        </w:tc>
      </w:tr>
      <w:tr>
        <w:trPr>
          <w:trHeight w:val="216"/>
        </w:trPr>
        <w:tc>
          <w:tcPr>
            <w:tcW w:w="2120" w:type="dxa"/>
            <w:vAlign w:val="bottom"/>
          </w:tcPr>
          <w:p>
            <w:pPr>
              <w:spacing w:after="0"/>
              <w:rPr>
                <w:sz w:val="18"/>
                <w:szCs w:val="18"/>
                <w:color w:val="auto"/>
              </w:rPr>
            </w:pPr>
          </w:p>
        </w:tc>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465361"/>
              </w:rPr>
              <w:t>primarily focused on advancing our lead candidate, DCCR tablets for the treatment of PWS, through late-</w:t>
            </w:r>
          </w:p>
        </w:tc>
      </w:tr>
      <w:tr>
        <w:trPr>
          <w:trHeight w:val="216"/>
        </w:trPr>
        <w:tc>
          <w:tcPr>
            <w:tcW w:w="2120" w:type="dxa"/>
            <w:vAlign w:val="bottom"/>
          </w:tcPr>
          <w:p>
            <w:pPr>
              <w:spacing w:after="0"/>
              <w:rPr>
                <w:sz w:val="18"/>
                <w:szCs w:val="18"/>
                <w:color w:val="auto"/>
              </w:rPr>
            </w:pPr>
          </w:p>
        </w:tc>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465361"/>
              </w:rPr>
              <w:t>stage clinical development, regulatory approval and market development activities related thereto and to</w:t>
            </w:r>
          </w:p>
        </w:tc>
      </w:tr>
      <w:tr>
        <w:trPr>
          <w:trHeight w:val="216"/>
        </w:trPr>
        <w:tc>
          <w:tcPr>
            <w:tcW w:w="2120" w:type="dxa"/>
            <w:vAlign w:val="bottom"/>
          </w:tcPr>
          <w:p>
            <w:pPr>
              <w:spacing w:after="0"/>
              <w:rPr>
                <w:sz w:val="18"/>
                <w:szCs w:val="18"/>
                <w:color w:val="auto"/>
              </w:rPr>
            </w:pPr>
          </w:p>
        </w:tc>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465361"/>
              </w:rPr>
              <w:t>provide for general corporate purposes, which may include working capital, capital expenditures, other</w:t>
            </w:r>
          </w:p>
        </w:tc>
      </w:tr>
      <w:tr>
        <w:trPr>
          <w:trHeight w:val="216"/>
        </w:trPr>
        <w:tc>
          <w:tcPr>
            <w:tcW w:w="2120" w:type="dxa"/>
            <w:vAlign w:val="bottom"/>
          </w:tcPr>
          <w:p>
            <w:pPr>
              <w:spacing w:after="0"/>
              <w:rPr>
                <w:sz w:val="18"/>
                <w:szCs w:val="18"/>
                <w:color w:val="auto"/>
              </w:rPr>
            </w:pPr>
          </w:p>
        </w:tc>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465361"/>
              </w:rPr>
              <w:t>clinical trials, other corporate expenses and acquisitions of complementary products, technologies or</w:t>
            </w:r>
          </w:p>
        </w:tc>
      </w:tr>
      <w:tr>
        <w:trPr>
          <w:trHeight w:val="234"/>
        </w:trPr>
        <w:tc>
          <w:tcPr>
            <w:tcW w:w="2120" w:type="dxa"/>
            <w:vAlign w:val="bottom"/>
          </w:tcPr>
          <w:p>
            <w:pPr>
              <w:spacing w:after="0"/>
              <w:rPr>
                <w:sz w:val="20"/>
                <w:szCs w:val="20"/>
                <w:color w:val="auto"/>
              </w:rPr>
            </w:pPr>
          </w:p>
        </w:tc>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465361"/>
              </w:rPr>
              <w:t>businesses. However, we do not have agreements or commitments for any specific acquisitions at this time.</w:t>
            </w:r>
          </w:p>
        </w:tc>
      </w:tr>
      <w:tr>
        <w:trPr>
          <w:trHeight w:val="159"/>
        </w:trPr>
        <w:tc>
          <w:tcPr>
            <w:tcW w:w="2120" w:type="dxa"/>
            <w:vAlign w:val="bottom"/>
            <w:tcBorders>
              <w:bottom w:val="single" w:sz="8" w:color="465361"/>
            </w:tcBorders>
          </w:tcPr>
          <w:p>
            <w:pPr>
              <w:spacing w:after="0"/>
              <w:rPr>
                <w:sz w:val="13"/>
                <w:szCs w:val="13"/>
                <w:color w:val="auto"/>
              </w:rPr>
            </w:pPr>
          </w:p>
        </w:tc>
        <w:tc>
          <w:tcPr>
            <w:tcW w:w="8900" w:type="dxa"/>
            <w:vAlign w:val="bottom"/>
            <w:tcBorders>
              <w:bottom w:val="single" w:sz="8" w:color="465361"/>
            </w:tcBorders>
          </w:tcPr>
          <w:p>
            <w:pPr>
              <w:spacing w:after="0"/>
              <w:rPr>
                <w:sz w:val="13"/>
                <w:szCs w:val="13"/>
                <w:color w:val="auto"/>
              </w:rPr>
            </w:pPr>
          </w:p>
        </w:tc>
      </w:tr>
      <w:tr>
        <w:trPr>
          <w:trHeight w:val="361"/>
        </w:trPr>
        <w:tc>
          <w:tcPr>
            <w:tcW w:w="2120" w:type="dxa"/>
            <w:vAlign w:val="bottom"/>
          </w:tcPr>
          <w:p>
            <w:pPr>
              <w:spacing w:after="0"/>
              <w:rPr>
                <w:sz w:val="24"/>
                <w:szCs w:val="24"/>
                <w:color w:val="auto"/>
              </w:rPr>
            </w:pPr>
          </w:p>
        </w:tc>
        <w:tc>
          <w:tcPr>
            <w:tcW w:w="8900" w:type="dxa"/>
            <w:vAlign w:val="bottom"/>
          </w:tcPr>
          <w:p>
            <w:pPr>
              <w:ind w:left="3260"/>
              <w:spacing w:after="0"/>
              <w:rPr>
                <w:sz w:val="20"/>
                <w:szCs w:val="20"/>
                <w:color w:val="auto"/>
              </w:rPr>
            </w:pPr>
            <w:r>
              <w:rPr>
                <w:rFonts w:ascii="Times New Roman" w:cs="Times New Roman" w:eastAsia="Times New Roman" w:hAnsi="Times New Roman"/>
                <w:sz w:val="18"/>
                <w:szCs w:val="18"/>
                <w:color w:val="465361"/>
              </w:rPr>
              <w:t>S-8</w:t>
            </w:r>
          </w:p>
        </w:tc>
      </w:tr>
    </w:tbl>
    <w:p>
      <w:pPr>
        <w:sectPr>
          <w:pgSz w:w="11900" w:h="16838" w:orient="portrait"/>
          <w:cols w:equalWidth="0" w:num="1">
            <w:col w:w="11140"/>
          </w:cols>
          <w:pgMar w:left="320" w:top="455"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4761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465361"/>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465361"/>
        </w:rPr>
        <w:t>An investment in our common stock involves a high degree of risk. See the information contained in or incorporated by reference under “Risk factors” on page S-10 of this prospectus supplement and on page 6 of the accompanying prospectus, as well as the other information included in or incorporated by reference in this prospectus supplement and the accompanying prospectus.</w:t>
      </w:r>
    </w:p>
    <w:p>
      <w:pPr>
        <w:spacing w:after="0" w:line="68" w:lineRule="exact"/>
        <w:rPr>
          <w:sz w:val="20"/>
          <w:szCs w:val="20"/>
          <w:color w:val="auto"/>
        </w:rPr>
      </w:pPr>
    </w:p>
    <w:p>
      <w:pPr>
        <w:sectPr>
          <w:pgSz w:w="11900" w:h="16838" w:orient="portrait"/>
          <w:cols w:equalWidth="0" w:num="2">
            <w:col w:w="2240" w:space="720"/>
            <w:col w:w="794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465361"/>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465361"/>
        </w:rPr>
        <w:t>“SLNO”.</w:t>
      </w:r>
    </w:p>
    <w:p>
      <w:pPr>
        <w:spacing w:after="0" w:line="200" w:lineRule="exact"/>
        <w:rPr>
          <w:sz w:val="20"/>
          <w:szCs w:val="20"/>
          <w:color w:val="auto"/>
        </w:rPr>
      </w:pPr>
    </w:p>
    <w:p>
      <w:pPr>
        <w:sectPr>
          <w:pgSz w:w="11900" w:h="16838" w:orient="portrait"/>
          <w:cols w:equalWidth="0" w:num="2">
            <w:col w:w="2720" w:space="240"/>
            <w:col w:w="7940"/>
          </w:cols>
          <w:pgMar w:left="320" w:top="455" w:right="679" w:bottom="1440" w:gutter="0" w:footer="0" w:header="0"/>
          <w:type w:val="continuous"/>
        </w:sectPr>
      </w:pP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465361"/>
        </w:rPr>
        <w:t>The number of shares of common stock to be outstanding immediately after this offering is based on 31,678,159 shares outstanding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465361"/>
        </w:rPr>
        <w:t>December 31, 2023 and excludes:</w:t>
      </w:r>
    </w:p>
    <w:p>
      <w:pPr>
        <w:spacing w:after="0" w:line="112" w:lineRule="exact"/>
        <w:rPr>
          <w:sz w:val="20"/>
          <w:szCs w:val="20"/>
          <w:color w:val="auto"/>
        </w:rPr>
      </w:pPr>
    </w:p>
    <w:p>
      <w:pPr>
        <w:ind w:left="1560" w:right="20" w:hanging="411"/>
        <w:spacing w:after="0" w:line="282" w:lineRule="auto"/>
        <w:tabs>
          <w:tab w:leader="none" w:pos="1560" w:val="left"/>
        </w:tabs>
        <w:numPr>
          <w:ilvl w:val="0"/>
          <w:numId w:val="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2,369,665 shares of common stock issuable upon exercise of stock options outstanding as of December 31, 2023 under our equity incentive plans, with a weighted-average exercise price of $11.56 per share;</w:t>
      </w:r>
    </w:p>
    <w:p>
      <w:pPr>
        <w:spacing w:after="0" w:line="67" w:lineRule="exact"/>
        <w:rPr>
          <w:rFonts w:ascii="Times New Roman" w:cs="Times New Roman" w:eastAsia="Times New Roman" w:hAnsi="Times New Roman"/>
          <w:sz w:val="18"/>
          <w:szCs w:val="18"/>
          <w:color w:val="465361"/>
        </w:rPr>
      </w:pPr>
    </w:p>
    <w:p>
      <w:pPr>
        <w:ind w:left="1560" w:right="400" w:hanging="411"/>
        <w:spacing w:after="0" w:line="282" w:lineRule="auto"/>
        <w:tabs>
          <w:tab w:leader="none" w:pos="1560" w:val="left"/>
        </w:tabs>
        <w:numPr>
          <w:ilvl w:val="0"/>
          <w:numId w:val="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15,534 shares of common stock issuable upon the vesting of restricted stock units as of December 31, 2023 under our equity incentive plans;</w:t>
      </w:r>
    </w:p>
    <w:p>
      <w:pPr>
        <w:spacing w:after="0" w:line="67" w:lineRule="exact"/>
        <w:rPr>
          <w:rFonts w:ascii="Times New Roman" w:cs="Times New Roman" w:eastAsia="Times New Roman" w:hAnsi="Times New Roman"/>
          <w:sz w:val="18"/>
          <w:szCs w:val="18"/>
          <w:color w:val="465361"/>
        </w:rPr>
      </w:pPr>
    </w:p>
    <w:p>
      <w:pPr>
        <w:ind w:left="1560" w:right="460" w:hanging="411"/>
        <w:spacing w:after="0" w:line="282" w:lineRule="auto"/>
        <w:tabs>
          <w:tab w:leader="none" w:pos="1560" w:val="left"/>
        </w:tabs>
        <w:numPr>
          <w:ilvl w:val="0"/>
          <w:numId w:val="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833,180 shares of common stock issuable upon exercise of stock options granted after December 31, 2023 under our equity incentive plans, with a weighted-average exercise price of $41.18 per share;</w:t>
      </w:r>
    </w:p>
    <w:p>
      <w:pPr>
        <w:spacing w:after="0" w:line="67" w:lineRule="exact"/>
        <w:rPr>
          <w:rFonts w:ascii="Times New Roman" w:cs="Times New Roman" w:eastAsia="Times New Roman" w:hAnsi="Times New Roman"/>
          <w:sz w:val="18"/>
          <w:szCs w:val="18"/>
          <w:color w:val="465361"/>
        </w:rPr>
      </w:pPr>
    </w:p>
    <w:p>
      <w:pPr>
        <w:ind w:left="1560" w:right="100" w:hanging="411"/>
        <w:spacing w:after="0" w:line="282" w:lineRule="auto"/>
        <w:tabs>
          <w:tab w:leader="none" w:pos="1560" w:val="left"/>
        </w:tabs>
        <w:numPr>
          <w:ilvl w:val="0"/>
          <w:numId w:val="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359,030 shares of common stock issued and issuable upon the exercise of restricted stock units granted after December 31, 2023 under our equity incentive plans;</w:t>
      </w:r>
    </w:p>
    <w:p>
      <w:pPr>
        <w:spacing w:after="0" w:line="67" w:lineRule="exact"/>
        <w:rPr>
          <w:rFonts w:ascii="Times New Roman" w:cs="Times New Roman" w:eastAsia="Times New Roman" w:hAnsi="Times New Roman"/>
          <w:sz w:val="18"/>
          <w:szCs w:val="18"/>
          <w:color w:val="465361"/>
        </w:rPr>
      </w:pPr>
    </w:p>
    <w:p>
      <w:pPr>
        <w:ind w:left="1560" w:hanging="411"/>
        <w:spacing w:after="0"/>
        <w:tabs>
          <w:tab w:leader="none" w:pos="1560" w:val="left"/>
        </w:tabs>
        <w:numPr>
          <w:ilvl w:val="0"/>
          <w:numId w:val="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1,644,886 shares of common stock issued upon the exercise of warrants after December 31, 2023 and prior to May 2, 2024;</w:t>
      </w:r>
    </w:p>
    <w:p>
      <w:pPr>
        <w:spacing w:after="0" w:line="130" w:lineRule="exact"/>
        <w:rPr>
          <w:rFonts w:ascii="Times New Roman" w:cs="Times New Roman" w:eastAsia="Times New Roman" w:hAnsi="Times New Roman"/>
          <w:sz w:val="18"/>
          <w:szCs w:val="18"/>
          <w:color w:val="465361"/>
        </w:rPr>
      </w:pPr>
    </w:p>
    <w:p>
      <w:pPr>
        <w:ind w:left="1560" w:right="360" w:hanging="411"/>
        <w:spacing w:after="0" w:line="282" w:lineRule="auto"/>
        <w:tabs>
          <w:tab w:leader="none" w:pos="1560" w:val="left"/>
        </w:tabs>
        <w:numPr>
          <w:ilvl w:val="0"/>
          <w:numId w:val="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8,416,972 shares of common stock issuable upon exercise of outstanding warrants, with a weighted average exercise price of $3.29 per share, as of the close of business on May 1, 2024;</w:t>
      </w:r>
    </w:p>
    <w:p>
      <w:pPr>
        <w:spacing w:after="0" w:line="67" w:lineRule="exact"/>
        <w:rPr>
          <w:rFonts w:ascii="Times New Roman" w:cs="Times New Roman" w:eastAsia="Times New Roman" w:hAnsi="Times New Roman"/>
          <w:sz w:val="18"/>
          <w:szCs w:val="18"/>
          <w:color w:val="465361"/>
        </w:rPr>
      </w:pPr>
    </w:p>
    <w:p>
      <w:pPr>
        <w:ind w:left="1560" w:hanging="411"/>
        <w:spacing w:after="0" w:line="282" w:lineRule="auto"/>
        <w:tabs>
          <w:tab w:leader="none" w:pos="1560" w:val="left"/>
        </w:tabs>
        <w:numPr>
          <w:ilvl w:val="0"/>
          <w:numId w:val="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3,009,913 shares of common stock issuable upon exercise of pre-funded warrants outstanding as of May 2, 2024 with a weighted-average exercise price of $0.01 per share; and</w:t>
      </w:r>
    </w:p>
    <w:p>
      <w:pPr>
        <w:spacing w:after="0" w:line="67" w:lineRule="exact"/>
        <w:rPr>
          <w:rFonts w:ascii="Times New Roman" w:cs="Times New Roman" w:eastAsia="Times New Roman" w:hAnsi="Times New Roman"/>
          <w:sz w:val="18"/>
          <w:szCs w:val="18"/>
          <w:color w:val="465361"/>
        </w:rPr>
      </w:pPr>
    </w:p>
    <w:p>
      <w:pPr>
        <w:ind w:left="1560" w:right="520" w:hanging="411"/>
        <w:spacing w:after="0" w:line="282" w:lineRule="auto"/>
        <w:tabs>
          <w:tab w:leader="none" w:pos="1560" w:val="left"/>
        </w:tabs>
        <w:numPr>
          <w:ilvl w:val="0"/>
          <w:numId w:val="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392,044 shares of common stock available for future issuance under our 2014 Equity Incentive Plan and 356,358 shares of common stock available for future issuance under our 2020 Inducement Equity Incentive Plan, as of May 2, 2024.</w:t>
      </w:r>
    </w:p>
    <w:p>
      <w:pPr>
        <w:spacing w:after="0" w:line="162"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465361"/>
        </w:rPr>
        <w:t>To the extent that any outstanding options, warrants, and convertible securities are exercised or converted, there may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465361"/>
        </w:rPr>
        <w:t>S-9</w:t>
      </w:r>
    </w:p>
    <w:p>
      <w:pPr>
        <w:sectPr>
          <w:pgSz w:w="11900" w:h="16838" w:orient="portrait"/>
          <w:cols w:equalWidth="0" w:num="1">
            <w:col w:w="10900"/>
          </w:cols>
          <w:pgMar w:left="320" w:top="455" w:right="6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465361"/>
        </w:rPr>
        <w:t>RISK FACTORS</w:t>
      </w:r>
    </w:p>
    <w:p>
      <w:pPr>
        <w:spacing w:after="0" w:line="22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465361"/>
        </w:rPr>
        <w:t>Investing in our securities involves a high degree of risk. Before making an investment decision, you should carefully consider the risks described below, any amendment or update thereto reflected in our subsequent filings with the Securities and Exchange Commission (“SEC”) and all of the other information in this prospectus supplement, including our financial statements and related notes incorporated by reference in this prospectus supplement. If any of these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Purchasers in this offering will experience immediate and substantial dilution in the book value of their investment.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65361"/>
        </w:rPr>
        <w:t>Purchasers of our common stock in this offering will experience immediate dilution in the net tangible book value of the common stock purchased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65361"/>
        </w:rPr>
        <w:t>this offering because the price per share of common stock in this offering is substantially higher than the net tangible book value per share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65361"/>
        </w:rPr>
        <w:t>common stock outstanding immediately after this offering. Our net tangible book value as of December 31, 2023 was approximately $148.8 million,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65361"/>
        </w:rPr>
        <w:t>$4.70 per share of our common stock. If you purchase shares of common stock in this offering, you will suffer immediate and substantial dilution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65361"/>
        </w:rPr>
        <w:t>$37.98 per share with respect to the net tangible book value of the common stock. See “Dilution” in this prospectus supplement for a detailed discussion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65361"/>
        </w:rPr>
        <w:t>of the dilution you will incur if you purchase shares in this offering.</w:t>
      </w:r>
    </w:p>
    <w:p>
      <w:pPr>
        <w:spacing w:after="0" w:line="203"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465361"/>
        </w:rPr>
        <w:t>We will have broad discretion in how we use the net proceeds of this offering. We may not use these proceeds effectively, which could affect our results of operations and cause our stock price to decline.</w:t>
      </w:r>
    </w:p>
    <w:p>
      <w:pPr>
        <w:spacing w:after="0" w:line="5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465361"/>
        </w:rPr>
        <w:t>Although we currently intend to use the net proceeds from this offering in the manner described in the section entitled “Use of Proceeds” in this prospectus supplement, we will have considerable discretion in the application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 If we do not invest or apply the net proceeds from this offering in ways that enhance stockholder value, we may fail to achieve expected financial results, which could cause our stock price to decline.</w:t>
      </w:r>
    </w:p>
    <w:p>
      <w:pPr>
        <w:spacing w:after="0" w:line="179"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465361"/>
        </w:rPr>
        <w:t>If we raise additional capital through the sale of shares of our common stock, convertible securities or debt in the future, your ownership in us could be diluted and restrictions could be imposed on our business.</w:t>
      </w:r>
    </w:p>
    <w:p>
      <w:pPr>
        <w:spacing w:after="0" w:line="5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465361"/>
        </w:rPr>
        <w:t>In addition to this offering, we may issue shares of our common stock or securities convertible into our common stock to raise additional capital in the future. To the extent we issue such securities, our stockholders may experience substantial dilution and the trading price of our common stock could decline. If we obtain funds through a credit facility or through the issuance of debt or preferred securities, such debt or preferred securities could have rights senior to your rights as a common shareholder, which could impair the value of our common stock.</w:t>
      </w:r>
    </w:p>
    <w:p>
      <w:pPr>
        <w:spacing w:after="0" w:line="17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465361"/>
        </w:rPr>
        <w:t>We have not paid dividends in the past and do not expect to pay dividends in the future, and, as a result, any return on investment may be limited to the value of our stock.</w:t>
      </w:r>
    </w:p>
    <w:p>
      <w:pPr>
        <w:spacing w:after="0" w:line="51"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465361"/>
        </w:rPr>
        <w:t>We have never paid dividends and do not anticipate paying dividends in the foreseeable future. The payment of dividends will depend on our earnings, capital requirements, financial condition, prospects and other factors our board of directors may deem relevant. If we do not pay dividends, our stock may be less valuable because a return on your investment will only occur if our stock price appreciates and you sell our common stock thereafter.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465361"/>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Sales of a substantial number of shares of our common stock in the public market could cause our stock price to fall.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465361"/>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trading price. The sale or the availability for sale of a large number of shares of our common stock in the public market could cause the price of our common stock to decline.</w:t>
      </w:r>
    </w:p>
    <w:p>
      <w:pPr>
        <w:spacing w:after="0" w:line="183"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465361"/>
        </w:rPr>
        <w:t>We and certain of our significant stockholders and our directors and executive officers have agreed that for a period of 90 days after the date of this prospectus supplement, subject to specified exceptions, we or they will not offer, sell, contract to sell, pledge or otherwise dispose of, directly or indirectly, any shares of our common stock or securities convertible into or exchangeable or exercisable for any shares of our common stock.</w:t>
      </w:r>
    </w:p>
    <w:p>
      <w:pPr>
        <w:spacing w:after="0" w:line="17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465361"/>
        </w:rPr>
        <w:t>If securities or industry analysts do not publish research or reports about our business, or if they issue adverse or misleading opinions regarding our stock, our stock price and trading volume could decline.</w:t>
      </w:r>
    </w:p>
    <w:p>
      <w:pPr>
        <w:spacing w:after="0" w:line="5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465361"/>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FORWARD-LOOKING STATEMENTS</w:t>
      </w:r>
    </w:p>
    <w:p>
      <w:pPr>
        <w:spacing w:after="0" w:line="22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465361"/>
        </w:rPr>
        <w:t>This prospectus supplement, the accompanying prospectus and the information incorporated by reference herein and therein contain certain statements that constitute “forward-looking statements” within the meaning of Section 27A of the Securities Act of 1933, as amended (the “Securities Act”) and Section 21E of the Exchange Act.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465361"/>
        </w:rPr>
        <w:t>The words “believe,” “may,” “will,” “potentially,” “estimate,” “continue,” “anticipate,” “intend,” “could,” “would,” “project,” “plan,” “goal,” “expect” and the negative and plural forms of these words and similar expressions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465361"/>
        </w:rPr>
        <w:t>This prospectus supplement, the accompanying prospectus and the information incorporated by reference herein and therein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 This prospectus supplement, the accompanying prospectus and the information incorporated by reference herein and therein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465361"/>
        </w:rPr>
        <w:t>In addition, statements that “we believe” and similar statements reflect our beliefs and opinions on the relevant subject. These statements are based upon information available to us as of the date of this prospectus supplement,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w:t>
      </w:r>
    </w:p>
    <w:p>
      <w:pPr>
        <w:spacing w:after="0" w:line="180"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465361"/>
        </w:rPr>
        <w:t>Because forward-looking statements are inherently subject to risks and uncertainties, some of which cannot be predicted or quantified, you should not unduly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supplement, whether as a result of any new information, future events or otherwise.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465361"/>
        </w:rPr>
        <w:t>USE OF PROCEEDS</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465361"/>
        </w:rPr>
        <w:t>We estimate that the net proceeds to us from this offering, after deducting the underwriting discounts and commissions and estimated offering expenses payable by us, will be approximately $129.3 million (or approximately $148.8 million if the underwriters exercise their option to purchase additional shares in full).</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465361"/>
        </w:rPr>
        <w:t>We intend to use the net proceeds from this offering to fund our current research and development efforts primarily focused on advancing our lead candidate, DCCR tablets for the treatment of PWS, through late-stage clinical development, regulatory approval and market development activities related thereto and to provide for general corporate purposes, which may include working capital, capital expenditures, other clinical trials, other corporate expenses and acquisitions of complementary products, technologies or businesses. However, we do not have agreements or commitments for any specific acquisitions at this time.</w:t>
      </w:r>
    </w:p>
    <w:p>
      <w:pPr>
        <w:spacing w:after="0" w:line="183" w:lineRule="exact"/>
        <w:rPr>
          <w:sz w:val="20"/>
          <w:szCs w:val="20"/>
          <w:color w:val="auto"/>
        </w:rPr>
      </w:pPr>
    </w:p>
    <w:p>
      <w:pPr>
        <w:jc w:val="both"/>
        <w:ind w:left="120" w:right="60"/>
        <w:spacing w:after="0" w:line="289" w:lineRule="auto"/>
        <w:rPr>
          <w:sz w:val="20"/>
          <w:szCs w:val="20"/>
          <w:color w:val="auto"/>
        </w:rPr>
      </w:pPr>
      <w:r>
        <w:rPr>
          <w:rFonts w:ascii="Times New Roman" w:cs="Times New Roman" w:eastAsia="Times New Roman" w:hAnsi="Times New Roman"/>
          <w:sz w:val="17"/>
          <w:szCs w:val="17"/>
          <w:color w:val="465361"/>
        </w:rPr>
        <w:t>As of the date of this prospectus supplement, we cannot specify all of the particular uses for the net proceeds to be received upon the completion of this offering. Accordingly, our management and board of directors will have broad discretion in the application and specific allocations of the net proceeds, and investors will be relying on the judgment of our management and board of directors regarding the application of the proceeds of this offering.</w:t>
      </w:r>
    </w:p>
    <w:p>
      <w:pPr>
        <w:spacing w:after="0" w:line="158"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465361"/>
        </w:rPr>
        <w:t>These expected uses represent our current intentions based upon our present plans and market conditions. The amounts we actually expend in these areas, and the timing thereof, may vary significantly from our current intentions and will depend upon a number of factors, including research and product development efforts, cash generated from future operations and actual expenses to operate our business.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465361"/>
        </w:rPr>
        <w:t>Pending our use of the net proceeds from this offering, we intend to invest the net proceeds in bank deposits, money market funds, and U.S. government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465361"/>
        </w:rPr>
        <w:t>S-13</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465361"/>
        </w:rPr>
        <w:t>DIVIDEND POLICY</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465361"/>
        </w:rPr>
        <w:t>We have never declared or paid any cash dividends on our capital stock. We currently intend to retain any future earnings to invest in our business and do not expect to pay any dividends in the foreseeable future. Any determination to pay dividends in the future will be at the discretion of our board of directors and will depend on our financial condition, operating results, capital requirements and general business conditions and other factors that our board of directors may deem relevant.</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465361"/>
        </w:rPr>
        <w:t>S-14</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DILUTION</w:t>
      </w:r>
    </w:p>
    <w:p>
      <w:pPr>
        <w:spacing w:after="0" w:line="229"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465361"/>
        </w:rPr>
        <w:t>If you purchase our common stock in this offering, your ownership interest will be immediately diluted to the extent of the difference between the public offering price per share and the net tangible book value per share of our common stock immediately after this offering. Net tangible book value per share is determined by dividing the number of shares of common stock outstanding as of December 31, 2023 into our total tangible assets less total liabilities.</w:t>
      </w:r>
    </w:p>
    <w:p>
      <w:pPr>
        <w:spacing w:after="0" w:line="158"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465361"/>
        </w:rPr>
        <w:t>Our net tangible book value as of December 31, 2023 was approximately $148.8 million, or $4.70 per share, based on 31,678,159 shares of our common stock outstanding as of that date.</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465361"/>
        </w:rPr>
        <w:t>After giving effect to the sale of shares of common stock by us at the public offering price of $46.00 per share and after deducting the underwriting discounts and commissions and estimated offering expenses payable by us, our as adjusted net tangible book value as of December 31, 2023 would have been $278.1 million, or $8.02 per share. This represents an immediate increase in net tangible book value of $3.32 per share to existing stockholders and immediate dilution of $37.98 per share to investors in this offering, as illustrated by the following table:</w:t>
      </w:r>
    </w:p>
    <w:p>
      <w:pPr>
        <w:spacing w:after="0" w:line="225"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Public offering price per share</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$46.00</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465361"/>
              </w:rPr>
              <w:t>Net tangible book value per share as of December 31, 2023</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465361"/>
              </w:rPr>
              <w:t>$4.70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67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465361"/>
              </w:rPr>
              <w:t>Increase in net tangible book value per share attributable to investors participating in</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465361"/>
              </w:rPr>
              <w:t>this offering</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465361"/>
              </w:rPr>
              <w:t>3.32</w:t>
            </w: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465361"/>
              </w:rPr>
              <w:t>As adjusted net tangible book value per share after giving effect to this offering</w:t>
            </w:r>
          </w:p>
        </w:tc>
        <w:tc>
          <w:tcPr>
            <w:tcW w:w="9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8.02</w:t>
            </w:r>
          </w:p>
        </w:tc>
      </w:tr>
      <w:tr>
        <w:trPr>
          <w:trHeight w:val="27"/>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Dilution per share to investors in this offering</w:t>
            </w: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w w:val="96"/>
              </w:rPr>
              <w:t>$37.98</w:t>
            </w:r>
          </w:p>
        </w:tc>
      </w:tr>
      <w:tr>
        <w:trPr>
          <w:trHeight w:val="20"/>
        </w:trPr>
        <w:tc>
          <w:tcPr>
            <w:tcW w:w="6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465361"/>
        </w:rPr>
        <w:t>If the underwriters exercise in full their option to purchase up to additional shares from us at the public offering price of $46.00 per share, the as adjusted net tangible book value per share after this offering would be $8.47 per share, the increase in net tangible book value per share to existing stockholders would be $3.77 per share and the dilution to new investors purchasing shares in this offering would be $37.53 per share.</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465361"/>
        </w:rPr>
        <w:t>The number of shares of common stock to be outstanding immediately after this offering is based on 31,678,159 shares outstanding as of December 31, 2023 and excludes:</w:t>
      </w:r>
    </w:p>
    <w:p>
      <w:pPr>
        <w:spacing w:after="0" w:line="67" w:lineRule="exact"/>
        <w:rPr>
          <w:sz w:val="20"/>
          <w:szCs w:val="20"/>
          <w:color w:val="auto"/>
        </w:rPr>
      </w:pPr>
    </w:p>
    <w:p>
      <w:pPr>
        <w:ind w:left="1420" w:right="380" w:hanging="427"/>
        <w:spacing w:after="0" w:line="282" w:lineRule="auto"/>
        <w:tabs>
          <w:tab w:leader="none" w:pos="1420" w:val="left"/>
        </w:tabs>
        <w:numPr>
          <w:ilvl w:val="0"/>
          <w:numId w:val="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2,369,665 shares of common stock issuable upon exercise of stock options outstanding as of December 31, 2023 under our equity incentive plans, with a weighted-average exercise price of $11.56 per share;</w:t>
      </w:r>
    </w:p>
    <w:p>
      <w:pPr>
        <w:spacing w:after="0" w:line="67" w:lineRule="exact"/>
        <w:rPr>
          <w:rFonts w:ascii="Times New Roman" w:cs="Times New Roman" w:eastAsia="Times New Roman" w:hAnsi="Times New Roman"/>
          <w:sz w:val="18"/>
          <w:szCs w:val="18"/>
          <w:color w:val="465361"/>
        </w:rPr>
      </w:pPr>
    </w:p>
    <w:p>
      <w:pPr>
        <w:ind w:left="1420" w:right="60" w:hanging="427"/>
        <w:spacing w:after="0" w:line="282" w:lineRule="auto"/>
        <w:tabs>
          <w:tab w:leader="none" w:pos="1420" w:val="left"/>
        </w:tabs>
        <w:numPr>
          <w:ilvl w:val="0"/>
          <w:numId w:val="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15,534 shares of common stock issuable upon the vesting of restricted stock units as of December 31, 2023 under our equity incentive plans;</w:t>
      </w:r>
    </w:p>
    <w:p>
      <w:pPr>
        <w:spacing w:after="0" w:line="67" w:lineRule="exact"/>
        <w:rPr>
          <w:rFonts w:ascii="Times New Roman" w:cs="Times New Roman" w:eastAsia="Times New Roman" w:hAnsi="Times New Roman"/>
          <w:sz w:val="18"/>
          <w:szCs w:val="18"/>
          <w:color w:val="465361"/>
        </w:rPr>
      </w:pPr>
    </w:p>
    <w:p>
      <w:pPr>
        <w:ind w:left="1420" w:right="120" w:hanging="427"/>
        <w:spacing w:after="0" w:line="282" w:lineRule="auto"/>
        <w:tabs>
          <w:tab w:leader="none" w:pos="1420" w:val="left"/>
        </w:tabs>
        <w:numPr>
          <w:ilvl w:val="0"/>
          <w:numId w:val="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833,180 shares of common stock issuable upon exercise of stock options granted after December 31, 2023 under our equity incentive plans, with a weighted-average exercise price of $41.18 per share;</w:t>
      </w:r>
    </w:p>
    <w:p>
      <w:pPr>
        <w:spacing w:after="0" w:line="67" w:lineRule="exact"/>
        <w:rPr>
          <w:rFonts w:ascii="Times New Roman" w:cs="Times New Roman" w:eastAsia="Times New Roman" w:hAnsi="Times New Roman"/>
          <w:sz w:val="18"/>
          <w:szCs w:val="18"/>
          <w:color w:val="465361"/>
        </w:rPr>
      </w:pPr>
    </w:p>
    <w:p>
      <w:pPr>
        <w:ind w:left="1420" w:right="20" w:hanging="427"/>
        <w:spacing w:after="0" w:line="282" w:lineRule="auto"/>
        <w:tabs>
          <w:tab w:leader="none" w:pos="1420" w:val="left"/>
        </w:tabs>
        <w:numPr>
          <w:ilvl w:val="0"/>
          <w:numId w:val="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359,030 shares of common stock issued and issuable upon the exercise of restricted stock units granted after December 31, 2023 under our equity incentive plans;</w:t>
      </w:r>
    </w:p>
    <w:p>
      <w:pPr>
        <w:spacing w:after="0" w:line="67" w:lineRule="exact"/>
        <w:rPr>
          <w:rFonts w:ascii="Times New Roman" w:cs="Times New Roman" w:eastAsia="Times New Roman" w:hAnsi="Times New Roman"/>
          <w:sz w:val="18"/>
          <w:szCs w:val="18"/>
          <w:color w:val="465361"/>
        </w:rPr>
      </w:pPr>
    </w:p>
    <w:p>
      <w:pPr>
        <w:ind w:left="1420" w:hanging="427"/>
        <w:spacing w:after="0"/>
        <w:tabs>
          <w:tab w:leader="none" w:pos="1420" w:val="left"/>
        </w:tabs>
        <w:numPr>
          <w:ilvl w:val="0"/>
          <w:numId w:val="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1,644,886 shares of common stock issued upon the exercise of warrants after December 31, 2023 and prior to May 2, 2024;</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S-15</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right="140" w:hanging="427"/>
        <w:spacing w:after="0" w:line="282" w:lineRule="auto"/>
        <w:tabs>
          <w:tab w:leader="none" w:pos="1420" w:val="left"/>
        </w:tabs>
        <w:numPr>
          <w:ilvl w:val="0"/>
          <w:numId w:val="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8,416,972 shares of common stock issuable upon exercise of outstanding warrants, with a weighted average exercise price of $3.29 per share, as of the close of business on May 1, 2024;</w:t>
      </w:r>
    </w:p>
    <w:p>
      <w:pPr>
        <w:spacing w:after="0" w:line="67" w:lineRule="exact"/>
        <w:rPr>
          <w:rFonts w:ascii="Times New Roman" w:cs="Times New Roman" w:eastAsia="Times New Roman" w:hAnsi="Times New Roman"/>
          <w:sz w:val="18"/>
          <w:szCs w:val="18"/>
          <w:color w:val="465361"/>
        </w:rPr>
      </w:pPr>
    </w:p>
    <w:p>
      <w:pPr>
        <w:ind w:left="1420" w:right="220" w:hanging="427"/>
        <w:spacing w:after="0" w:line="282" w:lineRule="auto"/>
        <w:tabs>
          <w:tab w:leader="none" w:pos="1420" w:val="left"/>
        </w:tabs>
        <w:numPr>
          <w:ilvl w:val="0"/>
          <w:numId w:val="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3,009,913 shares of common stock issuable upon exercise of pre-funded warrants outstanding as of May 2, 2024 with a weighted-average exercise price of $0.01 per share; and</w:t>
      </w:r>
    </w:p>
    <w:p>
      <w:pPr>
        <w:spacing w:after="0" w:line="67" w:lineRule="exact"/>
        <w:rPr>
          <w:rFonts w:ascii="Times New Roman" w:cs="Times New Roman" w:eastAsia="Times New Roman" w:hAnsi="Times New Roman"/>
          <w:sz w:val="18"/>
          <w:szCs w:val="18"/>
          <w:color w:val="465361"/>
        </w:rPr>
      </w:pPr>
    </w:p>
    <w:p>
      <w:pPr>
        <w:ind w:left="1420" w:right="80" w:hanging="427"/>
        <w:spacing w:after="0" w:line="282" w:lineRule="auto"/>
        <w:tabs>
          <w:tab w:leader="none" w:pos="1420" w:val="left"/>
        </w:tabs>
        <w:numPr>
          <w:ilvl w:val="0"/>
          <w:numId w:val="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392,044 shares of common stock available for future issuance under our 2014 Equity Incentive Plan and 356,358 shares of common stock available for future issuance under our 2020 Inducement Equity Incentive Plan, as of May 2, 2024.</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465361"/>
        </w:rPr>
        <w:t>To the extent that additional shares are issued pursuant to the foregoing, investors purchasing our common stock in this offering will experience further dilution. In addition, we may offer other securities in other offerings due to market conditions or strategic considerations. To the extent we issue such securities, you may experience further dilution.</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465361"/>
        </w:rPr>
        <w:t>S-16</w:t>
      </w:r>
    </w:p>
    <w:p>
      <w:pPr>
        <w:sectPr>
          <w:pgSz w:w="11900" w:h="16838" w:orient="portrait"/>
          <w:cols w:equalWidth="0" w:num="1">
            <w:col w:w="11000"/>
          </w:cols>
          <w:pgMar w:left="320" w:top="455" w:right="5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465361"/>
        </w:rPr>
        <w:t>DESCRIPTION OF THE SECURITIES WE ARE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Description of the Capital Stock</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465361"/>
        </w:rPr>
        <w:t>A description of the common stock we are offering pursuant to this prospectus supplement is set forth under the heading “Description of Capital Stock,” starting on page 9 of the accompanying prospectus. As of December 31, 2023, we had 31,678,159 shares of common stock outstanding.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465361"/>
        </w:rPr>
        <w:t>S-17</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MATERIAL U.S. FEDERAL INCOME TAX CONSEQUENCES TO NON-U.S. HOLDERS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465361"/>
        </w:rPr>
        <w:t>The following discussion describes the material U.S. federal income tax consequences of the acquisition, ownership and disposition of our common stock acquired in this offering. This discussion is based on the current provisions of the Internal Revenue Code of 1986, as amended (the “Code”) existing and proposed U.S. Treasury regulations promulgated thereunder, and administrative rulings and court decisions in effect as of the date hereof, all of which are subject to change at any time, possibly with retroactive effect. No ruling has been or will be sought from the Internal Revenue Service (IRS) with respect to the matters discussed below, and there can be no assurance the IRS will not take a contrary position regarding the tax consequences of the acquisition, ownership or disposition of our common stock, or that any such contrary position would not be sustained by a court.</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465361"/>
        </w:rPr>
        <w:t>We assume in this discussion that the shares of our common stock will be held as capital assets (generally, property held for investment). This discussion does not address all aspects of U.S. federal income taxes, does not discuss the potential application of the Medicare contribution tax on net investment income or the alternative minimum tax and does not deal with state or local taxes, U.S. federal gift and estate tax laws, except as specifically provided below with respect to non-U.S. holders, or any non- U.S. tax consequences that may be relevant to holders in light of their particular circumstances. This discussion also does not address the special tax rules applicable to particular holders, such as</w:t>
      </w:r>
    </w:p>
    <w:p>
      <w:pPr>
        <w:spacing w:after="0" w:line="89" w:lineRule="exact"/>
        <w:rPr>
          <w:sz w:val="20"/>
          <w:szCs w:val="20"/>
          <w:color w:val="auto"/>
        </w:rPr>
      </w:pPr>
    </w:p>
    <w:p>
      <w:pPr>
        <w:ind w:left="1420" w:hanging="427"/>
        <w:spacing w:after="0"/>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financial institutions;</w:t>
      </w:r>
    </w:p>
    <w:p>
      <w:pPr>
        <w:spacing w:after="0" w:line="130" w:lineRule="exact"/>
        <w:rPr>
          <w:rFonts w:ascii="Times New Roman" w:cs="Times New Roman" w:eastAsia="Times New Roman" w:hAnsi="Times New Roman"/>
          <w:sz w:val="18"/>
          <w:szCs w:val="18"/>
          <w:color w:val="465361"/>
        </w:rPr>
      </w:pPr>
    </w:p>
    <w:p>
      <w:pPr>
        <w:ind w:left="1420" w:right="160" w:hanging="427"/>
        <w:spacing w:after="0" w:line="282" w:lineRule="auto"/>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brokers or dealers in securities or currencies or traders in securities that elect to use a mark-to-market method of accounting for their securities holdings;</w:t>
      </w:r>
    </w:p>
    <w:p>
      <w:pPr>
        <w:spacing w:after="0" w:line="67" w:lineRule="exact"/>
        <w:rPr>
          <w:rFonts w:ascii="Times New Roman" w:cs="Times New Roman" w:eastAsia="Times New Roman" w:hAnsi="Times New Roman"/>
          <w:sz w:val="18"/>
          <w:szCs w:val="18"/>
          <w:color w:val="465361"/>
        </w:rPr>
      </w:pPr>
    </w:p>
    <w:p>
      <w:pPr>
        <w:ind w:left="1420" w:hanging="427"/>
        <w:spacing w:after="0"/>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tax-exempt organizations;</w:t>
      </w:r>
    </w:p>
    <w:p>
      <w:pPr>
        <w:spacing w:after="0" w:line="130" w:lineRule="exact"/>
        <w:rPr>
          <w:rFonts w:ascii="Times New Roman" w:cs="Times New Roman" w:eastAsia="Times New Roman" w:hAnsi="Times New Roman"/>
          <w:sz w:val="18"/>
          <w:szCs w:val="18"/>
          <w:color w:val="465361"/>
        </w:rPr>
      </w:pPr>
    </w:p>
    <w:p>
      <w:pPr>
        <w:ind w:left="1420" w:hanging="427"/>
        <w:spacing w:after="0"/>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pension plans;</w:t>
      </w:r>
    </w:p>
    <w:p>
      <w:pPr>
        <w:spacing w:after="0" w:line="130" w:lineRule="exact"/>
        <w:rPr>
          <w:rFonts w:ascii="Times New Roman" w:cs="Times New Roman" w:eastAsia="Times New Roman" w:hAnsi="Times New Roman"/>
          <w:sz w:val="18"/>
          <w:szCs w:val="18"/>
          <w:color w:val="465361"/>
        </w:rPr>
      </w:pPr>
    </w:p>
    <w:p>
      <w:pPr>
        <w:ind w:left="1420" w:hanging="427"/>
        <w:spacing w:after="0"/>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regulated investment companies, real estate investment trusts;</w:t>
      </w:r>
    </w:p>
    <w:p>
      <w:pPr>
        <w:spacing w:after="0" w:line="130" w:lineRule="exact"/>
        <w:rPr>
          <w:rFonts w:ascii="Times New Roman" w:cs="Times New Roman" w:eastAsia="Times New Roman" w:hAnsi="Times New Roman"/>
          <w:sz w:val="18"/>
          <w:szCs w:val="18"/>
          <w:color w:val="465361"/>
        </w:rPr>
      </w:pPr>
    </w:p>
    <w:p>
      <w:pPr>
        <w:ind w:left="1420" w:right="700" w:hanging="427"/>
        <w:spacing w:after="0" w:line="282" w:lineRule="auto"/>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owners that hold our common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465361"/>
        </w:rPr>
      </w:pPr>
    </w:p>
    <w:p>
      <w:pPr>
        <w:ind w:left="1420" w:hanging="427"/>
        <w:spacing w:after="0"/>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insurance companies;</w:t>
      </w:r>
    </w:p>
    <w:p>
      <w:pPr>
        <w:spacing w:after="0" w:line="130" w:lineRule="exact"/>
        <w:rPr>
          <w:rFonts w:ascii="Times New Roman" w:cs="Times New Roman" w:eastAsia="Times New Roman" w:hAnsi="Times New Roman"/>
          <w:sz w:val="18"/>
          <w:szCs w:val="18"/>
          <w:color w:val="465361"/>
        </w:rPr>
      </w:pPr>
    </w:p>
    <w:p>
      <w:pPr>
        <w:ind w:left="1420" w:hanging="427"/>
        <w:spacing w:after="0"/>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persons that own, or are deemed to own, more than 5% of our capital stock (except to the extent specifically set forth below);</w:t>
      </w:r>
    </w:p>
    <w:p>
      <w:pPr>
        <w:spacing w:after="0" w:line="130" w:lineRule="exact"/>
        <w:rPr>
          <w:rFonts w:ascii="Times New Roman" w:cs="Times New Roman" w:eastAsia="Times New Roman" w:hAnsi="Times New Roman"/>
          <w:sz w:val="18"/>
          <w:szCs w:val="18"/>
          <w:color w:val="465361"/>
        </w:rPr>
      </w:pPr>
    </w:p>
    <w:p>
      <w:pPr>
        <w:ind w:left="1420" w:right="180" w:hanging="427"/>
        <w:spacing w:after="0" w:line="282" w:lineRule="auto"/>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entities or arrangements treated as partnerships for U.S. federal income tax purposes and other pass-through entities (and partners or other investors therein);</w:t>
      </w:r>
    </w:p>
    <w:p>
      <w:pPr>
        <w:spacing w:after="0" w:line="67" w:lineRule="exact"/>
        <w:rPr>
          <w:rFonts w:ascii="Times New Roman" w:cs="Times New Roman" w:eastAsia="Times New Roman" w:hAnsi="Times New Roman"/>
          <w:sz w:val="18"/>
          <w:szCs w:val="18"/>
          <w:color w:val="465361"/>
        </w:rPr>
      </w:pPr>
    </w:p>
    <w:p>
      <w:pPr>
        <w:ind w:left="1420" w:right="60" w:hanging="427"/>
        <w:spacing w:after="0" w:line="282" w:lineRule="auto"/>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controlled foreign corporations, passive foreign investment companies, or corporations that accumulate earnings to avoid U.S. federal income tax;</w:t>
      </w:r>
    </w:p>
    <w:p>
      <w:pPr>
        <w:spacing w:after="0" w:line="67" w:lineRule="exact"/>
        <w:rPr>
          <w:rFonts w:ascii="Times New Roman" w:cs="Times New Roman" w:eastAsia="Times New Roman" w:hAnsi="Times New Roman"/>
          <w:sz w:val="18"/>
          <w:szCs w:val="18"/>
          <w:color w:val="465361"/>
        </w:rPr>
      </w:pPr>
    </w:p>
    <w:p>
      <w:pPr>
        <w:ind w:left="1420" w:right="180" w:hanging="427"/>
        <w:spacing w:after="0" w:line="282" w:lineRule="auto"/>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persons subject to special tax accounting rules as a result of any item of gross income with respect to our common stock being taken into account in an applicable financial statement;</w:t>
      </w:r>
    </w:p>
    <w:p>
      <w:pPr>
        <w:spacing w:after="0" w:line="67" w:lineRule="exact"/>
        <w:rPr>
          <w:rFonts w:ascii="Times New Roman" w:cs="Times New Roman" w:eastAsia="Times New Roman" w:hAnsi="Times New Roman"/>
          <w:sz w:val="18"/>
          <w:szCs w:val="18"/>
          <w:color w:val="465361"/>
        </w:rPr>
      </w:pPr>
    </w:p>
    <w:p>
      <w:pPr>
        <w:ind w:left="1420" w:hanging="427"/>
        <w:spacing w:after="0"/>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persons deemed to sell our common stock under the constructive sale provisions of the Code; and</w:t>
      </w:r>
    </w:p>
    <w:p>
      <w:pPr>
        <w:spacing w:after="0" w:line="130" w:lineRule="exact"/>
        <w:rPr>
          <w:rFonts w:ascii="Times New Roman" w:cs="Times New Roman" w:eastAsia="Times New Roman" w:hAnsi="Times New Roman"/>
          <w:sz w:val="18"/>
          <w:szCs w:val="18"/>
          <w:color w:val="465361"/>
        </w:rPr>
      </w:pPr>
    </w:p>
    <w:p>
      <w:pPr>
        <w:ind w:left="1420" w:hanging="427"/>
        <w:spacing w:after="0"/>
        <w:tabs>
          <w:tab w:leader="none" w:pos="142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certain U.S. expatriates and certain former citizens or long-term residents of the United States.</w:t>
      </w:r>
    </w:p>
    <w:p>
      <w:pPr>
        <w:spacing w:after="0" w:line="225" w:lineRule="exact"/>
        <w:rPr>
          <w:sz w:val="20"/>
          <w:szCs w:val="20"/>
          <w:color w:val="auto"/>
        </w:rPr>
      </w:pPr>
    </w:p>
    <w:p>
      <w:pPr>
        <w:jc w:val="both"/>
        <w:ind w:left="120" w:right="400"/>
        <w:spacing w:after="0" w:line="261" w:lineRule="auto"/>
        <w:rPr>
          <w:sz w:val="20"/>
          <w:szCs w:val="20"/>
          <w:color w:val="auto"/>
        </w:rPr>
      </w:pPr>
      <w:r>
        <w:rPr>
          <w:rFonts w:ascii="Times New Roman" w:cs="Times New Roman" w:eastAsia="Times New Roman" w:hAnsi="Times New Roman"/>
          <w:sz w:val="18"/>
          <w:szCs w:val="18"/>
          <w:color w:val="465361"/>
        </w:rPr>
        <w:t>In addition, this discussion does not address the tax treatment of partnerships or other pass-through entities or persons who hold our common stock through partnerships or other entities which are pass-through entities for U.S. federal income tax purposes.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465361"/>
        </w:rPr>
        <w:t>This discussion of U.S. federal income tax considerations is for general information purposes only and is not tax advice. Prospective investors should consult their own tax advisors regarding the U.S. federal, state, local and non-U.S. income and other tax considerations of acquiring, holding and disposing of our common stock.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65361"/>
        </w:rPr>
        <w:t>For the purposes of this discussion, a “U.S. Holder” means a beneficial owner of our common stock that is, (or other entity classified as a partnership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65361"/>
        </w:rPr>
        <w:t>U.S. federal income tax purposes:</w:t>
      </w:r>
    </w:p>
    <w:p>
      <w:pPr>
        <w:spacing w:after="0" w:line="207" w:lineRule="exact"/>
        <w:rPr>
          <w:sz w:val="20"/>
          <w:szCs w:val="20"/>
          <w:color w:val="auto"/>
        </w:rPr>
      </w:pPr>
    </w:p>
    <w:p>
      <w:pPr>
        <w:ind w:left="560" w:hanging="4"/>
        <w:spacing w:after="0" w:line="255" w:lineRule="auto"/>
        <w:tabs>
          <w:tab w:leader="none" w:pos="805" w:val="left"/>
        </w:tabs>
        <w:numPr>
          <w:ilvl w:val="0"/>
          <w:numId w:val="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(1) whose administration is subject to the primary supervision of a U.S. court and has one or more U.S. persons (within the meaning of Section 7701(a)(30) of the Internal Revenue Code of 1986, as amended (the Code)) who have the authority to control all of the trust’s substantial decisions or (2) that has a valid election in effect under applicable U.S. Treasury Regulations to be treated as a U.S. person. A “Non-U.S. Holder” is, for U.S. federal income tax purposes, a beneficial owner of common stock that is not a U.S. Holder or an entity or arrangement treated as a partnership for U.S. federal income tax purposes.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Tax Considerations Applicable to U.S. Holders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Distributions</w:t>
      </w:r>
    </w:p>
    <w:p>
      <w:pPr>
        <w:spacing w:after="0" w:line="121" w:lineRule="exact"/>
        <w:rPr>
          <w:sz w:val="20"/>
          <w:szCs w:val="20"/>
          <w:color w:val="auto"/>
        </w:rPr>
      </w:pPr>
    </w:p>
    <w:p>
      <w:pPr>
        <w:jc w:val="both"/>
        <w:ind w:left="120" w:right="60"/>
        <w:spacing w:after="0" w:line="272" w:lineRule="auto"/>
        <w:rPr>
          <w:sz w:val="20"/>
          <w:szCs w:val="20"/>
          <w:color w:val="auto"/>
        </w:rPr>
      </w:pPr>
      <w:r>
        <w:rPr>
          <w:rFonts w:ascii="Times New Roman" w:cs="Times New Roman" w:eastAsia="Times New Roman" w:hAnsi="Times New Roman"/>
          <w:sz w:val="17"/>
          <w:szCs w:val="17"/>
          <w:color w:val="465361"/>
        </w:rPr>
        <w:t>As discussed above, we currently intend to retain any future earnings to invest in our business and do not expect to pay any dividends in the foreseeable future. In the event that we do make distributions on our common stock to a U.S. Holder, those distributions generally will constitute dividends for U.S. tax purposes to the extent paid out of our current or accumulated earnings and profits (as determined under U.S. federal income tax principles).</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465361"/>
        </w:rPr>
        <w:t>Distributions in excess of our current and accumulated earnings and profits will constitute a return of capital that is applied against and reduces, but not below zero, a U.S. Holder’s adjusted tax basis in our common stock. Any remaining excess will be treated as gain realized on the sale or exchange of our common stock as described below under the section titled “–Disposition of Our Common Stock.” Under current law, if certain requirements are met, a preferential U.S. federal income tax rate will apply to any dividends paid to the beneficial owner of our common stock who is an individual U.S. Holder and meets certain holding period requirements.</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465361"/>
        </w:rPr>
        <w:t>Distributions constituting dividends for U.S. federal income tax purposes that are made to U.S. Holders that are corporate shareholders may qualify for the dividends received deduction (DRD) which is generally available to corporate shareholders. No assurance can be given that we will have sufficient earnings and profits (as determined for U.S. federal income tax purposes) to cause any distributions to be eligible for a DRD. In addition, a DRD is available only if certain holding periods and other taxable income requirements are satisfied.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465361"/>
        </w:rPr>
        <w:t>S-20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Disposition of Our Common Stock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465361"/>
        </w:rPr>
        <w:t>Upon a sale or other taxable disposition of our common stock, a U.S. Holder generally will recognize capital gain or loss in an amount equal to the difference between the amount realized and the U.S. Holder’s adjusted tax basis in the common stock. Capital gain or loss will constitute long-term capital gain or loss if the U.S. Holder’s holding period for the common stock exceeds one year. The deductibility of capital losses is subject to certain limitations. U.S. Holders who recognize losses with respect to a disposition of our common stock should consult their own tax advisors regarding the tax treatment of such losses.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Information Reporting and Backup Withholding</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465361"/>
        </w:rPr>
        <w:t>Information reporting requirements generally will apply to payments of dividends (including constructive dividends) on the common stock and to the proceeds of a sale or other disposition of common stock paid by us to a U.S. Holder unless such U.S. Holder is an exempt recipient, such as a corporation. Backup withholding will apply to those payments if the U.S. Holder fails to provide the holder’s taxpayer identification number, or certification of exempt status, or if the holder otherwise fails to comply with applicable requirements to establish an exemption.</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465361"/>
        </w:rPr>
        <w:t>Backup withholding is not an additional tax. Rather, any amounts withheld under the backup withholding rules will be allowed as a refund or a credit against the U.S. Holder’s U.S. federal income tax liability provided the required information is timely furnished to the IRS. U.S. Holders should consult their own tax advisors regarding their qualification for exemption from information reporting and backup withholding and the procedure for obtaining such exemption.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Tax Considerations Applicable to Non-U.S. Holders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Distributions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465361"/>
        </w:rPr>
        <w:t>As discussed above, we currently intend to retain any future earnings to invest in our business and do not expect to pay any dividends in the foreseeable future. In the event that we do make distributions on our common stock to a Non-U.S. Holder, those distributions generally will constitute dividends for U.S. federal income tax purposes to the extent paid from our current or accumulated earnings and profits, as described in “—U.S. Holders – Distributions.”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465361"/>
        </w:rPr>
        <w:t>Any distribution (including constructive distributions)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465361"/>
        </w:rPr>
        <w:t>We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stock is held through a financial institution or other agent, to the applicable withholding agent). In general, such effectively connected dividends will be subject to U.S. federal income tax on a net income basis at the regular graduated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 U.S. Holder’s effectively connected earnings and profits, subject to certain adjustments.</w:t>
      </w:r>
    </w:p>
    <w:p>
      <w:pPr>
        <w:spacing w:after="0" w:line="19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465361"/>
        </w:rPr>
        <w:t>See also the sections below titled “—Backup Withholding and Information Reporting” and “—Foreign Accounts” for additional withholding rules that may apply to dividends paid to certain foreign financial institutions or non-financial foreign entities.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Disposition of Our Common Stock</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465361"/>
        </w:rPr>
        <w:t>Subject to the discussions below under the sections titled “—Backup Withholding and Information Reporting” and “—Foreign Accounts” a Non-U.S. Holder generally will not be subject to U.S. federal income or withholding tax with respect to gain realized on a sale or other disposition of our common stock unless:</w:t>
      </w:r>
    </w:p>
    <w:p>
      <w:pPr>
        <w:spacing w:after="0" w:line="81" w:lineRule="exact"/>
        <w:rPr>
          <w:sz w:val="20"/>
          <w:szCs w:val="20"/>
          <w:color w:val="auto"/>
        </w:rPr>
      </w:pPr>
    </w:p>
    <w:p>
      <w:pPr>
        <w:jc w:val="both"/>
        <w:ind w:left="1420" w:right="120" w:hanging="427"/>
        <w:spacing w:after="0" w:line="258" w:lineRule="auto"/>
        <w:tabs>
          <w:tab w:leader="none" w:pos="1420" w:val="left"/>
        </w:tabs>
        <w:numPr>
          <w:ilvl w:val="0"/>
          <w:numId w:val="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U.S. persons, and if the Non-U.S. Holder is a corporation, an additional branch profits tax at a rate of 30%, or a lower rate as may be specified by an applicable income tax treaty, may also apply;</w:t>
      </w:r>
    </w:p>
    <w:p>
      <w:pPr>
        <w:spacing w:after="0" w:line="88" w:lineRule="exact"/>
        <w:rPr>
          <w:rFonts w:ascii="Times New Roman" w:cs="Times New Roman" w:eastAsia="Times New Roman" w:hAnsi="Times New Roman"/>
          <w:sz w:val="18"/>
          <w:szCs w:val="18"/>
          <w:color w:val="465361"/>
        </w:rPr>
      </w:pPr>
    </w:p>
    <w:p>
      <w:pPr>
        <w:ind w:left="1420" w:right="20" w:hanging="427"/>
        <w:spacing w:after="0" w:line="261" w:lineRule="auto"/>
        <w:tabs>
          <w:tab w:leader="none" w:pos="1420" w:val="left"/>
        </w:tabs>
        <w:numPr>
          <w:ilvl w:val="0"/>
          <w:numId w:val="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 U.S. Holder, if any; or</w:t>
      </w:r>
    </w:p>
    <w:p>
      <w:pPr>
        <w:spacing w:after="0" w:line="85" w:lineRule="exact"/>
        <w:rPr>
          <w:rFonts w:ascii="Times New Roman" w:cs="Times New Roman" w:eastAsia="Times New Roman" w:hAnsi="Times New Roman"/>
          <w:sz w:val="18"/>
          <w:szCs w:val="18"/>
          <w:color w:val="465361"/>
        </w:rPr>
      </w:pPr>
    </w:p>
    <w:p>
      <w:pPr>
        <w:ind w:left="1420" w:right="120" w:hanging="427"/>
        <w:spacing w:after="0" w:line="258" w:lineRule="auto"/>
        <w:tabs>
          <w:tab w:leader="none" w:pos="1420" w:val="left"/>
        </w:tabs>
        <w:numPr>
          <w:ilvl w:val="0"/>
          <w:numId w:val="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common stock constitutes a U.S. real property interest because we are, or have been at any time during the five-year period preceding such disposition (or the Non-U.S. Holder’s holding period for the common stock,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spacing w:after="0" w:line="271" w:lineRule="auto"/>
        <w:rPr>
          <w:sz w:val="20"/>
          <w:szCs w:val="20"/>
          <w:color w:val="auto"/>
        </w:rPr>
      </w:pPr>
      <w:r>
        <w:rPr>
          <w:rFonts w:ascii="Times New Roman" w:cs="Times New Roman" w:eastAsia="Times New Roman" w:hAnsi="Times New Roman"/>
          <w:sz w:val="17"/>
          <w:szCs w:val="17"/>
          <w:color w:val="465361"/>
        </w:rPr>
        <w:t>We believe that we are not currently and will not become a U.S. real property holding corporation for U.S. federal income tax purposes, and the remainder of this discussion so assumes. However, because the determination of whether a corporation is a U.S. real property holding corporation generally depends on whether  the fair market value of its U.S. real property interests equals or exceeds 50% of the sum of the fair market value of its worldwide real property interests plus its other assets used or held for use in a trade or business, there can be no assurance that we will not become a U.S. real property holding corporation in the future. Although there can be no assurance, we believe that we are not currently, and we do not anticipate becoming, a “U.S. real property holding corporation” for U.S. federal income tax purposes. No assurance can be provided that our common stock will be regularly traded on an established securities market for purposes of the rules described above. Non-U.S. Holders are urged to consult their own tax advisors regarding the U.S. federal income tax considerations that could result if we are, or become, a “U.S. real property holding corporation.”</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Backup Withholding and Information Reporting</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465361"/>
        </w:rPr>
        <w:t>We must report annually to the IRS and to each Non-U.S. Holder the gross amount of the distributions (including constructive distributions) on our common stock paid to such holder and the tax withheld, if any, with respect to such distributions. Non-U.S. Holders may have to comply with specific certification procedures to establish that the holder is not a U.S. person (as defined in the Code) in order to avoid backup withholding at the applicable rate, currently 24%, with respect to dividends (or constructive dividends) on our common stock. Generally, a holder will comply with such procedures if it provides a properly executed IRS Form W-8BEN, IRS Form W-8BEN-E (or other applicable IRS Form W-8) or otherwise meets documentary evidence requirements for establishing that it is a Non-U.S. Holder, or otherwise establishes an exemption. Dividends paid to Non-U.S. Holders subject to withholding of U.S. federal income tax, as described above under the heading “—Dividends,” will generally be exempt from U.S. backup withholding.</w:t>
      </w:r>
    </w:p>
    <w:p>
      <w:pPr>
        <w:spacing w:after="0" w:line="19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465361"/>
        </w:rPr>
        <w:t>Information reporting and backup withholding generally will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465361"/>
        </w:rPr>
        <w:t>Copies of information returns may be made available to the tax authorities of the country in which the Non-U.S. Holder resides or is incorporated under the provisions of a specific treaty or agreement.</w:t>
      </w:r>
    </w:p>
    <w:p>
      <w:pPr>
        <w:spacing w:after="0" w:line="162"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465361"/>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Foreign Accounts</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465361"/>
        </w:rPr>
        <w:t>Code Sections 1471-1474, commonly referred to as the Foreign Account Tax Compliance Act (“FATCA”) and the Treasury Regulations issued thereunder generally impose a U.S. federal withholding tax of 30% on dividends on, and, subject to the proposed Treasury Regulations discussed below, the gross proceeds from a sale or other disposition of, our common stock such institution enters into an agreement with the U.S. government to, among other things, withhold on certain payments and to collect and provide to the U.S. tax authorities substantial information regarding the U.S. account holders of such institution (which include certain equity and debt holders of such institution, as well as certain account holders that are foreign entities with U.S. owners) or otherwise establishes an exemption. FATCA also generally imposes a U.S. federal withholding tax of 30% on dividends on,</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465361"/>
        </w:rPr>
        <w:t>S-23</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465361"/>
        </w:rPr>
        <w:t>and, subject to the proposed Treasury Regulations discussed below, the gross proceeds from a sale or other disposition of, our common stock or warrants paid to a “non-financial foreign entity” (as defined under these rules) unless such entity provides the withholding agent with a certification identifying the direct and indirect U.S. owners of the entity, certifies that it does not have any substantial U.S. owners, or otherwise establishes an exemption. The withholding obligations under FATCA generally apply to dividends on our common stock. The U.S. Department of the Treasury has issued proposed Treasury Regulations providing that, if finalized in their present form, the withholding obligations under FATCA would not apply with respect to payment of gross proceeds from a sale or other disposition of common stock. The proposed Treasury Regulations may be relied upon until final Treasury Regulations are issued. Under certain circumstances, a non-U.S. holder might be eligible for refunds or credits of taxes withheld under FATCA. An intergovernmental agreement between the United States and an applicable foreign country may modify the requirements described in this paragraph. Non-U.S. Holders are encouraged to consult with their own tax advisors regarding the possible implications of FATCA on their investment in our common stock.</w:t>
      </w:r>
    </w:p>
    <w:p>
      <w:pPr>
        <w:spacing w:after="0" w:line="190"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color w:val="465361"/>
        </w:rPr>
        <w:t>The preceding discussion of material U.S. federal tax considerations is for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UNDERWRITING</w:t>
      </w:r>
    </w:p>
    <w:p>
      <w:pPr>
        <w:spacing w:after="0" w:line="22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465361"/>
        </w:rPr>
        <w:t>Subject to the terms and conditions set forth in the underwriting agreement among us, Piper Sandler &amp; Co. and Guggenheim Securities, LLC, as the representatives of the underwriters named below and as joint book-running managers, we have agreed to sell to the underwriters, and each of the underwriters has agreed, severally and not jointly, to purchase from us, at the public offering price less the underwriting discount and commissions set forth on the cover page of this prospectus supplement, the number of shares of common stock listed opposite its name below.</w:t>
      </w:r>
    </w:p>
    <w:p>
      <w:pPr>
        <w:spacing w:after="0" w:line="188"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Underwriter</w:t>
            </w:r>
          </w:p>
        </w:tc>
        <w:tc>
          <w:tcPr>
            <w:tcW w:w="6640" w:type="dxa"/>
            <w:vAlign w:val="bottom"/>
            <w:vMerge w:val="restart"/>
          </w:tcPr>
          <w:p>
            <w:pPr>
              <w:spacing w:after="0"/>
              <w:rPr>
                <w:sz w:val="13"/>
                <w:szCs w:val="13"/>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465361"/>
              </w:rPr>
              <w:t>Number</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6640" w:type="dxa"/>
            <w:vAlign w:val="bottom"/>
            <w:vMerge w:val="continue"/>
          </w:tcPr>
          <w:p>
            <w:pPr>
              <w:spacing w:after="0"/>
              <w:rPr>
                <w:sz w:val="15"/>
                <w:szCs w:val="15"/>
                <w:color w:val="auto"/>
              </w:rPr>
            </w:pPr>
          </w:p>
        </w:tc>
        <w:tc>
          <w:tcPr>
            <w:tcW w:w="84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465361"/>
              </w:rPr>
              <w:t>of Shares</w:t>
            </w:r>
          </w:p>
        </w:tc>
        <w:tc>
          <w:tcPr>
            <w:tcW w:w="0" w:type="dxa"/>
            <w:vAlign w:val="bottom"/>
          </w:tcPr>
          <w:p>
            <w:pPr>
              <w:spacing w:after="0"/>
              <w:rPr>
                <w:sz w:val="1"/>
                <w:szCs w:val="1"/>
                <w:color w:val="auto"/>
              </w:rPr>
            </w:pPr>
          </w:p>
        </w:tc>
      </w:tr>
      <w:tr>
        <w:trPr>
          <w:trHeight w:val="203"/>
        </w:trPr>
        <w:tc>
          <w:tcPr>
            <w:tcW w:w="7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Piper Sandler &amp; Co.</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1,020,000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Guggenheim Securities, LLC</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1,020,000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Cantor Fitzgerald &amp; Co.</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540,000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Oppenheimer &amp; Co. Inc.</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390,000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Laidlaw &amp; Company (UK) Ltd.</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30,000</w:t>
            </w: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465361"/>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465361"/>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Option to Purchase Additional Shares</w:t>
      </w:r>
    </w:p>
    <w:p>
      <w:pPr>
        <w:spacing w:after="0" w:line="121"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465361"/>
        </w:rPr>
        <w:t>We have granted the underwriters an option to purchase up to 450,000 additional shares of common stock from us.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Discounts, Commissions and Expenses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465361"/>
        </w:rPr>
        <w:t>The underwriters have advised us that they propose to offer the shares of common stock the public at the public offering price set forth on the cover of this prospectus supplement and to certain dealers, which may include the underwriters, at that price less a concession not in excess of $1.656 per share of common stock. After the offering, if all of the shares of common stock are not sold at the public offering price, the public offering price and concession may be reduced by the representatives. No such reduction will change the amount of proceeds to be received by us as set forth on the cover of this prospectus supplement.</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465361"/>
        </w:rPr>
        <w:t>The underwriting fee is equal to the public offering price per share of common stock less the amount paid by the underwriters to us per share of common stock. The following table shows the per share and total underwriting discount and commissions to be paid to the underwriters in connection with this offering, assuming both no exercise and full exercise of the underwriters’ option to purchase additional shares:</w:t>
      </w:r>
    </w:p>
    <w:p>
      <w:pPr>
        <w:spacing w:after="0" w:line="18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465361"/>
              </w:rPr>
              <w:t>Total</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465361"/>
              </w:rPr>
              <w:t>Total With Full</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Per Share</w:t>
            </w: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465361"/>
              </w:rPr>
              <w:t>Without Option</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465361"/>
              </w:rPr>
              <w:t>Exercise</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Option Exercise</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Public offering price</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46.00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7"/>
              </w:rPr>
              <w:t>138,000,000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7"/>
              </w:rPr>
              <w:t>158,700,000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465361"/>
              </w:rPr>
              <w:t>Underwriting discount and commissions</w:t>
            </w:r>
          </w:p>
        </w:tc>
        <w:tc>
          <w:tcPr>
            <w:tcW w:w="11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2.76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8,280,000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9,522,000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Proceeds, before expenses, to us</w:t>
            </w:r>
          </w:p>
        </w:tc>
        <w:tc>
          <w:tcPr>
            <w:tcW w:w="11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43.24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w w:val="97"/>
              </w:rPr>
              <w:t>129,720,000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w w:val="97"/>
              </w:rPr>
              <w:t>149,178,000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465361"/>
        </w:rPr>
        <w:t>We estimate that the total fees and expenses payable by us in connection with this offering, excluding underwriting discount and commissions referred to above, will be approximately $400,000. We have agreed to reimburse the underwriters for certain expenses incurred by them in connection with the offering, in an amount not to exceed $100,000.</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Indemnification of Underwriters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465361"/>
        </w:rPr>
        <w:t>We have agreed to indemnify the underwriters against certain liabilities, including liabilities under the Securities Act, or to contribute to payments that the underwriters may be required to make in respect of those liabilities.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65361"/>
        </w:rPr>
        <w:t>Our common stock is listed on the Nasdaq Capital Market under the symbol “SLNO.”</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No Sales of Similar Securities</w:t>
      </w:r>
    </w:p>
    <w:p>
      <w:pPr>
        <w:spacing w:after="0" w:line="121"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465361"/>
        </w:rPr>
        <w:t>We have agreed with the underwriters that, subject to certain customary exceptions, without the prior written consent of Piper Sandler &amp; Co. and Guggenheim Securities, LLC, on behalf of the underwriters, we will not, for a period ending 90 days after the date of this prospectus supplement, not to</w:t>
      </w:r>
    </w:p>
    <w:p>
      <w:pPr>
        <w:spacing w:after="0" w:line="1" w:lineRule="exact"/>
        <w:rPr>
          <w:sz w:val="20"/>
          <w:szCs w:val="20"/>
          <w:color w:val="auto"/>
        </w:rPr>
      </w:pPr>
    </w:p>
    <w:p>
      <w:pPr>
        <w:ind w:left="120" w:right="60" w:hanging="4"/>
        <w:spacing w:after="0" w:line="251" w:lineRule="auto"/>
        <w:tabs>
          <w:tab w:leader="none" w:pos="365" w:val="left"/>
        </w:tabs>
        <w:numPr>
          <w:ilvl w:val="0"/>
          <w:numId w:val="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directly or indirectly issue, offer, sell, agree to issue, offer or sell, solicit offers to purchase, grant any call option, warrant or other right to purchase, purchase any put option or other right to sell, pledge, borrow or otherwise dispose of any shares of our common stock or any securities convertible into or exercisable or exchangeable for our common stock, or make any public announcement of any of the foregoing, or (b) establish or increase an open “put equivalent position” or liquidate or decrease any “call equivalent position” (in each case within the meaning of Rule 16a-l(h) under the Securities Exchange Act of 1934, as amended), or (c) otherwise enter into any swap, derivative or other transaction or arrangement that transfers to another, in whole or in part, any economic consequence of ownership of any shares of our common stock or any securities convertible into or exercisable or exchangeable for shares of our common stock, whether or not such transaction is to be settled by delivery of any shares of our common stock, securities convertible into or exercisable or exchangeable for shares of our common stock, other securities, cash or other consideration.</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465361"/>
        </w:rPr>
        <w:t>Certain of our significant stockholders and our directors and executive officers have agreed with the underwriters that, subject to certain customary exceptions, without the prior written consent of Piper Sandler &amp; Co. and Guggenheim Securities, LLC, on behalf of the underwriters, they will not, for a period ending 90 days after the date of this prospectus supplement, directly or indirectly, (a) offer, sell, agree to offer or sell, solicit offers to purchase, grant any call option or purchase any put option with respect to, pledge, borrow or otherwise dispose of, any shares of our common stock and any security convertible into, or exercisable or exchangeable for, shares of our common stock (“Relevant Security”), and (b) establish or increase any “put equivalent position” or liquidate or decrease any “call equivalent position” with respect to any Relevant Security (in each case within the meaning of Section 16 of the Exchange Act, and the rules and regulations promulgated thereunder), or otherwise enter into any swap, derivative or other transaction or arrangement that transfers to another, in whole or in part, any economic consequence of ownership of a Relevant Security, whether or not such transaction is to be settled by delivery of Relevant Securities, other securities, cash or other consideration.</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465361"/>
        </w:rPr>
        <w:t>Piper Sandler &amp; Co. and Guggenheim Securities, LLC may, in their sole discretion and at any time or from time to time before the termination of the 90-day period release all or any portion of the securities subject to lock-up agreements. Except for certain lock-up exceptions, there are no existing agreements between the underwriters and us and any of our shareholders who will execute a lock-up agreement, providing consent to the sale of shares prior to the expiration of the lock-up period.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465361"/>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Price Stabilization, Short Positions and Penalty Bids</w:t>
      </w:r>
    </w:p>
    <w:p>
      <w:pPr>
        <w:spacing w:after="0" w:line="31" w:lineRule="exact"/>
        <w:rPr>
          <w:sz w:val="20"/>
          <w:szCs w:val="20"/>
          <w:color w:val="auto"/>
        </w:rPr>
      </w:pPr>
    </w:p>
    <w:p>
      <w:pPr>
        <w:jc w:val="both"/>
        <w:ind w:left="120" w:right="100"/>
        <w:spacing w:after="0" w:line="253" w:lineRule="auto"/>
        <w:rPr>
          <w:sz w:val="20"/>
          <w:szCs w:val="20"/>
          <w:color w:val="auto"/>
        </w:rPr>
      </w:pPr>
      <w:r>
        <w:rPr>
          <w:rFonts w:ascii="Times New Roman" w:cs="Times New Roman" w:eastAsia="Times New Roman" w:hAnsi="Times New Roman"/>
          <w:sz w:val="18"/>
          <w:szCs w:val="18"/>
          <w:color w:val="465361"/>
        </w:rPr>
        <w:t>The underwriters have advised us that, pursuant to Regulation M under the Exchange Act, the underwriters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8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465361"/>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from us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from us through the option to purchase additional shares.</w:t>
      </w:r>
    </w:p>
    <w:p>
      <w:pPr>
        <w:spacing w:after="0" w:line="18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465361"/>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80"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465361"/>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shares of common stock originally sold by such syndicate member are purchased in a syndicate covering transaction and therefore have not been effectively placed by such syndicate member.</w:t>
      </w:r>
    </w:p>
    <w:p>
      <w:pPr>
        <w:spacing w:after="0" w:line="19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465361"/>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203" w:lineRule="exact"/>
        <w:rPr>
          <w:sz w:val="20"/>
          <w:szCs w:val="20"/>
          <w:color w:val="auto"/>
        </w:rPr>
      </w:pPr>
    </w:p>
    <w:p>
      <w:pPr>
        <w:jc w:val="both"/>
        <w:ind w:left="120" w:right="120"/>
        <w:spacing w:after="0" w:line="272" w:lineRule="auto"/>
        <w:rPr>
          <w:sz w:val="20"/>
          <w:szCs w:val="20"/>
          <w:color w:val="auto"/>
        </w:rPr>
      </w:pPr>
      <w:r>
        <w:rPr>
          <w:rFonts w:ascii="Times New Roman" w:cs="Times New Roman" w:eastAsia="Times New Roman" w:hAnsi="Times New Roman"/>
          <w:sz w:val="17"/>
          <w:szCs w:val="17"/>
          <w:color w:val="465361"/>
        </w:rPr>
        <w:t>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w:t>
      </w:r>
    </w:p>
    <w:p>
      <w:pPr>
        <w:spacing w:after="0" w:line="2"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465361"/>
        </w:rPr>
        <w:t>However, if all independent bids are lowered below the passive market maker’s bid, that bid must then be lowered when specified purchase limits are exceeded. If passive market making is commenced, it may be discontinued at any time.</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Electronic Distribution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465361"/>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each underwriter’s or its affiliates’ websites and any information contained in any other website maintained by any of the underwriters or an affiliate is not part of this prospectus supplement, has not been approved and/or endorsed by us or the underwriters and should not be relied upon by investors.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Other Activities and Relationships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465361"/>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In addition, from time to time, certain of the underwriters and their respective affiliates may effect transactions for their own account or the account of customers, and hold on behalf of themselves or their customers, long or short positions in our debt or equity securities or loans, and may do so in the future.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465361"/>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General</w:t>
      </w:r>
    </w:p>
    <w:p>
      <w:pPr>
        <w:spacing w:after="0" w:line="121"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465361"/>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European Economic Area</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465361"/>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w:t>
      </w:r>
    </w:p>
    <w:p>
      <w:pPr>
        <w:spacing w:after="0" w:line="89" w:lineRule="exact"/>
        <w:rPr>
          <w:sz w:val="20"/>
          <w:szCs w:val="20"/>
          <w:color w:val="auto"/>
        </w:rPr>
      </w:pPr>
    </w:p>
    <w:p>
      <w:pPr>
        <w:ind w:left="780" w:hanging="327"/>
        <w:spacing w:after="0"/>
        <w:tabs>
          <w:tab w:leader="none" w:pos="780" w:val="left"/>
        </w:tabs>
        <w:numPr>
          <w:ilvl w:val="0"/>
          <w:numId w:val="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any legal entity which is a qualified investor as defined under Article 2 of the Prospectus Regulation;</w:t>
      </w:r>
    </w:p>
    <w:p>
      <w:pPr>
        <w:spacing w:after="0" w:line="117" w:lineRule="exact"/>
        <w:rPr>
          <w:rFonts w:ascii="Times New Roman" w:cs="Times New Roman" w:eastAsia="Times New Roman" w:hAnsi="Times New Roman"/>
          <w:sz w:val="18"/>
          <w:szCs w:val="18"/>
          <w:color w:val="465361"/>
        </w:rPr>
      </w:pPr>
    </w:p>
    <w:p>
      <w:pPr>
        <w:ind w:left="780" w:right="260" w:hanging="327"/>
        <w:spacing w:after="0" w:line="282" w:lineRule="auto"/>
        <w:tabs>
          <w:tab w:leader="none" w:pos="780" w:val="left"/>
        </w:tabs>
        <w:numPr>
          <w:ilvl w:val="0"/>
          <w:numId w:val="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fewer than 150 natural or legal persons (other than qualified investors as defined under Article 2 of the Prospectus Regulation), subject to obtaining the prior consent of the underwriters; or</w:t>
      </w:r>
    </w:p>
    <w:p>
      <w:pPr>
        <w:spacing w:after="0" w:line="53" w:lineRule="exact"/>
        <w:rPr>
          <w:rFonts w:ascii="Times New Roman" w:cs="Times New Roman" w:eastAsia="Times New Roman" w:hAnsi="Times New Roman"/>
          <w:sz w:val="18"/>
          <w:szCs w:val="18"/>
          <w:color w:val="465361"/>
        </w:rPr>
      </w:pPr>
    </w:p>
    <w:p>
      <w:pPr>
        <w:ind w:left="780" w:hanging="327"/>
        <w:spacing w:after="0"/>
        <w:tabs>
          <w:tab w:leader="none" w:pos="780" w:val="left"/>
        </w:tabs>
        <w:numPr>
          <w:ilvl w:val="0"/>
          <w:numId w:val="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 any other circumstances falling within Article 1(4) of the Prospectus Regulation,</w:t>
      </w:r>
    </w:p>
    <w:p>
      <w:pPr>
        <w:spacing w:after="0" w:line="22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465361"/>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465361"/>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465361"/>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United Kingdom</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465361"/>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203" w:lineRule="exact"/>
        <w:rPr>
          <w:sz w:val="20"/>
          <w:szCs w:val="20"/>
          <w:color w:val="auto"/>
        </w:rPr>
      </w:pPr>
    </w:p>
    <w:p>
      <w:pPr>
        <w:ind w:left="780" w:hanging="327"/>
        <w:spacing w:after="0"/>
        <w:tabs>
          <w:tab w:leader="none" w:pos="780" w:val="left"/>
        </w:tabs>
        <w:numPr>
          <w:ilvl w:val="0"/>
          <w:numId w:val="1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any legal entity which is a qualified investor as defined under Article 2 of the UK Prospectus Regulation;</w:t>
      </w:r>
    </w:p>
    <w:p>
      <w:pPr>
        <w:spacing w:after="0" w:line="117" w:lineRule="exact"/>
        <w:rPr>
          <w:rFonts w:ascii="Times New Roman" w:cs="Times New Roman" w:eastAsia="Times New Roman" w:hAnsi="Times New Roman"/>
          <w:sz w:val="18"/>
          <w:szCs w:val="18"/>
          <w:color w:val="465361"/>
        </w:rPr>
      </w:pPr>
    </w:p>
    <w:p>
      <w:pPr>
        <w:ind w:left="780" w:right="140" w:hanging="327"/>
        <w:spacing w:after="0" w:line="282" w:lineRule="auto"/>
        <w:tabs>
          <w:tab w:leader="none" w:pos="780" w:val="left"/>
        </w:tabs>
        <w:numPr>
          <w:ilvl w:val="0"/>
          <w:numId w:val="1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fewer than 150 natural or legal persons (other than qualified investors as defined under Article 2 of the UK Prospectus Regulation), subject to obtaining the prior consent of the representatives for any such offer; or</w:t>
      </w:r>
    </w:p>
    <w:p>
      <w:pPr>
        <w:spacing w:after="0" w:line="53" w:lineRule="exact"/>
        <w:rPr>
          <w:rFonts w:ascii="Times New Roman" w:cs="Times New Roman" w:eastAsia="Times New Roman" w:hAnsi="Times New Roman"/>
          <w:sz w:val="18"/>
          <w:szCs w:val="18"/>
          <w:color w:val="465361"/>
        </w:rPr>
      </w:pPr>
    </w:p>
    <w:p>
      <w:pPr>
        <w:ind w:left="780" w:hanging="327"/>
        <w:spacing w:after="0"/>
        <w:tabs>
          <w:tab w:leader="none" w:pos="780" w:val="left"/>
        </w:tabs>
        <w:numPr>
          <w:ilvl w:val="0"/>
          <w:numId w:val="1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 any other circumstances falling within Section 86 of the FSMA;</w:t>
      </w:r>
    </w:p>
    <w:p>
      <w:pPr>
        <w:spacing w:after="0" w:line="225"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465361"/>
        </w:rPr>
        <w:t>provided that no such offer of the shares shall require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465361"/>
        </w:rPr>
        <w:t>Any invitation or inducement to engage in investment activity (within the meaning of Section 21 of the FSMA) in connection with the issue or sale of the shares may only be communicated or caused to be communicated in circumstances in which Section 21(1) of the FSMA does not apply to us.</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465361"/>
        </w:rPr>
        <w:t>All applicable provisions of the FSMA must be complied with in respect to anything done by any person in relation to the shares of our common stock in, from or otherwise involving the United Kingdom.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Canada</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465361"/>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465361"/>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465361"/>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Germany</w:t>
      </w:r>
    </w:p>
    <w:p>
      <w:pPr>
        <w:spacing w:after="0" w:line="121"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465361"/>
        </w:rPr>
        <w:t>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within the meaning of the Act with respect to any of the shares of our common stock otherwise than in accordance with the Act and all other applicable legal and regulatory requirements.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Hong Kong</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465361"/>
        </w:rPr>
        <w:t>The shares of common stock have not been and will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of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Israel</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465361"/>
        </w:rPr>
        <w:t>In the State of Israel this prospectus supplement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common stock and to any person within the State of Israel, other than to Qualified Investors and up to 35 Addressed Investors.</w:t>
      </w:r>
    </w:p>
    <w:p>
      <w:pPr>
        <w:spacing w:after="0" w:line="188"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465361"/>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Singapore</w:t>
      </w:r>
    </w:p>
    <w:p>
      <w:pPr>
        <w:spacing w:after="0" w:line="121"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465361"/>
        </w:rPr>
        <w:t>Each underwriter has acknowledged that this prospectus supplement has not been registered as a prospectus with the Monetary Authority of Singapore. Accordingly, each underwriter has represented and agreed that it has not offered or sold any shares or caused the shares to be made the subject of</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S-29</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465361"/>
        </w:rPr>
        <w:t>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72" w:lineRule="exact"/>
        <w:rPr>
          <w:sz w:val="20"/>
          <w:szCs w:val="20"/>
          <w:color w:val="auto"/>
        </w:rPr>
      </w:pPr>
    </w:p>
    <w:p>
      <w:pPr>
        <w:ind w:left="120" w:hanging="4"/>
        <w:spacing w:after="0" w:line="282" w:lineRule="auto"/>
        <w:tabs>
          <w:tab w:leader="none" w:pos="365"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an institutional investor (as defined in Section 4A of the Securities and Futures Act (Chapter 289) of Singapore, as modified or amended from time to time (the “SFA”)) pursuant to Section 274 of the SFA;</w:t>
      </w:r>
    </w:p>
    <w:p>
      <w:pPr>
        <w:spacing w:after="0" w:line="161" w:lineRule="exact"/>
        <w:rPr>
          <w:rFonts w:ascii="Times New Roman" w:cs="Times New Roman" w:eastAsia="Times New Roman" w:hAnsi="Times New Roman"/>
          <w:sz w:val="18"/>
          <w:szCs w:val="18"/>
          <w:color w:val="465361"/>
        </w:rPr>
      </w:pPr>
    </w:p>
    <w:p>
      <w:pPr>
        <w:ind w:left="120" w:right="40" w:hanging="4"/>
        <w:spacing w:after="0" w:line="266" w:lineRule="auto"/>
        <w:tabs>
          <w:tab w:leader="none" w:pos="375"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a relevant person (as defined in Section 275(2) of the SFA)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w:t>
      </w:r>
    </w:p>
    <w:p>
      <w:pPr>
        <w:spacing w:after="0" w:line="175" w:lineRule="exact"/>
        <w:rPr>
          <w:rFonts w:ascii="Times New Roman" w:cs="Times New Roman" w:eastAsia="Times New Roman" w:hAnsi="Times New Roman"/>
          <w:sz w:val="18"/>
          <w:szCs w:val="18"/>
          <w:color w:val="465361"/>
        </w:rPr>
      </w:pPr>
    </w:p>
    <w:p>
      <w:pPr>
        <w:ind w:left="360" w:hanging="244"/>
        <w:spacing w:after="0"/>
        <w:tabs>
          <w:tab w:leader="none" w:pos="360"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otherwise pursuant to, and in accordance with the conditions of, any other applicable provision of the SFA.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65361"/>
        </w:rPr>
        <w:t>Here the shares are subscribed for or acquired under Section 275 of the SFA by a relevant person which is:</w:t>
      </w:r>
    </w:p>
    <w:p>
      <w:pPr>
        <w:spacing w:after="0" w:line="117" w:lineRule="exact"/>
        <w:rPr>
          <w:sz w:val="20"/>
          <w:szCs w:val="20"/>
          <w:color w:val="auto"/>
        </w:rPr>
      </w:pPr>
    </w:p>
    <w:p>
      <w:pPr>
        <w:ind w:left="120" w:right="260" w:hanging="4"/>
        <w:spacing w:after="0" w:line="282" w:lineRule="auto"/>
        <w:tabs>
          <w:tab w:leader="none" w:pos="365" w:val="left"/>
        </w:tabs>
        <w:numPr>
          <w:ilvl w:val="0"/>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1" w:lineRule="exact"/>
        <w:rPr>
          <w:rFonts w:ascii="Times New Roman" w:cs="Times New Roman" w:eastAsia="Times New Roman" w:hAnsi="Times New Roman"/>
          <w:sz w:val="18"/>
          <w:szCs w:val="18"/>
          <w:color w:val="465361"/>
        </w:rPr>
      </w:pPr>
    </w:p>
    <w:p>
      <w:pPr>
        <w:ind w:left="120" w:right="260" w:hanging="4"/>
        <w:spacing w:after="0" w:line="282" w:lineRule="auto"/>
        <w:tabs>
          <w:tab w:leader="none" w:pos="375" w:val="left"/>
        </w:tabs>
        <w:numPr>
          <w:ilvl w:val="0"/>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465361"/>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subscribed for or acquired the shares pursuant to an offer made under Section 275 of the SFA except:</w:t>
      </w:r>
    </w:p>
    <w:p>
      <w:pPr>
        <w:spacing w:after="0" w:line="68" w:lineRule="exact"/>
        <w:rPr>
          <w:sz w:val="20"/>
          <w:szCs w:val="20"/>
          <w:color w:val="auto"/>
        </w:rPr>
      </w:pPr>
    </w:p>
    <w:p>
      <w:pPr>
        <w:ind w:left="560" w:right="120" w:hanging="4"/>
        <w:spacing w:after="0" w:line="282" w:lineRule="auto"/>
        <w:tabs>
          <w:tab w:leader="none" w:pos="775" w:val="left"/>
        </w:tabs>
        <w:numPr>
          <w:ilvl w:val="0"/>
          <w:numId w:val="1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an institutional investor or to a relevant person, or to any person arising from an offer referred to in Section 275(1A) of the SFA (in the case of that corporation) or Section 276(4)(i)(B) of the SFA (in the case of that trust);</w:t>
      </w:r>
    </w:p>
    <w:p>
      <w:pPr>
        <w:spacing w:after="0" w:line="53" w:lineRule="exact"/>
        <w:rPr>
          <w:rFonts w:ascii="Times New Roman" w:cs="Times New Roman" w:eastAsia="Times New Roman" w:hAnsi="Times New Roman"/>
          <w:sz w:val="18"/>
          <w:szCs w:val="18"/>
          <w:color w:val="465361"/>
        </w:rPr>
      </w:pPr>
    </w:p>
    <w:p>
      <w:pPr>
        <w:ind w:left="820" w:hanging="264"/>
        <w:spacing w:after="0"/>
        <w:tabs>
          <w:tab w:leader="none" w:pos="820" w:val="left"/>
        </w:tabs>
        <w:numPr>
          <w:ilvl w:val="0"/>
          <w:numId w:val="1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where no consideration is or will be given for the transfer;</w:t>
      </w:r>
    </w:p>
    <w:p>
      <w:pPr>
        <w:spacing w:after="0" w:line="117" w:lineRule="exact"/>
        <w:rPr>
          <w:rFonts w:ascii="Times New Roman" w:cs="Times New Roman" w:eastAsia="Times New Roman" w:hAnsi="Times New Roman"/>
          <w:sz w:val="18"/>
          <w:szCs w:val="18"/>
          <w:color w:val="465361"/>
        </w:rPr>
      </w:pPr>
    </w:p>
    <w:p>
      <w:pPr>
        <w:ind w:left="880" w:hanging="324"/>
        <w:spacing w:after="0"/>
        <w:tabs>
          <w:tab w:leader="none" w:pos="880" w:val="left"/>
        </w:tabs>
        <w:numPr>
          <w:ilvl w:val="0"/>
          <w:numId w:val="1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where the transfer is by operation of law;</w:t>
      </w:r>
    </w:p>
    <w:p>
      <w:pPr>
        <w:spacing w:after="0" w:line="117" w:lineRule="exact"/>
        <w:rPr>
          <w:rFonts w:ascii="Times New Roman" w:cs="Times New Roman" w:eastAsia="Times New Roman" w:hAnsi="Times New Roman"/>
          <w:sz w:val="18"/>
          <w:szCs w:val="18"/>
          <w:color w:val="465361"/>
        </w:rPr>
      </w:pPr>
    </w:p>
    <w:p>
      <w:pPr>
        <w:ind w:left="860" w:hanging="304"/>
        <w:spacing w:after="0"/>
        <w:tabs>
          <w:tab w:leader="none" w:pos="860" w:val="left"/>
        </w:tabs>
        <w:numPr>
          <w:ilvl w:val="0"/>
          <w:numId w:val="1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as specified in Section 276(7) of the SFA; or</w:t>
      </w:r>
    </w:p>
    <w:p>
      <w:pPr>
        <w:spacing w:after="0" w:line="117" w:lineRule="exact"/>
        <w:rPr>
          <w:rFonts w:ascii="Times New Roman" w:cs="Times New Roman" w:eastAsia="Times New Roman" w:hAnsi="Times New Roman"/>
          <w:sz w:val="18"/>
          <w:szCs w:val="18"/>
          <w:color w:val="465361"/>
        </w:rPr>
      </w:pPr>
    </w:p>
    <w:p>
      <w:pPr>
        <w:ind w:left="560" w:right="240" w:hanging="4"/>
        <w:spacing w:after="0" w:line="282" w:lineRule="auto"/>
        <w:tabs>
          <w:tab w:leader="none" w:pos="815" w:val="left"/>
        </w:tabs>
        <w:numPr>
          <w:ilvl w:val="0"/>
          <w:numId w:val="1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465361"/>
        </w:rPr>
        <w:t>Singapore SFA Product Classification—In connection with Section 309B of the SFA and the Securities and Futures (Capital Markets Products) Regulations 2018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Switzerland</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465361"/>
        </w:rPr>
        <w:t>The shares of common stock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465361"/>
        </w:rPr>
        <w:t>Neither this document nor any other offering or marketing material relating to the offering, or the shares of common stock have been or will be filed with or approved by any Swiss regulatory authority. In particular, this document will not be filed with, and the offer of the shares of common stock and not be supervised by, the Swiss Financial Market Supervisory Authority FINMA, and the offer of the shares of common stock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the shares of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United Arab Emirates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465361"/>
        </w:rPr>
        <w:t>This offering has not been approved or licensed by the Central Bank of the United Arab Emirates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of common stock may not be offered to the public in the UAE and/or any of the free zones.</w:t>
      </w:r>
    </w:p>
    <w:p>
      <w:pPr>
        <w:spacing w:after="0" w:line="18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465361"/>
        </w:rPr>
        <w:t>The shares of common stock may be offered and issued only to a limited number of investors in the UAE or any of its free zones who qualify as sophisticated investors under the relevant laws and regulations of the UAE or the free zone concerned.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465361"/>
        </w:rPr>
        <w:t>France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465361"/>
        </w:rPr>
        <w:t>This prospectus supplement (including any amendment, supplement or replacement thereto) is not being distributed in the context of a public offering in France within the meaning of Article L. 411-1 of the French Monetary and Financial Code (Code monétaire et financier).</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465361"/>
        </w:rPr>
        <w:t>This prospectus supplement has not been and will not be submitted to the French Autorité des marchés financiers (the “AMF”) for approval in France and accordingly may not and will not be distributed to the public in France.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65361"/>
        </w:rPr>
        <w:t>Pursuant to Article 211-3 of the AMF General Regulation, French residents are hereby informed that:</w:t>
      </w:r>
    </w:p>
    <w:p>
      <w:pPr>
        <w:spacing w:after="0" w:line="117" w:lineRule="exact"/>
        <w:rPr>
          <w:sz w:val="20"/>
          <w:szCs w:val="20"/>
          <w:color w:val="auto"/>
        </w:rPr>
      </w:pPr>
    </w:p>
    <w:p>
      <w:pPr>
        <w:ind w:left="300" w:hanging="184"/>
        <w:spacing w:after="0"/>
        <w:tabs>
          <w:tab w:leader="none" w:pos="30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transaction does not require a prospectus to be submitted for approval to the AMF;</w:t>
      </w:r>
    </w:p>
    <w:p>
      <w:pPr>
        <w:spacing w:after="0" w:line="225" w:lineRule="exact"/>
        <w:rPr>
          <w:rFonts w:ascii="Times New Roman" w:cs="Times New Roman" w:eastAsia="Times New Roman" w:hAnsi="Times New Roman"/>
          <w:sz w:val="18"/>
          <w:szCs w:val="18"/>
          <w:color w:val="465361"/>
        </w:rPr>
      </w:pPr>
    </w:p>
    <w:p>
      <w:pPr>
        <w:ind w:left="120" w:right="60" w:hanging="4"/>
        <w:spacing w:after="0" w:line="282" w:lineRule="auto"/>
        <w:tabs>
          <w:tab w:leader="none" w:pos="30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161" w:lineRule="exact"/>
        <w:rPr>
          <w:rFonts w:ascii="Times New Roman" w:cs="Times New Roman" w:eastAsia="Times New Roman" w:hAnsi="Times New Roman"/>
          <w:sz w:val="18"/>
          <w:szCs w:val="18"/>
          <w:color w:val="465361"/>
        </w:rPr>
      </w:pPr>
    </w:p>
    <w:p>
      <w:pPr>
        <w:ind w:left="120" w:hanging="4"/>
        <w:spacing w:after="0" w:line="282" w:lineRule="auto"/>
        <w:tabs>
          <w:tab w:leader="none" w:pos="30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financial instruments thus acquired cannot be distributed directly or indirectly to the public otherwise than in accordance with Articles L. 411-1, L. 411-2, L. 412-1 and L. 621-8 to L. 621-8-3 of the Monetary and Financial Code.</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465361"/>
        </w:rPr>
        <w:t>This prospectus supplement is not to be further distributed or reproduced (in whole or in part) in France by the recipients of this prospectus supplement. This prospectus supplement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465361"/>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LEGAL MATTERS</w:t>
      </w:r>
    </w:p>
    <w:p>
      <w:pPr>
        <w:spacing w:after="0" w:line="22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465361"/>
        </w:rPr>
        <w:t>The validity of the issuance of the shares of common stock offered hereby will be passed upon for us by Wilson Sonsini Goodrich &amp; Rosati, P.C., Palo Alto, California. Certain legal matters in connection with this offering will be passed upon for the underwriters by Mintz, Levin, Cohn, Ferris, Glovsky and Popeo, P.C., Boston, Massachusetts.</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EXPERTS</w:t>
      </w:r>
    </w:p>
    <w:p>
      <w:pPr>
        <w:spacing w:after="0" w:line="22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465361"/>
        </w:rPr>
        <w:t>Marcum LLP, an independently registered public accounting firm, has audited our financial statements as of and for each of the years in the two-year period ended December 31, 2023. Such financial statements are incorporated in this prospectus supplement and elsewhere in the registration statement in reliance on the report of Marcum LLP, given their authority as experts in accounting and auditing.</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WHERE YOU CAN FIND MORE INFORMATION</w:t>
      </w:r>
    </w:p>
    <w:p>
      <w:pPr>
        <w:spacing w:after="0" w:line="22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465361"/>
        </w:rPr>
        <w:t>We file annual, quarterly and other reports, proxy statements and other information with the SEC. The SEC maintains a web site that contains periodic and current reports, proxy and information statements and other information about issuers, such as us, that file electronically with the SEC. The address of that website is www.sec.gov.</w:t>
      </w:r>
    </w:p>
    <w:p>
      <w:pPr>
        <w:spacing w:after="0" w:line="176"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465361"/>
        </w:rPr>
        <w:t>Our web site address is www.soleno.life. The information on our web site, or that can be accessed through our web site, however, is not, and should not be deemed to be, a part of this prospectus supplement.</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465361"/>
        </w:rPr>
        <w:t>This prospectus supplement is part of a registration statement we filed with the SEC. This prospectus supplement and the accompanying prospectus omit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S-32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INCORPORATION OF CERTAIN INFORMATION BY REFERENCE</w:t>
      </w:r>
    </w:p>
    <w:p>
      <w:pPr>
        <w:spacing w:after="0" w:line="2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465361"/>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94" w:lineRule="exact"/>
        <w:rPr>
          <w:sz w:val="20"/>
          <w:szCs w:val="20"/>
          <w:color w:val="auto"/>
        </w:rPr>
      </w:pPr>
    </w:p>
    <w:p>
      <w:pPr>
        <w:ind w:left="1420" w:hanging="427"/>
        <w:spacing w:after="0"/>
        <w:tabs>
          <w:tab w:leader="none" w:pos="142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 xml:space="preserve">Our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465361"/>
          </w:rPr>
          <w:t xml:space="preserve"> </w:t>
        </w:r>
      </w:hyperlink>
      <w:r>
        <w:rPr>
          <w:rFonts w:ascii="Times New Roman" w:cs="Times New Roman" w:eastAsia="Times New Roman" w:hAnsi="Times New Roman"/>
          <w:sz w:val="18"/>
          <w:szCs w:val="18"/>
          <w:color w:val="465361"/>
        </w:rPr>
        <w:t>(“2023 Annual Report”), for the fiscal year ended December 31, 2023 filed on March 7, 2024;</w:t>
      </w:r>
    </w:p>
    <w:p>
      <w:pPr>
        <w:spacing w:after="0" w:line="130" w:lineRule="exact"/>
        <w:rPr>
          <w:rFonts w:ascii="Times New Roman" w:cs="Times New Roman" w:eastAsia="Times New Roman" w:hAnsi="Times New Roman"/>
          <w:sz w:val="18"/>
          <w:szCs w:val="18"/>
          <w:color w:val="465361"/>
        </w:rPr>
      </w:pPr>
    </w:p>
    <w:p>
      <w:pPr>
        <w:ind w:left="1420" w:hanging="427"/>
        <w:spacing w:after="0"/>
        <w:tabs>
          <w:tab w:leader="none" w:pos="142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 xml:space="preserve">The description of our common stock incorporated by reference from </w:t>
      </w:r>
      <w:hyperlink r:id="rId58">
        <w:r>
          <w:rPr>
            <w:rFonts w:ascii="Times New Roman" w:cs="Times New Roman" w:eastAsia="Times New Roman" w:hAnsi="Times New Roman"/>
            <w:sz w:val="18"/>
            <w:szCs w:val="18"/>
            <w:u w:val="single" w:color="auto"/>
            <w:color w:val="0000EE"/>
          </w:rPr>
          <w:t>Exhibit 4.29</w:t>
        </w:r>
        <w:r>
          <w:rPr>
            <w:rFonts w:ascii="Times New Roman" w:cs="Times New Roman" w:eastAsia="Times New Roman" w:hAnsi="Times New Roman"/>
            <w:sz w:val="18"/>
            <w:szCs w:val="18"/>
            <w:u w:val="single" w:color="auto"/>
            <w:color w:val="465361"/>
          </w:rPr>
          <w:t xml:space="preserve"> </w:t>
        </w:r>
      </w:hyperlink>
      <w:r>
        <w:rPr>
          <w:rFonts w:ascii="Times New Roman" w:cs="Times New Roman" w:eastAsia="Times New Roman" w:hAnsi="Times New Roman"/>
          <w:sz w:val="18"/>
          <w:szCs w:val="18"/>
          <w:color w:val="465361"/>
        </w:rPr>
        <w:t>to our 2023 Annual Report;</w:t>
      </w:r>
    </w:p>
    <w:p>
      <w:pPr>
        <w:spacing w:after="0" w:line="130" w:lineRule="exact"/>
        <w:rPr>
          <w:rFonts w:ascii="Times New Roman" w:cs="Times New Roman" w:eastAsia="Times New Roman" w:hAnsi="Times New Roman"/>
          <w:sz w:val="18"/>
          <w:szCs w:val="18"/>
          <w:color w:val="465361"/>
        </w:rPr>
      </w:pPr>
    </w:p>
    <w:p>
      <w:pPr>
        <w:ind w:left="1420" w:right="780" w:hanging="427"/>
        <w:spacing w:after="0" w:line="282" w:lineRule="auto"/>
        <w:tabs>
          <w:tab w:leader="none" w:pos="142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 xml:space="preserve">the portions of our Definitive Proxy Statement on </w:t>
      </w:r>
      <w:hyperlink r:id="rId5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465361"/>
          </w:rPr>
          <w:t xml:space="preserve"> </w:t>
        </w:r>
      </w:hyperlink>
      <w:r>
        <w:rPr>
          <w:rFonts w:ascii="Times New Roman" w:cs="Times New Roman" w:eastAsia="Times New Roman" w:hAnsi="Times New Roman"/>
          <w:sz w:val="18"/>
          <w:szCs w:val="18"/>
          <w:color w:val="465361"/>
        </w:rPr>
        <w:t>(other than information furnished rather than filed) that are incorporated by reference into our 2023 Annual Report, filed with the SEC on April 22, 2024;</w:t>
      </w:r>
    </w:p>
    <w:p>
      <w:pPr>
        <w:spacing w:after="0" w:line="67" w:lineRule="exact"/>
        <w:rPr>
          <w:rFonts w:ascii="Times New Roman" w:cs="Times New Roman" w:eastAsia="Times New Roman" w:hAnsi="Times New Roman"/>
          <w:sz w:val="18"/>
          <w:szCs w:val="18"/>
          <w:color w:val="465361"/>
        </w:rPr>
      </w:pPr>
    </w:p>
    <w:p>
      <w:pPr>
        <w:ind w:left="1420" w:hanging="427"/>
        <w:spacing w:after="0"/>
        <w:tabs>
          <w:tab w:leader="none" w:pos="142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 xml:space="preserve">Our Current Reports on Form 8-K filed on </w:t>
      </w:r>
      <w:hyperlink r:id="rId60">
        <w:r>
          <w:rPr>
            <w:rFonts w:ascii="Times New Roman" w:cs="Times New Roman" w:eastAsia="Times New Roman" w:hAnsi="Times New Roman"/>
            <w:sz w:val="18"/>
            <w:szCs w:val="18"/>
            <w:u w:val="single" w:color="auto"/>
            <w:color w:val="0000EE"/>
          </w:rPr>
          <w:t>January 5, 2024</w:t>
        </w:r>
      </w:hyperlink>
      <w:r>
        <w:rPr>
          <w:rFonts w:ascii="Times New Roman" w:cs="Times New Roman" w:eastAsia="Times New Roman" w:hAnsi="Times New Roman"/>
          <w:sz w:val="18"/>
          <w:szCs w:val="18"/>
          <w:color w:val="465361"/>
        </w:rPr>
        <w:t xml:space="preserve">, </w:t>
      </w:r>
      <w:hyperlink r:id="rId61">
        <w:r>
          <w:rPr>
            <w:rFonts w:ascii="Times New Roman" w:cs="Times New Roman" w:eastAsia="Times New Roman" w:hAnsi="Times New Roman"/>
            <w:sz w:val="18"/>
            <w:szCs w:val="18"/>
            <w:u w:val="single" w:color="auto"/>
            <w:color w:val="0000EE"/>
          </w:rPr>
          <w:t>January 30, 2024</w:t>
        </w:r>
      </w:hyperlink>
      <w:r>
        <w:rPr>
          <w:rFonts w:ascii="Times New Roman" w:cs="Times New Roman" w:eastAsia="Times New Roman" w:hAnsi="Times New Roman"/>
          <w:sz w:val="18"/>
          <w:szCs w:val="18"/>
          <w:color w:val="465361"/>
        </w:rPr>
        <w:t xml:space="preserve">, </w:t>
      </w:r>
      <w:hyperlink r:id="rId62">
        <w:r>
          <w:rPr>
            <w:rFonts w:ascii="Times New Roman" w:cs="Times New Roman" w:eastAsia="Times New Roman" w:hAnsi="Times New Roman"/>
            <w:sz w:val="18"/>
            <w:szCs w:val="18"/>
            <w:u w:val="single" w:color="auto"/>
            <w:color w:val="0000EE"/>
          </w:rPr>
          <w:t>April 22, 2024</w:t>
        </w:r>
        <w:r>
          <w:rPr>
            <w:rFonts w:ascii="Times New Roman" w:cs="Times New Roman" w:eastAsia="Times New Roman" w:hAnsi="Times New Roman"/>
            <w:sz w:val="18"/>
            <w:szCs w:val="18"/>
            <w:u w:val="single" w:color="auto"/>
            <w:color w:val="465361"/>
          </w:rPr>
          <w:t xml:space="preserve"> </w:t>
        </w:r>
      </w:hyperlink>
      <w:r>
        <w:rPr>
          <w:rFonts w:ascii="Times New Roman" w:cs="Times New Roman" w:eastAsia="Times New Roman" w:hAnsi="Times New Roman"/>
          <w:sz w:val="18"/>
          <w:szCs w:val="18"/>
          <w:color w:val="465361"/>
        </w:rPr>
        <w:t xml:space="preserve">and </w:t>
      </w:r>
      <w:hyperlink r:id="rId63">
        <w:r>
          <w:rPr>
            <w:rFonts w:ascii="Times New Roman" w:cs="Times New Roman" w:eastAsia="Times New Roman" w:hAnsi="Times New Roman"/>
            <w:sz w:val="18"/>
            <w:szCs w:val="18"/>
            <w:u w:val="single" w:color="auto"/>
            <w:color w:val="0000EE"/>
          </w:rPr>
          <w:t>April 29, 2024</w:t>
        </w:r>
      </w:hyperlink>
      <w:r>
        <w:rPr>
          <w:rFonts w:ascii="Times New Roman" w:cs="Times New Roman" w:eastAsia="Times New Roman" w:hAnsi="Times New Roman"/>
          <w:sz w:val="18"/>
          <w:szCs w:val="18"/>
          <w:color w:val="465361"/>
        </w:rPr>
        <w:t>; and</w:t>
      </w:r>
    </w:p>
    <w:p>
      <w:pPr>
        <w:spacing w:after="0" w:line="130" w:lineRule="exact"/>
        <w:rPr>
          <w:rFonts w:ascii="Times New Roman" w:cs="Times New Roman" w:eastAsia="Times New Roman" w:hAnsi="Times New Roman"/>
          <w:sz w:val="18"/>
          <w:szCs w:val="18"/>
          <w:color w:val="465361"/>
        </w:rPr>
      </w:pPr>
    </w:p>
    <w:p>
      <w:pPr>
        <w:ind w:left="1420" w:hanging="427"/>
        <w:spacing w:after="0" w:line="282" w:lineRule="auto"/>
        <w:tabs>
          <w:tab w:leader="none" w:pos="142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 xml:space="preserve">our description of our Common Stock contained in the Registration Statement on </w:t>
      </w:r>
      <w:hyperlink r:id="rId64">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465361"/>
          </w:rPr>
          <w:t xml:space="preserve"> </w:t>
        </w:r>
      </w:hyperlink>
      <w:r>
        <w:rPr>
          <w:rFonts w:ascii="Times New Roman" w:cs="Times New Roman" w:eastAsia="Times New Roman" w:hAnsi="Times New Roman"/>
          <w:sz w:val="18"/>
          <w:szCs w:val="18"/>
          <w:color w:val="465361"/>
        </w:rPr>
        <w:t>filed with the SEC on August 8, 2014, including any subsequent amendments or reports filed for the purpose of updating such description.</w:t>
      </w:r>
    </w:p>
    <w:p>
      <w:pPr>
        <w:spacing w:after="0" w:line="162" w:lineRule="exact"/>
        <w:rPr>
          <w:rFonts w:ascii="Times New Roman" w:cs="Times New Roman" w:eastAsia="Times New Roman" w:hAnsi="Times New Roman"/>
          <w:sz w:val="18"/>
          <w:szCs w:val="18"/>
          <w:color w:val="465361"/>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465361"/>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will become a part of this prospectus supplement from the date that such documents are filed with the SEC.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9" w:lineRule="exact"/>
        <w:rPr>
          <w:rFonts w:ascii="Times New Roman" w:cs="Times New Roman" w:eastAsia="Times New Roman" w:hAnsi="Times New Roman"/>
          <w:sz w:val="18"/>
          <w:szCs w:val="18"/>
          <w:color w:val="465361"/>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465361"/>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telephoning us at the following address or phone number:</w:t>
      </w:r>
    </w:p>
    <w:p>
      <w:pPr>
        <w:spacing w:after="0" w:line="176" w:lineRule="exact"/>
        <w:rPr>
          <w:rFonts w:ascii="Times New Roman" w:cs="Times New Roman" w:eastAsia="Times New Roman" w:hAnsi="Times New Roman"/>
          <w:sz w:val="18"/>
          <w:szCs w:val="18"/>
          <w:color w:val="465361"/>
        </w:rPr>
      </w:pPr>
    </w:p>
    <w:p>
      <w:pPr>
        <w:jc w:val="center"/>
        <w:ind w:right="-119"/>
        <w:spacing w:after="0"/>
        <w:rPr>
          <w:sz w:val="20"/>
          <w:szCs w:val="20"/>
          <w:color w:val="auto"/>
        </w:rPr>
      </w:pPr>
      <w:r>
        <w:rPr>
          <w:rFonts w:ascii="Times New Roman" w:cs="Times New Roman" w:eastAsia="Times New Roman" w:hAnsi="Times New Roman"/>
          <w:sz w:val="18"/>
          <w:szCs w:val="18"/>
          <w:color w:val="465361"/>
        </w:rPr>
        <w:t>Soleno Therapeutics, Inc.</w:t>
      </w:r>
    </w:p>
    <w:p>
      <w:pPr>
        <w:spacing w:after="0" w:line="27" w:lineRule="exact"/>
        <w:rPr>
          <w:rFonts w:ascii="Times New Roman" w:cs="Times New Roman" w:eastAsia="Times New Roman" w:hAnsi="Times New Roman"/>
          <w:sz w:val="18"/>
          <w:szCs w:val="18"/>
          <w:color w:val="465361"/>
        </w:rPr>
      </w:pPr>
    </w:p>
    <w:p>
      <w:pPr>
        <w:jc w:val="center"/>
        <w:ind w:right="-119"/>
        <w:spacing w:after="0"/>
        <w:rPr>
          <w:sz w:val="20"/>
          <w:szCs w:val="20"/>
          <w:color w:val="auto"/>
        </w:rPr>
      </w:pPr>
      <w:r>
        <w:rPr>
          <w:rFonts w:ascii="Times New Roman" w:cs="Times New Roman" w:eastAsia="Times New Roman" w:hAnsi="Times New Roman"/>
          <w:sz w:val="18"/>
          <w:szCs w:val="18"/>
          <w:color w:val="465361"/>
        </w:rPr>
        <w:t>203 Redwood Shores Parkway</w:t>
      </w:r>
    </w:p>
    <w:p>
      <w:pPr>
        <w:spacing w:after="0" w:line="9" w:lineRule="exact"/>
        <w:rPr>
          <w:rFonts w:ascii="Times New Roman" w:cs="Times New Roman" w:eastAsia="Times New Roman" w:hAnsi="Times New Roman"/>
          <w:sz w:val="18"/>
          <w:szCs w:val="18"/>
          <w:color w:val="465361"/>
        </w:rPr>
      </w:pPr>
    </w:p>
    <w:p>
      <w:pPr>
        <w:jc w:val="center"/>
        <w:ind w:right="-119"/>
        <w:spacing w:after="0"/>
        <w:rPr>
          <w:sz w:val="20"/>
          <w:szCs w:val="20"/>
          <w:color w:val="auto"/>
        </w:rPr>
      </w:pPr>
      <w:r>
        <w:rPr>
          <w:rFonts w:ascii="Times New Roman" w:cs="Times New Roman" w:eastAsia="Times New Roman" w:hAnsi="Times New Roman"/>
          <w:sz w:val="18"/>
          <w:szCs w:val="18"/>
          <w:color w:val="465361"/>
        </w:rPr>
        <w:t>Suite 500</w:t>
      </w:r>
    </w:p>
    <w:p>
      <w:pPr>
        <w:spacing w:after="0" w:line="9" w:lineRule="exact"/>
        <w:rPr>
          <w:rFonts w:ascii="Times New Roman" w:cs="Times New Roman" w:eastAsia="Times New Roman" w:hAnsi="Times New Roman"/>
          <w:sz w:val="18"/>
          <w:szCs w:val="18"/>
          <w:color w:val="465361"/>
        </w:rPr>
      </w:pPr>
    </w:p>
    <w:p>
      <w:pPr>
        <w:jc w:val="center"/>
        <w:ind w:right="-119"/>
        <w:spacing w:after="0"/>
        <w:rPr>
          <w:sz w:val="20"/>
          <w:szCs w:val="20"/>
          <w:color w:val="auto"/>
        </w:rPr>
      </w:pPr>
      <w:r>
        <w:rPr>
          <w:rFonts w:ascii="Times New Roman" w:cs="Times New Roman" w:eastAsia="Times New Roman" w:hAnsi="Times New Roman"/>
          <w:sz w:val="18"/>
          <w:szCs w:val="18"/>
          <w:color w:val="465361"/>
        </w:rPr>
        <w:t>Redwood City, California 94065</w:t>
      </w:r>
    </w:p>
    <w:p>
      <w:pPr>
        <w:spacing w:after="0" w:line="9" w:lineRule="exact"/>
        <w:rPr>
          <w:rFonts w:ascii="Times New Roman" w:cs="Times New Roman" w:eastAsia="Times New Roman" w:hAnsi="Times New Roman"/>
          <w:sz w:val="18"/>
          <w:szCs w:val="18"/>
          <w:color w:val="465361"/>
        </w:rPr>
      </w:pPr>
    </w:p>
    <w:p>
      <w:pPr>
        <w:jc w:val="center"/>
        <w:ind w:right="-119"/>
        <w:spacing w:after="0"/>
        <w:rPr>
          <w:sz w:val="20"/>
          <w:szCs w:val="20"/>
          <w:color w:val="auto"/>
        </w:rPr>
      </w:pPr>
      <w:r>
        <w:rPr>
          <w:rFonts w:ascii="Times New Roman" w:cs="Times New Roman" w:eastAsia="Times New Roman" w:hAnsi="Times New Roman"/>
          <w:sz w:val="18"/>
          <w:szCs w:val="18"/>
          <w:color w:val="465361"/>
        </w:rPr>
        <w:t>(650) 213-8444</w:t>
      </w:r>
    </w:p>
    <w:p>
      <w:pPr>
        <w:spacing w:after="0" w:line="207" w:lineRule="exact"/>
        <w:rPr>
          <w:rFonts w:ascii="Times New Roman" w:cs="Times New Roman" w:eastAsia="Times New Roman" w:hAnsi="Times New Roman"/>
          <w:sz w:val="18"/>
          <w:szCs w:val="18"/>
          <w:color w:val="465361"/>
        </w:rPr>
      </w:pPr>
    </w:p>
    <w:p>
      <w:pPr>
        <w:ind w:left="120"/>
        <w:spacing w:after="0"/>
        <w:rPr>
          <w:sz w:val="20"/>
          <w:szCs w:val="20"/>
          <w:color w:val="auto"/>
        </w:rPr>
      </w:pPr>
      <w:r>
        <w:rPr>
          <w:rFonts w:ascii="Times New Roman" w:cs="Times New Roman" w:eastAsia="Times New Roman" w:hAnsi="Times New Roman"/>
          <w:sz w:val="18"/>
          <w:szCs w:val="18"/>
          <w:color w:val="465361"/>
        </w:rPr>
        <w:t>We will not, however, send exhibits to those documents, unless the exhibits are specifically incorporated by reference in those documents.</w:t>
      </w:r>
    </w:p>
    <w:p>
      <w:pPr>
        <w:spacing w:after="0" w:line="158" w:lineRule="exact"/>
        <w:rPr>
          <w:rFonts w:ascii="Times New Roman" w:cs="Times New Roman" w:eastAsia="Times New Roman" w:hAnsi="Times New Roman"/>
          <w:sz w:val="18"/>
          <w:szCs w:val="18"/>
          <w:color w:val="465361"/>
        </w:rPr>
      </w:pPr>
    </w:p>
    <w:p>
      <w:pPr>
        <w:ind w:left="5460"/>
        <w:spacing w:after="0"/>
        <w:rPr>
          <w:sz w:val="20"/>
          <w:szCs w:val="20"/>
          <w:color w:val="auto"/>
        </w:rPr>
      </w:pPr>
      <w:r>
        <w:rPr>
          <w:rFonts w:ascii="Times New Roman" w:cs="Times New Roman" w:eastAsia="Times New Roman" w:hAnsi="Times New Roman"/>
          <w:sz w:val="18"/>
          <w:szCs w:val="18"/>
          <w:color w:val="465361"/>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465361"/>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www.soleno.life.</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465361"/>
        </w:rPr>
        <w:t>S-34</w:t>
      </w:r>
    </w:p>
    <w:p>
      <w:pPr>
        <w:sectPr>
          <w:pgSz w:w="11900" w:h="16838" w:orient="portrait"/>
          <w:cols w:equalWidth="0" w:num="1">
            <w:col w:w="10920"/>
          </w:cols>
          <w:pgMar w:left="320" w:top="455" w:right="6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328295</wp:posOffset>
            </wp:positionV>
            <wp:extent cx="1337310" cy="539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33731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may offer and sell the securities identified above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We may also authorize one or more free writing prospectuses to be provided to you in connection with these offerings. The supplement and any related free writing prospectus may also add, update or change information contained in this prospectus with respect to that offering. You should carefully read this prospectus, the applicable prospectus supplement and any related free writing prospectus, together with any documents incorporated by reference, before you invest in any of our securities.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any prospectus supplement and any related free writing prospectus to or through one or more underwriters, dealers and agents, or directly to purchasers, or through a combination of these methods on a continuous or delayed basis.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The price of our public securities and the net proceeds we expect to receive from the sale of such securities will also be set forth in a prospectus supplement. See the sections of this prospectus entitled “About this Prospectus” and “Plan of Distribution” for more information.</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“SLNO.” Each prospectus supplement will indicate whether the securities offered thereby will be listed on any securities exchange.</w:t>
      </w:r>
    </w:p>
    <w:p>
      <w:pPr>
        <w:spacing w:after="0" w:line="148" w:lineRule="exact"/>
        <w:rPr>
          <w:sz w:val="20"/>
          <w:szCs w:val="20"/>
          <w:color w:val="auto"/>
        </w:rPr>
      </w:pPr>
    </w:p>
    <w:p>
      <w:pPr>
        <w:ind w:left="120" w:right="10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Investing in these securities involves risks. Please carefully read the information under the headings </w:t>
      </w:r>
      <w:r>
        <w:rPr>
          <w:rFonts w:ascii="Times New Roman" w:cs="Times New Roman" w:eastAsia="Times New Roman" w:hAnsi="Times New Roman"/>
          <w:sz w:val="22"/>
          <w:szCs w:val="22"/>
          <w:b w:val="1"/>
          <w:bCs w:val="1"/>
          <w:u w:val="single" w:color="auto"/>
          <w:color w:val="0000EE"/>
        </w:rPr>
        <w:t>“Risk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0000EE"/>
        </w:rPr>
        <w:t>Factors”</w:t>
      </w:r>
      <w:r>
        <w:rPr>
          <w:rFonts w:ascii="Times New Roman" w:cs="Times New Roman" w:eastAsia="Times New Roman" w:hAnsi="Times New Roman"/>
          <w:sz w:val="22"/>
          <w:szCs w:val="22"/>
          <w:b w:val="1"/>
          <w:bCs w:val="1"/>
          <w:color w:val="0000EE"/>
        </w:rPr>
        <w:t xml:space="preserve"> </w:t>
      </w:r>
      <w:r>
        <w:rPr>
          <w:rFonts w:ascii="Times New Roman" w:cs="Times New Roman" w:eastAsia="Times New Roman" w:hAnsi="Times New Roman"/>
          <w:sz w:val="22"/>
          <w:szCs w:val="22"/>
          <w:b w:val="1"/>
          <w:bCs w:val="1"/>
          <w:color w:val="000000"/>
        </w:rPr>
        <w:t>beginning on page 6 of this prospectus and “Item 1A—Risk Factors” of our most recent report on Form 10-K</w:t>
      </w:r>
      <w:r>
        <w:rPr>
          <w:rFonts w:ascii="Times New Roman" w:cs="Times New Roman" w:eastAsia="Times New Roman" w:hAnsi="Times New Roman"/>
          <w:sz w:val="22"/>
          <w:szCs w:val="22"/>
          <w:b w:val="1"/>
          <w:bCs w:val="1"/>
          <w:color w:val="0000EE"/>
        </w:rPr>
        <w:t xml:space="preserve"> </w:t>
      </w:r>
      <w:r>
        <w:rPr>
          <w:rFonts w:ascii="Times New Roman" w:cs="Times New Roman" w:eastAsia="Times New Roman" w:hAnsi="Times New Roman"/>
          <w:sz w:val="22"/>
          <w:szCs w:val="22"/>
          <w:b w:val="1"/>
          <w:bCs w:val="1"/>
          <w:color w:val="000000"/>
        </w:rPr>
        <w:t>or 10-Q that is incorporated by reference in this prospectus before you invest in our securities.</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No securities may be sold without delivery of this prospectus and the applicable prospectus supplement describing the method and terms of the offering of such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 2024.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6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060" w:type="dxa"/>
            <w:vAlign w:val="bottom"/>
            <w:gridSpan w:val="9"/>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640" w:type="dxa"/>
            <w:vAlign w:val="bottom"/>
            <w:tcBorders>
              <w:bottom w:val="single" w:sz="8" w:color="0000EE"/>
            </w:tcBorders>
            <w:gridSpan w:val="8"/>
            <w:vMerge w:val="continue"/>
          </w:tcPr>
          <w:p>
            <w:pPr>
              <w:spacing w:after="0"/>
              <w:rPr>
                <w:sz w:val="14"/>
                <w:szCs w:val="14"/>
                <w:color w:val="auto"/>
              </w:rPr>
            </w:pPr>
          </w:p>
        </w:tc>
        <w:tc>
          <w:tcPr>
            <w:tcW w:w="2060" w:type="dxa"/>
            <w:vAlign w:val="bottom"/>
            <w:gridSpan w:val="9"/>
            <w:vMerge w:val="continue"/>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5"/>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132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120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124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40" w:type="dxa"/>
            <w:vAlign w:val="bottom"/>
            <w:gridSpan w:val="11"/>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1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1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6"/>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U.S. Securities and Exchange Commission, or the SEC, as a “well-known seasoned issuer” as defined in Rule 405 under the Securities Act of 1933, as amended, or the Securities Act, using a “shelf” registration process. By using a shelf registration process, we may sell any combination of the securities described in this prospectus, from time to time, in one or more offerings.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pursuant to this prospectus, we will provide one or more prospectus supplements that will contain specific information about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read both this prospectus and any applicable prospectus supplement together with the additional information described under the heading “Where You Can Find More Information.”</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or incorporated by reference, in this prospectus, any applicable prospectus supplement or in any related free writing prospectus prepared by or on behalf of us or to which we have referred you.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since those dates.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by reference in this prospectus,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or the applicable prospectus supplement. Accordingly, investors should not place undue reliance on this information.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“Soleno Therapeutics, Inc.,” “we,” “our” and “us” refer, collectively, to Soleno Therapeutics, Inc., a Delaware corporation.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right="100" w:firstLine="440"/>
        <w:spacing w:after="0" w:line="22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novel therapeutics for the treatment of rare diseases. Our lead drug candidate, DCCR (Diazoxide Choline) Extended-Release tablets, is a potent ATP-sensitive potassium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18"/>
          <w:szCs w:val="18"/>
          <w:color w:val="auto"/>
        </w:rPr>
        <w:t>) channel activator.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18"/>
          <w:szCs w:val="18"/>
          <w:color w:val="auto"/>
        </w:rPr>
        <w:t xml:space="preserve"> channel plays a central role in the regulation of a number of physiological processes which may otherwise be dysregulated, contributing to the pathophysiology of several diseases. In the context of the underlying genetic or structural defects in many forms of hyperphagic obesity, including Prader-Willi syndrome (PWS), these pathophysiological processes may cumulatively contribute to increases in appetite and aggressive food seeking, lack of satiety, accumulation of excess body fat and the establishment and perpetuation of the obese state.</w:t>
      </w:r>
    </w:p>
    <w:p>
      <w:pPr>
        <w:spacing w:after="0" w:line="19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DCCR’s unique mode of action with targets in the brain, pancreas and fat tissue has the potential to broadly impact complex diseases like PWS to reduce appetite, reduce food seeking, improve satiety, improve insulin and leptin resistance and reduce body fat. It appears that many of the problematic behaviors in conditions like PWS may have hyperphagic drive as a root cause and may therefore be improved by addressing hyperphagia. We have a Fast-Track designation for DCCR in PWS and orphan designation for the drug in the United States (U.S.) and European Union (E.U.).</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DCCR has been evaluated in a Phase 3 study (C601 or DESTINY PWS), a 13-week randomized, double-blind placebo-controlled study, which completed enrollment in January 2020, with 127 randomized participants at 29 sites in the U.S. and United Kingdom (U.K.). Participants who completed treatment in DESTINY PWS and sought continued treatment with DCCR were eligible to receive DCCR in a long-term open-label safety extension study (C602). Top line results from DESTINY PWS were announced in June 2020.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top line results from the interim one year data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w:t>
      </w:r>
    </w:p>
    <w:p>
      <w:pPr>
        <w:spacing w:after="0" w:line="19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FDA provided official meeting minutes from a Type C meeting in January 2022 that recommended additional controlled data be included in a New Drug Application (NDA), and indicated they were receptive to a study design involving participants currently enrolled in Study C602, our ongoing open-label extension study to generate the data necessary to support an NDA.</w:t>
      </w:r>
    </w:p>
    <w:p>
      <w:pPr>
        <w:spacing w:after="0" w:line="176"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March 2022, we submitted a proposal to add a randomized withdrawal period to Study C602 to obtain additional controlled data requested by the FDA to support approval of an NDA for DCCR. The randomized withdrawal (RW) period of Study C602 was a multi-center, randomized, double-blind, placebo-controlled study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of DCCR in approximately 80 patients with PWS at 17 sites in the U.S. and 5 sites in the U.K. This RW period consisted only of patients currently enrolled in Study C602 and did not enroll any new patients. We announced the initiation of the RW period for Study C602 in October 2022. On September 26, 2023, we issued a press release announcing positive topline results from the RW period to Study C602. We announced that the study had met the primary endpoint and that there was a highly statistically significant difference in the change from baseline in HQ-CT Total Score for DCCR Compared to placebo (p=0.0022). Further we announced that we intend to submit an NDA for DCCR for treatment of PWS mid-year 2024. The FDA has acknowledged that data from the study has the potential to support an NDA approval for DCCR.</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current focus is the development of DCCR for PWS. However, other syndromes that may be similarly addressed include SH2B1 deficient obesity, more severely impacted forms of MC4R deficiency, Alström syndrome, and KSR2 deficient obesity. Another type of disease where DCCR may be efficacious is where hypoglycemia is a significant problem. Examples include hyperinsulinemic hypoglycemia and certain Glycogen Storage Diseases. We have orphan drug designation for the treatment of Glycogen Storage Disease Type 1a in the U.S.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the Company, we refer you to our filings with the SEC incorporated by reference in this prospectus. For instructions on how to find copies of these documents, see “Where You Can Find More Information” and “Incorporation By Reference.”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offer or sell common stock, preferred stock, depositary shares, debt securities, warrants, subscription rights, purchase contracts and units in one or more offerings and in any combination.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76"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fractional shares of preferred stock that will be represented by depositary shares and depositary receipts.</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debt securities or depositary shares. We may offer warrants independently or together with other securities.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principal corporate offices are located at 203 Redwood Shores Parkway, Suite 500, Redwood City, California 94065 and our telephone number is (650) 213-8444. We were incorporated in Delaware on August 25, 1999. Our internet address is www.soleno.life. We make available on our website, free of charge, our Annual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contained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 We may also use a portion of the net proceeds to acquire, license or invest in complementary products, technologies or businesses; however, we currently have no agreements or commitments to complete any such transaction. The expected use of net proceeds of this offering represents our current intentions based on our present plans and business conditions. We cannot specify with certainty all of the particular uses for the net proceeds to be received upon the closing of this offering. Pending these uses, we plan to invest the net proceeds of this offering in short- and intermediate-term, interest-bearing obligations, investment-grade instruments, certificates of deposit or direct or guaranteed obligations of the U.S. government.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is incorporated by reference to </w:t>
      </w:r>
      <w:hyperlink r:id="rId58">
        <w:r>
          <w:rPr>
            <w:rFonts w:ascii="Times New Roman" w:cs="Times New Roman" w:eastAsia="Times New Roman" w:hAnsi="Times New Roman"/>
            <w:sz w:val="18"/>
            <w:szCs w:val="18"/>
            <w:u w:val="single" w:color="auto"/>
            <w:color w:val="0000EE"/>
          </w:rPr>
          <w:t>Exhibit 4.29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2022, filed with the SEC on March 22, 2023.</w:t>
      </w:r>
    </w:p>
    <w:p>
      <w:pPr>
        <w:spacing w:after="0" w:line="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320" w:top="455" w:right="8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5540" w:hanging="4884"/>
        <w:spacing w:after="0" w:line="454" w:lineRule="auto"/>
        <w:tabs>
          <w:tab w:leader="none" w:pos="10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 14</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Legal Defeasance</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Defeasance of Certain Covenants</w:t>
      </w:r>
    </w:p>
    <w:p>
      <w:pPr>
        <w:spacing w:after="0" w:line="11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7" w:lineRule="exact"/>
        <w:rPr>
          <w:sz w:val="20"/>
          <w:szCs w:val="20"/>
          <w:color w:val="auto"/>
        </w:rPr>
      </w:pPr>
    </w:p>
    <w:p>
      <w:pPr>
        <w:ind w:left="1080" w:right="1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5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jc w:val="both"/>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the Depositary</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40"/>
          </w:cols>
          <w:pgMar w:left="320" w:top="455"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virtue of the fact that your securities initially are expected to settle in more than three scheduled business days after the trade date for your securities, to make alternative settlement arrangements to prevent a failed settlement.</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320" w:top="455"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Palo Alto, California. Additional legal matters may be passed upon for us, or any underwriters, dealers or agents by counsel we will name in the applicable prospectus supplement.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Marcum LLP, an independent registered public accounting firm has audited our financial statements as of and for each of the years in the two-year period ended December 31, 2022, as set forth in their report which includes an explanatory paragraph as to the Company’s ability to continue as a going concern, dated March 22, 2023. We have incorporated by reference our financial statements in the prospectus and elsewhere in the registration statement in reliance on the report of Marcum LLP, given their authority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www.soleno.life</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review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100"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2022, filed with the SEC on </w:t>
      </w:r>
      <w:hyperlink r:id="rId98">
        <w:r>
          <w:rPr>
            <w:rFonts w:ascii="Times New Roman" w:cs="Times New Roman" w:eastAsia="Times New Roman" w:hAnsi="Times New Roman"/>
            <w:sz w:val="18"/>
            <w:szCs w:val="18"/>
            <w:u w:val="single" w:color="auto"/>
            <w:color w:val="0000EE"/>
          </w:rPr>
          <w:t>March 22, 2023</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2023, filed with the SEC on </w:t>
      </w:r>
      <w:hyperlink r:id="rId99">
        <w:r>
          <w:rPr>
            <w:rFonts w:ascii="Times New Roman" w:cs="Times New Roman" w:eastAsia="Times New Roman" w:hAnsi="Times New Roman"/>
            <w:sz w:val="18"/>
            <w:szCs w:val="18"/>
            <w:u w:val="single" w:color="auto"/>
            <w:color w:val="0000EE"/>
          </w:rPr>
          <w:t>May 9, 2023</w:t>
        </w:r>
      </w:hyperlink>
      <w:r>
        <w:rPr>
          <w:rFonts w:ascii="Times New Roman" w:cs="Times New Roman" w:eastAsia="Times New Roman" w:hAnsi="Times New Roman"/>
          <w:sz w:val="18"/>
          <w:szCs w:val="18"/>
          <w:color w:val="auto"/>
        </w:rPr>
        <w:t xml:space="preserve">, our Quarterly Report on Form 10-Q for the quarter ended June 30, 2023, filed with the SEC on </w:t>
      </w:r>
      <w:hyperlink r:id="rId100">
        <w:r>
          <w:rPr>
            <w:rFonts w:ascii="Times New Roman" w:cs="Times New Roman" w:eastAsia="Times New Roman" w:hAnsi="Times New Roman"/>
            <w:sz w:val="18"/>
            <w:szCs w:val="18"/>
            <w:u w:val="single" w:color="auto"/>
            <w:color w:val="0000EE"/>
          </w:rPr>
          <w:t>August 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Quarterly Report on Form 10-Q for the quarter ended September 30, 2023, filed with the SEC on </w:t>
      </w:r>
      <w:hyperlink r:id="rId101">
        <w:r>
          <w:rPr>
            <w:rFonts w:ascii="Times New Roman" w:cs="Times New Roman" w:eastAsia="Times New Roman" w:hAnsi="Times New Roman"/>
            <w:sz w:val="18"/>
            <w:szCs w:val="18"/>
            <w:u w:val="single" w:color="auto"/>
            <w:color w:val="0000EE"/>
          </w:rPr>
          <w:t>November 8, 2023</w:t>
        </w:r>
      </w:hyperlink>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10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information furnished rather than filed) that are incorporated by reference into our Annual Report on </w:t>
      </w:r>
      <w:hyperlink r:id="rId98">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with the SEC on April 14, 2023;</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auto"/>
          </w:rPr>
          <w:t xml:space="preserve">our Current Reports on Form 8-K filed on </w:t>
        </w:r>
        <w:r>
          <w:rPr>
            <w:rFonts w:ascii="Times New Roman" w:cs="Times New Roman" w:eastAsia="Times New Roman" w:hAnsi="Times New Roman"/>
            <w:sz w:val="18"/>
            <w:szCs w:val="18"/>
            <w:u w:val="single" w:color="auto"/>
            <w:color w:val="0000EE"/>
          </w:rPr>
          <w:t>January 30,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16,</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4">
        <w:r>
          <w:rPr>
            <w:rFonts w:ascii="Times New Roman" w:cs="Times New Roman" w:eastAsia="Times New Roman" w:hAnsi="Times New Roman"/>
            <w:sz w:val="18"/>
            <w:szCs w:val="18"/>
            <w:u w:val="single" w:color="auto"/>
            <w:color w:val="0000EE"/>
          </w:rPr>
          <w:t>September 26, 2023</w:t>
        </w:r>
      </w:hyperlink>
      <w:hyperlink r:id="rId10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5">
        <w:r>
          <w:rPr>
            <w:rFonts w:ascii="Times New Roman" w:cs="Times New Roman" w:eastAsia="Times New Roman" w:hAnsi="Times New Roman"/>
            <w:sz w:val="18"/>
            <w:szCs w:val="18"/>
            <w:u w:val="single" w:color="auto"/>
            <w:color w:val="0000EE"/>
          </w:rPr>
          <w:t xml:space="preserve">September 27, 2023 </w:t>
        </w:r>
      </w:hyperlink>
      <w:hyperlink r:id="rId10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06">
        <w:r>
          <w:rPr>
            <w:rFonts w:ascii="Times New Roman" w:cs="Times New Roman" w:eastAsia="Times New Roman" w:hAnsi="Times New Roman"/>
            <w:sz w:val="18"/>
            <w:szCs w:val="18"/>
            <w:u w:val="single" w:color="auto"/>
            <w:color w:val="0000EE"/>
          </w:rPr>
          <w:t>September 29, 2023</w:t>
        </w:r>
      </w:hyperlink>
      <w:hyperlink r:id="rId103">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Annual Report as </w:t>
      </w:r>
      <w:hyperlink r:id="rId58">
        <w:r>
          <w:rPr>
            <w:rFonts w:ascii="Times New Roman" w:cs="Times New Roman" w:eastAsia="Times New Roman" w:hAnsi="Times New Roman"/>
            <w:sz w:val="18"/>
            <w:szCs w:val="18"/>
            <w:u w:val="single" w:color="auto"/>
            <w:color w:val="0000EE"/>
          </w:rPr>
          <w:t>Exhibit 4.29</w:t>
        </w:r>
      </w:hyperlink>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203 Redwood Shores Pkwy, Suite 500</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Email: info@soleno.life</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(650) 213-8444</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and any accompanying prospectus supplement.</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320" w:top="455" w:right="5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636905</wp:posOffset>
            </wp:positionV>
            <wp:extent cx="1285875" cy="522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465361"/>
        </w:rPr>
        <w:t>3,000,000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1345565</wp:posOffset>
            </wp:positionV>
            <wp:extent cx="21602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465361"/>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92710</wp:posOffset>
            </wp:positionV>
            <wp:extent cx="2160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465361"/>
        </w:rPr>
        <w:t>Joint Book-Running Managers</w:t>
      </w:r>
    </w:p>
    <w:p>
      <w:pPr>
        <w:sectPr>
          <w:pgSz w:w="11900" w:h="16838" w:orient="portrait"/>
          <w:cols w:equalWidth="0" w:num="1">
            <w:col w:w="11140"/>
          </w:cols>
          <w:pgMar w:left="320" w:top="455" w:right="439" w:bottom="1440" w:gutter="0" w:footer="0" w:header="0"/>
        </w:sect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465361"/>
        </w:rPr>
        <w:t>Piper Sandler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465361"/>
        </w:rPr>
        <w:t>Guggenheim Securities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465361"/>
        </w:rPr>
        <w:t>Cantor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465361"/>
        </w:rPr>
        <w:t>Oppenheimer &amp; Co.</w:t>
      </w:r>
    </w:p>
    <w:p>
      <w:pPr>
        <w:spacing w:after="0" w:line="200" w:lineRule="exact"/>
        <w:rPr>
          <w:sz w:val="20"/>
          <w:szCs w:val="20"/>
          <w:color w:val="auto"/>
        </w:rPr>
      </w:pPr>
    </w:p>
    <w:p>
      <w:pPr>
        <w:sectPr>
          <w:pgSz w:w="11900" w:h="16838" w:orient="portrait"/>
          <w:cols w:equalWidth="0" w:num="4">
            <w:col w:w="2020" w:space="640"/>
            <w:col w:w="3200" w:space="660"/>
            <w:col w:w="1080" w:space="720"/>
            <w:col w:w="2820"/>
          </w:cols>
          <w:pgMar w:left="320" w:top="455" w:right="439" w:bottom="1440" w:gutter="0" w:footer="0" w:header="0"/>
          <w:type w:val="continuous"/>
        </w:sectPr>
      </w:pPr>
    </w:p>
    <w:p>
      <w:pPr>
        <w:spacing w:after="0" w:line="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i w:val="1"/>
          <w:iCs w:val="1"/>
          <w:color w:val="465361"/>
        </w:rPr>
        <w:t>Lead Manager</w:t>
      </w:r>
    </w:p>
    <w:p>
      <w:pPr>
        <w:sectPr>
          <w:pgSz w:w="11900" w:h="16838" w:orient="portrait"/>
          <w:cols w:equalWidth="0" w:num="1">
            <w:col w:w="11140"/>
          </w:cols>
          <w:pgMar w:left="320" w:top="455" w:right="439" w:bottom="1440" w:gutter="0" w:footer="0" w:header="0"/>
          <w:type w:val="continuous"/>
        </w:sect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465361"/>
        </w:rPr>
        <w:t>Laidlaw &amp; Company (UK)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412750</wp:posOffset>
            </wp:positionV>
            <wp:extent cx="25203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May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Roman"/>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jpe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jpe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57" Type="http://schemas.openxmlformats.org/officeDocument/2006/relationships/hyperlink" Target="http://www.sec.gov/ix?doc=/Archives/edgar/data/1484565/000095017024027500/slno-20231231.htm" TargetMode="External"/><Relationship Id="rId58" Type="http://schemas.openxmlformats.org/officeDocument/2006/relationships/hyperlink" Target="http://www.sec.gov/Archives/edgar/data/1484565/000156459020008705/slno-ex429_382.htm" TargetMode="External"/><Relationship Id="rId59" Type="http://schemas.openxmlformats.org/officeDocument/2006/relationships/hyperlink" Target="http://www.sec.gov/ix?doc=/Archives/edgar/data/1484565/000119312524104924/d816410ddef14a.htm" TargetMode="External"/><Relationship Id="rId60" Type="http://schemas.openxmlformats.org/officeDocument/2006/relationships/hyperlink" Target="http://www.sec.gov/ix?doc=/Archives/edgar/data/1484565/000119312524003380/d111987d8k.htm" TargetMode="External"/><Relationship Id="rId61" Type="http://schemas.openxmlformats.org/officeDocument/2006/relationships/hyperlink" Target="http://www.sec.gov/ix?doc=/Archives/edgar/data/1484565/000119312524019500/d721921d8k.htm" TargetMode="External"/><Relationship Id="rId62" Type="http://schemas.openxmlformats.org/officeDocument/2006/relationships/hyperlink" Target="http://www.sec.gov/ix?doc=/Archives/edgar/data/1484565/000119312524104871/d818557d8k.htm" TargetMode="External"/><Relationship Id="rId63" Type="http://schemas.openxmlformats.org/officeDocument/2006/relationships/hyperlink" Target="http://www.sec.gov/ix?doc=/Archives/edgar/data/1484565/000119312524122237/d827294d8k.htm" TargetMode="External"/><Relationship Id="rId64" Type="http://schemas.openxmlformats.org/officeDocument/2006/relationships/hyperlink" Target="http://www.sec.gov/Archives/edgar/data/1484565/000119312514302916/d769843d8a12b.htm" TargetMode="External"/><Relationship Id="rId98" Type="http://schemas.openxmlformats.org/officeDocument/2006/relationships/hyperlink" Target="http://www.sec.gov/ix?doc=/Archives/edgar/data/1484565/000095017023009211/slno-20221231.htm" TargetMode="External"/><Relationship Id="rId99" Type="http://schemas.openxmlformats.org/officeDocument/2006/relationships/hyperlink" Target="http://www.sec.gov/ix?doc=/Archives/edgar/data/1484565/000095017023019752/slno-20230331.htm" TargetMode="External"/><Relationship Id="rId100" Type="http://schemas.openxmlformats.org/officeDocument/2006/relationships/hyperlink" Target="http://www.sec.gov/ix?doc=/Archives/edgar/data/1484565/000095017023039934/slno-20230630.htm" TargetMode="External"/><Relationship Id="rId101" Type="http://schemas.openxmlformats.org/officeDocument/2006/relationships/hyperlink" Target="http://www.sec.gov/ix?doc=/Archives/edgar/data/1484565/000095017023060438/slno-20230930.htm" TargetMode="External"/><Relationship Id="rId102" Type="http://schemas.openxmlformats.org/officeDocument/2006/relationships/hyperlink" Target="http://www.sec.gov/Archives/edgar/data/1484565/000119312523101135/d462423ddef14a.htm" TargetMode="External"/><Relationship Id="rId103" Type="http://schemas.openxmlformats.org/officeDocument/2006/relationships/hyperlink" Target="http://www.sec.gov/ix?doc=/Archives/edgar/data/1484565/000119312523213940/d523594d8k.htm" TargetMode="External"/><Relationship Id="rId104" Type="http://schemas.openxmlformats.org/officeDocument/2006/relationships/hyperlink" Target="http://www.sec.gov/ix?doc=/Archives/edgar/data/1484565/000119312523241845/d486361d8k.htm" TargetMode="External"/><Relationship Id="rId105" Type="http://schemas.openxmlformats.org/officeDocument/2006/relationships/hyperlink" Target="http://www.sec.gov/ix?doc=/Archives/edgar/data/1484565/000119312523243881/d555949d8k.htm" TargetMode="External"/><Relationship Id="rId106" Type="http://schemas.openxmlformats.org/officeDocument/2006/relationships/hyperlink" Target="http://www.sec.gov/ix?doc=/Archives/edgar/data/1484565/000119312523247533/d33181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2024-05-06T16:04:48Z</dcterms:created>
  <dcterms:modified xsi:type="dcterms:W3CDTF">2024-05-06T16:04:48Z</dcterms:modified>
</cp:coreProperties>
</file>