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151765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41910</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82"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50800</wp:posOffset>
            </wp:positionV>
            <wp:extent cx="1440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111"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spacing w:after="0" w:line="17"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4"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quarterly period ended June 30, 2020</w:t>
      </w:r>
    </w:p>
    <w:p>
      <w:pPr>
        <w:spacing w:after="0" w:line="5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55"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4308" w:type="dxa"/>
        <w:tblCellMar>
          <w:top w:w="0" w:type="dxa"/>
          <w:left w:w="0" w:type="dxa"/>
          <w:bottom w:w="0" w:type="dxa"/>
          <w:right w:w="0" w:type="dxa"/>
        </w:tblCellMar>
      </w:tblPr>
      <w:tr>
        <w:trPr>
          <w:trHeight w:val="138"/>
        </w:trPr>
        <w:tc>
          <w:tcPr>
            <w:tcW w:w="1580" w:type="dxa"/>
            <w:vAlign w:val="bottom"/>
          </w:tcPr>
          <w:p>
            <w:pPr>
              <w:spacing w:after="0"/>
              <w:rPr>
                <w:sz w:val="20"/>
                <w:szCs w:val="20"/>
                <w:color w:val="auto"/>
              </w:rPr>
            </w:pPr>
            <w:r>
              <w:rPr>
                <w:rFonts w:ascii="Arial" w:cs="Arial" w:eastAsia="Arial" w:hAnsi="Arial"/>
                <w:sz w:val="12"/>
                <w:szCs w:val="12"/>
                <w:b w:val="1"/>
                <w:bCs w:val="1"/>
                <w:color w:val="auto"/>
                <w:w w:val="92"/>
              </w:rPr>
              <w:t>For the transition period from</w:t>
            </w:r>
          </w:p>
        </w:tc>
        <w:tc>
          <w:tcPr>
            <w:tcW w:w="480" w:type="dxa"/>
            <w:vAlign w:val="bottom"/>
            <w:tcBorders>
              <w:bottom w:val="single" w:sz="8" w:color="auto"/>
            </w:tcBorders>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to</w:t>
            </w:r>
          </w:p>
        </w:tc>
        <w:tc>
          <w:tcPr>
            <w:tcW w:w="480" w:type="dxa"/>
            <w:vAlign w:val="bottom"/>
            <w:tcBorders>
              <w:bottom w:val="single" w:sz="8" w:color="auto"/>
            </w:tcBorders>
          </w:tcPr>
          <w:p>
            <w:pPr>
              <w:spacing w:after="0"/>
              <w:rPr>
                <w:sz w:val="12"/>
                <w:szCs w:val="12"/>
                <w:color w:val="auto"/>
              </w:rPr>
            </w:pPr>
          </w:p>
        </w:tc>
      </w:tr>
      <w:tr>
        <w:trPr>
          <w:trHeight w:val="196"/>
        </w:trPr>
        <w:tc>
          <w:tcPr>
            <w:tcW w:w="2700" w:type="dxa"/>
            <w:vAlign w:val="bottom"/>
            <w:gridSpan w:val="4"/>
          </w:tcPr>
          <w:p>
            <w:pPr>
              <w:ind w:left="400"/>
              <w:spacing w:after="0"/>
              <w:rPr>
                <w:sz w:val="20"/>
                <w:szCs w:val="20"/>
                <w:color w:val="auto"/>
              </w:rPr>
            </w:pPr>
            <w:r>
              <w:rPr>
                <w:rFonts w:ascii="Arial" w:cs="Arial" w:eastAsia="Arial" w:hAnsi="Arial"/>
                <w:sz w:val="12"/>
                <w:szCs w:val="12"/>
                <w:b w:val="1"/>
                <w:bCs w:val="1"/>
                <w:color w:val="auto"/>
              </w:rPr>
              <w:t>Commission File Number: 001-36593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45720</wp:posOffset>
            </wp:positionV>
            <wp:extent cx="14401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78" w:lineRule="exact"/>
        <w:rPr>
          <w:sz w:val="24"/>
          <w:szCs w:val="24"/>
          <w:color w:val="auto"/>
        </w:rPr>
      </w:pPr>
    </w:p>
    <w:tbl>
      <w:tblPr>
        <w:tblLayout w:type="fixed"/>
        <w:tblInd w:w="18" w:type="dxa"/>
        <w:tblCellMar>
          <w:top w:w="0" w:type="dxa"/>
          <w:left w:w="0" w:type="dxa"/>
          <w:bottom w:w="0" w:type="dxa"/>
          <w:right w:w="0" w:type="dxa"/>
        </w:tblCellMar>
      </w:tblPr>
      <w:tr>
        <w:trPr>
          <w:trHeight w:val="348"/>
        </w:trPr>
        <w:tc>
          <w:tcPr>
            <w:tcW w:w="3480" w:type="dxa"/>
            <w:vAlign w:val="bottom"/>
          </w:tcPr>
          <w:p>
            <w:pPr>
              <w:spacing w:after="0"/>
              <w:rPr>
                <w:sz w:val="24"/>
                <w:szCs w:val="24"/>
                <w:color w:val="auto"/>
              </w:rPr>
            </w:pPr>
          </w:p>
        </w:tc>
        <w:tc>
          <w:tcPr>
            <w:tcW w:w="4400" w:type="dxa"/>
            <w:vAlign w:val="bottom"/>
            <w:gridSpan w:val="5"/>
          </w:tcPr>
          <w:p>
            <w:pPr>
              <w:jc w:val="center"/>
              <w:ind w:right="80"/>
              <w:spacing w:after="0"/>
              <w:rPr>
                <w:sz w:val="20"/>
                <w:szCs w:val="20"/>
                <w:color w:val="auto"/>
              </w:rPr>
            </w:pPr>
            <w:r>
              <w:rPr>
                <w:rFonts w:ascii="Arial" w:cs="Arial" w:eastAsia="Arial" w:hAnsi="Arial"/>
                <w:sz w:val="29"/>
                <w:szCs w:val="29"/>
                <w:b w:val="1"/>
                <w:bCs w:val="1"/>
                <w:color w:val="auto"/>
                <w:w w:val="99"/>
              </w:rPr>
              <w:t>SOLENO THERAPEUTICS,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480" w:type="dxa"/>
            <w:vAlign w:val="bottom"/>
          </w:tcPr>
          <w:p>
            <w:pPr>
              <w:spacing w:after="0"/>
              <w:rPr>
                <w:sz w:val="13"/>
                <w:szCs w:val="13"/>
                <w:color w:val="auto"/>
              </w:rPr>
            </w:pPr>
          </w:p>
        </w:tc>
        <w:tc>
          <w:tcPr>
            <w:tcW w:w="44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480" w:type="dxa"/>
            <w:vAlign w:val="bottom"/>
            <w:vMerge w:val="restart"/>
          </w:tcPr>
          <w:p>
            <w:pPr>
              <w:jc w:val="center"/>
              <w:ind w:left="2089"/>
              <w:spacing w:after="0"/>
              <w:rPr>
                <w:sz w:val="20"/>
                <w:szCs w:val="20"/>
                <w:color w:val="auto"/>
              </w:rPr>
            </w:pPr>
            <w:r>
              <w:rPr>
                <w:rFonts w:ascii="Arial" w:cs="Arial" w:eastAsia="Arial" w:hAnsi="Arial"/>
                <w:sz w:val="11"/>
                <w:szCs w:val="11"/>
                <w:b w:val="1"/>
                <w:bCs w:val="1"/>
                <w:color w:val="auto"/>
                <w:w w:val="95"/>
              </w:rPr>
              <w:t>Delaware</w:t>
            </w:r>
          </w:p>
        </w:tc>
        <w:tc>
          <w:tcPr>
            <w:tcW w:w="10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Pr>
          <w:p>
            <w:pPr>
              <w:spacing w:after="0"/>
              <w:rPr>
                <w:sz w:val="5"/>
                <w:szCs w:val="5"/>
                <w:color w:val="auto"/>
              </w:rPr>
            </w:pPr>
          </w:p>
        </w:tc>
        <w:tc>
          <w:tcPr>
            <w:tcW w:w="3440" w:type="dxa"/>
            <w:vAlign w:val="bottom"/>
            <w:vMerge w:val="restart"/>
          </w:tcPr>
          <w:p>
            <w:pPr>
              <w:jc w:val="center"/>
              <w:ind w:right="2209"/>
              <w:spacing w:after="0"/>
              <w:rPr>
                <w:sz w:val="20"/>
                <w:szCs w:val="20"/>
                <w:color w:val="auto"/>
              </w:rPr>
            </w:pPr>
            <w:r>
              <w:rPr>
                <w:rFonts w:ascii="Arial" w:cs="Arial" w:eastAsia="Arial" w:hAnsi="Arial"/>
                <w:sz w:val="11"/>
                <w:szCs w:val="11"/>
                <w:b w:val="1"/>
                <w:bCs w:val="1"/>
                <w:color w:val="auto"/>
                <w:w w:val="91"/>
              </w:rPr>
              <w:t>77-0523891</w:t>
            </w:r>
          </w:p>
        </w:tc>
        <w:tc>
          <w:tcPr>
            <w:tcW w:w="0" w:type="dxa"/>
            <w:vAlign w:val="bottom"/>
          </w:tcPr>
          <w:p>
            <w:pPr>
              <w:spacing w:after="0"/>
              <w:rPr>
                <w:sz w:val="1"/>
                <w:szCs w:val="1"/>
                <w:color w:val="auto"/>
              </w:rPr>
            </w:pPr>
          </w:p>
        </w:tc>
      </w:tr>
      <w:tr>
        <w:trPr>
          <w:trHeight w:val="164"/>
        </w:trPr>
        <w:tc>
          <w:tcPr>
            <w:tcW w:w="34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480" w:type="dxa"/>
            <w:vAlign w:val="bottom"/>
          </w:tcPr>
          <w:p>
            <w:pPr>
              <w:jc w:val="center"/>
              <w:ind w:left="2109"/>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40" w:type="dxa"/>
            <w:vAlign w:val="bottom"/>
          </w:tcPr>
          <w:p>
            <w:pPr>
              <w:jc w:val="center"/>
              <w:ind w:right="2209"/>
              <w:spacing w:after="0" w:line="99" w:lineRule="exact"/>
              <w:rPr>
                <w:sz w:val="20"/>
                <w:szCs w:val="20"/>
                <w:color w:val="auto"/>
              </w:rPr>
            </w:pPr>
            <w:r>
              <w:rPr>
                <w:rFonts w:ascii="Arial" w:cs="Arial" w:eastAsia="Arial" w:hAnsi="Arial"/>
                <w:sz w:val="10"/>
                <w:szCs w:val="10"/>
                <w:b w:val="1"/>
                <w:bCs w:val="1"/>
                <w:color w:val="auto"/>
                <w:w w:val="91"/>
              </w:rPr>
              <w:t>(I.R.S. Employer</w:t>
            </w:r>
          </w:p>
        </w:tc>
        <w:tc>
          <w:tcPr>
            <w:tcW w:w="0" w:type="dxa"/>
            <w:vAlign w:val="bottom"/>
          </w:tcPr>
          <w:p>
            <w:pPr>
              <w:spacing w:after="0"/>
              <w:rPr>
                <w:sz w:val="1"/>
                <w:szCs w:val="1"/>
                <w:color w:val="auto"/>
              </w:rPr>
            </w:pPr>
          </w:p>
        </w:tc>
      </w:tr>
      <w:tr>
        <w:trPr>
          <w:trHeight w:val="123"/>
        </w:trPr>
        <w:tc>
          <w:tcPr>
            <w:tcW w:w="3480" w:type="dxa"/>
            <w:vAlign w:val="bottom"/>
          </w:tcPr>
          <w:p>
            <w:pPr>
              <w:jc w:val="center"/>
              <w:ind w:left="2109"/>
              <w:spacing w:after="0"/>
              <w:rPr>
                <w:sz w:val="20"/>
                <w:szCs w:val="20"/>
                <w:color w:val="auto"/>
              </w:rPr>
            </w:pPr>
            <w:r>
              <w:rPr>
                <w:rFonts w:ascii="Arial" w:cs="Arial" w:eastAsia="Arial" w:hAnsi="Arial"/>
                <w:sz w:val="10"/>
                <w:szCs w:val="10"/>
                <w:b w:val="1"/>
                <w:bCs w:val="1"/>
                <w:color w:val="auto"/>
                <w:w w:val="86"/>
              </w:rPr>
              <w:t>incorporation or organization)</w:t>
            </w: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40" w:type="dxa"/>
            <w:vAlign w:val="bottom"/>
          </w:tcPr>
          <w:p>
            <w:pPr>
              <w:jc w:val="center"/>
              <w:ind w:right="2209"/>
              <w:spacing w:after="0"/>
              <w:rPr>
                <w:sz w:val="20"/>
                <w:szCs w:val="20"/>
                <w:color w:val="auto"/>
              </w:rPr>
            </w:pPr>
            <w:r>
              <w:rPr>
                <w:rFonts w:ascii="Arial" w:cs="Arial" w:eastAsia="Arial" w:hAnsi="Arial"/>
                <w:sz w:val="10"/>
                <w:szCs w:val="10"/>
                <w:b w:val="1"/>
                <w:bCs w:val="1"/>
                <w:color w:val="auto"/>
                <w:w w:val="87"/>
              </w:rPr>
              <w:t>Identification No.)</w:t>
            </w: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380" w:type="dxa"/>
            <w:vAlign w:val="bottom"/>
            <w:gridSpan w:val="4"/>
          </w:tcPr>
          <w:p>
            <w:pPr>
              <w:jc w:val="center"/>
              <w:ind w:right="1080"/>
              <w:spacing w:after="0"/>
              <w:rPr>
                <w:sz w:val="20"/>
                <w:szCs w:val="20"/>
                <w:color w:val="auto"/>
              </w:rPr>
            </w:pPr>
            <w:r>
              <w:rPr>
                <w:rFonts w:ascii="Arial" w:cs="Arial" w:eastAsia="Arial" w:hAnsi="Arial"/>
                <w:sz w:val="11"/>
                <w:szCs w:val="11"/>
                <w:b w:val="1"/>
                <w:bCs w:val="1"/>
                <w:color w:val="auto"/>
                <w:w w:val="92"/>
              </w:rPr>
              <w:t>203 Redwood Shores Parkway, Suite 500</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900" w:type="dxa"/>
            <w:vAlign w:val="bottom"/>
            <w:gridSpan w:val="3"/>
          </w:tcPr>
          <w:p>
            <w:pPr>
              <w:jc w:val="center"/>
              <w:ind w:right="1580"/>
              <w:spacing w:after="0"/>
              <w:rPr>
                <w:sz w:val="20"/>
                <w:szCs w:val="20"/>
                <w:color w:val="auto"/>
              </w:rPr>
            </w:pPr>
            <w:r>
              <w:rPr>
                <w:rFonts w:ascii="Arial" w:cs="Arial" w:eastAsia="Arial" w:hAnsi="Arial"/>
                <w:sz w:val="11"/>
                <w:szCs w:val="11"/>
                <w:b w:val="1"/>
                <w:bCs w:val="1"/>
                <w:color w:val="auto"/>
                <w:w w:val="95"/>
              </w:rPr>
              <w:t>Redwood City, California</w:t>
            </w:r>
          </w:p>
        </w:tc>
        <w:tc>
          <w:tcPr>
            <w:tcW w:w="3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80" w:type="dxa"/>
            <w:vAlign w:val="bottom"/>
            <w:gridSpan w:val="4"/>
          </w:tcPr>
          <w:p>
            <w:pPr>
              <w:jc w:val="center"/>
              <w:ind w:right="1080"/>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3100" w:type="dxa"/>
            <w:vAlign w:val="bottom"/>
            <w:gridSpan w:val="3"/>
          </w:tcPr>
          <w:p>
            <w:pPr>
              <w:jc w:val="right"/>
              <w:ind w:right="748"/>
              <w:spacing w:after="0"/>
              <w:rPr>
                <w:sz w:val="20"/>
                <w:szCs w:val="20"/>
                <w:color w:val="auto"/>
              </w:rPr>
            </w:pPr>
            <w:r>
              <w:rPr>
                <w:rFonts w:ascii="Arial" w:cs="Arial" w:eastAsia="Arial" w:hAnsi="Arial"/>
                <w:sz w:val="11"/>
                <w:szCs w:val="11"/>
                <w:b w:val="1"/>
                <w:bCs w:val="1"/>
                <w:color w:val="auto"/>
              </w:rPr>
              <w:t>94065</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3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900" w:type="dxa"/>
            <w:vAlign w:val="bottom"/>
            <w:gridSpan w:val="3"/>
          </w:tcPr>
          <w:p>
            <w:pPr>
              <w:jc w:val="center"/>
              <w:ind w:right="1580"/>
              <w:spacing w:after="0"/>
              <w:rPr>
                <w:sz w:val="20"/>
                <w:szCs w:val="20"/>
                <w:color w:val="auto"/>
              </w:rPr>
            </w:pPr>
            <w:r>
              <w:rPr>
                <w:rFonts w:ascii="Arial" w:cs="Arial" w:eastAsia="Arial" w:hAnsi="Arial"/>
                <w:sz w:val="10"/>
                <w:szCs w:val="10"/>
                <w:b w:val="1"/>
                <w:bCs w:val="1"/>
                <w:color w:val="auto"/>
                <w:w w:val="88"/>
              </w:rPr>
              <w:t>(Zip Code)</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100" w:type="dxa"/>
            <w:vAlign w:val="bottom"/>
            <w:gridSpan w:val="3"/>
          </w:tcPr>
          <w:p>
            <w:pPr>
              <w:jc w:val="right"/>
              <w:ind w:right="528"/>
              <w:spacing w:after="0"/>
              <w:rPr>
                <w:sz w:val="20"/>
                <w:szCs w:val="20"/>
                <w:color w:val="auto"/>
              </w:rPr>
            </w:pPr>
            <w:r>
              <w:rPr>
                <w:rFonts w:ascii="Arial" w:cs="Arial" w:eastAsia="Arial" w:hAnsi="Arial"/>
                <w:sz w:val="11"/>
                <w:szCs w:val="11"/>
                <w:b w:val="1"/>
                <w:bCs w:val="1"/>
                <w:color w:val="auto"/>
              </w:rPr>
              <w:t>(650) 213-8444</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380" w:type="dxa"/>
            <w:vAlign w:val="bottom"/>
            <w:gridSpan w:val="4"/>
          </w:tcPr>
          <w:p>
            <w:pPr>
              <w:jc w:val="center"/>
              <w:ind w:right="1100"/>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480" w:type="dxa"/>
            <w:vAlign w:val="bottom"/>
            <w:vMerge w:val="restart"/>
          </w:tcPr>
          <w:p>
            <w:pPr>
              <w:ind w:left="280"/>
              <w:spacing w:after="0"/>
              <w:rPr>
                <w:sz w:val="20"/>
                <w:szCs w:val="20"/>
                <w:color w:val="auto"/>
              </w:rPr>
            </w:pPr>
            <w:r>
              <w:rPr>
                <w:rFonts w:ascii="Arial" w:cs="Arial" w:eastAsia="Arial" w:hAnsi="Arial"/>
                <w:sz w:val="10"/>
                <w:szCs w:val="10"/>
                <w:color w:val="auto"/>
              </w:rPr>
              <w:t>Securities registered pursuant to Section 12(b) of the Act:</w:t>
            </w:r>
          </w:p>
        </w:tc>
        <w:tc>
          <w:tcPr>
            <w:tcW w:w="10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80" w:type="dxa"/>
            <w:vAlign w:val="bottom"/>
            <w:tcBorders>
              <w:left w:val="single" w:sz="8" w:color="auto"/>
              <w:bottom w:val="single" w:sz="8" w:color="auto"/>
            </w:tcBorders>
          </w:tcPr>
          <w:p>
            <w:pPr>
              <w:jc w:val="center"/>
              <w:ind w:left="1429"/>
              <w:spacing w:after="0"/>
              <w:rPr>
                <w:sz w:val="20"/>
                <w:szCs w:val="20"/>
                <w:color w:val="auto"/>
              </w:rPr>
            </w:pPr>
            <w:r>
              <w:rPr>
                <w:rFonts w:ascii="Arial" w:cs="Arial" w:eastAsia="Arial" w:hAnsi="Arial"/>
                <w:sz w:val="10"/>
                <w:szCs w:val="10"/>
                <w:b w:val="1"/>
                <w:bCs w:val="1"/>
                <w:color w:val="auto"/>
                <w:w w:val="88"/>
              </w:rPr>
              <w:t>Title of each class</w:t>
            </w: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Trading Symbol(s)</w:t>
            </w: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440" w:type="dxa"/>
            <w:vAlign w:val="bottom"/>
            <w:tcBorders>
              <w:bottom w:val="single" w:sz="8" w:color="auto"/>
              <w:right w:val="single" w:sz="8" w:color="auto"/>
            </w:tcBorders>
          </w:tcPr>
          <w:p>
            <w:pPr>
              <w:jc w:val="center"/>
              <w:ind w:right="1289"/>
              <w:spacing w:after="0"/>
              <w:rPr>
                <w:sz w:val="20"/>
                <w:szCs w:val="20"/>
                <w:color w:val="auto"/>
              </w:rPr>
            </w:pPr>
            <w:r>
              <w:rPr>
                <w:rFonts w:ascii="Arial" w:cs="Arial" w:eastAsia="Arial" w:hAnsi="Arial"/>
                <w:sz w:val="10"/>
                <w:szCs w:val="10"/>
                <w:b w:val="1"/>
                <w:bCs w:val="1"/>
                <w:color w:val="auto"/>
                <w:w w:val="89"/>
              </w:rPr>
              <w:t>Name of each exchange on which registered</w:t>
            </w:r>
          </w:p>
        </w:tc>
        <w:tc>
          <w:tcPr>
            <w:tcW w:w="0" w:type="dxa"/>
            <w:vAlign w:val="bottom"/>
          </w:tcPr>
          <w:p>
            <w:pPr>
              <w:spacing w:after="0"/>
              <w:rPr>
                <w:sz w:val="1"/>
                <w:szCs w:val="1"/>
                <w:color w:val="auto"/>
              </w:rPr>
            </w:pPr>
          </w:p>
        </w:tc>
      </w:tr>
      <w:tr>
        <w:trPr>
          <w:trHeight w:val="133"/>
        </w:trPr>
        <w:tc>
          <w:tcPr>
            <w:tcW w:w="3480" w:type="dxa"/>
            <w:vAlign w:val="bottom"/>
            <w:tcBorders>
              <w:left w:val="single" w:sz="8" w:color="auto"/>
              <w:bottom w:val="single" w:sz="8" w:color="auto"/>
            </w:tcBorders>
          </w:tcPr>
          <w:p>
            <w:pPr>
              <w:jc w:val="center"/>
              <w:ind w:left="1449"/>
              <w:spacing w:after="0"/>
              <w:rPr>
                <w:sz w:val="20"/>
                <w:szCs w:val="20"/>
                <w:color w:val="auto"/>
              </w:rPr>
            </w:pPr>
            <w:r>
              <w:rPr>
                <w:rFonts w:ascii="Arial" w:cs="Arial" w:eastAsia="Arial" w:hAnsi="Arial"/>
                <w:sz w:val="10"/>
                <w:szCs w:val="10"/>
                <w:color w:val="auto"/>
                <w:w w:val="92"/>
              </w:rPr>
              <w:t>Common Stock, $0.001 par value</w:t>
            </w: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SLNO</w:t>
            </w:r>
          </w:p>
        </w:tc>
        <w:tc>
          <w:tcPr>
            <w:tcW w:w="1300" w:type="dxa"/>
            <w:vAlign w:val="bottom"/>
            <w:tcBorders>
              <w:bottom w:val="single" w:sz="8" w:color="auto"/>
            </w:tcBorders>
            <w:gridSpan w:val="2"/>
          </w:tcPr>
          <w:p>
            <w:pPr>
              <w:spacing w:after="0"/>
              <w:rPr>
                <w:sz w:val="11"/>
                <w:szCs w:val="11"/>
                <w:color w:val="auto"/>
              </w:rPr>
            </w:pPr>
          </w:p>
        </w:tc>
        <w:tc>
          <w:tcPr>
            <w:tcW w:w="3440" w:type="dxa"/>
            <w:vAlign w:val="bottom"/>
            <w:tcBorders>
              <w:bottom w:val="single" w:sz="8" w:color="auto"/>
              <w:right w:val="single" w:sz="8" w:color="auto"/>
            </w:tcBorders>
          </w:tcPr>
          <w:p>
            <w:pPr>
              <w:jc w:val="center"/>
              <w:ind w:right="1289"/>
              <w:spacing w:after="0"/>
              <w:rPr>
                <w:sz w:val="20"/>
                <w:szCs w:val="20"/>
                <w:color w:val="auto"/>
              </w:rPr>
            </w:pPr>
            <w:r>
              <w:rPr>
                <w:rFonts w:ascii="Arial" w:cs="Arial" w:eastAsia="Arial" w:hAnsi="Arial"/>
                <w:sz w:val="10"/>
                <w:szCs w:val="10"/>
                <w:color w:val="auto"/>
                <w:w w:val="99"/>
              </w:rPr>
              <w:t>NASDAQ</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8" w:right="40" w:firstLine="513"/>
        <w:spacing w:after="0" w:line="12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1" w:lineRule="exact"/>
        <w:rPr>
          <w:sz w:val="24"/>
          <w:szCs w:val="24"/>
          <w:color w:val="auto"/>
        </w:rPr>
      </w:pPr>
    </w:p>
    <w:p>
      <w:pPr>
        <w:ind w:left="8" w:right="120" w:firstLine="513"/>
        <w:spacing w:after="0" w:line="12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1" w:lineRule="exact"/>
        <w:rPr>
          <w:sz w:val="24"/>
          <w:szCs w:val="24"/>
          <w:color w:val="auto"/>
        </w:rPr>
      </w:pPr>
    </w:p>
    <w:p>
      <w:pPr>
        <w:ind w:left="8" w:right="60" w:firstLine="513"/>
        <w:spacing w:after="0" w:line="25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8" w:type="dxa"/>
        <w:tblCellMar>
          <w:top w:w="0" w:type="dxa"/>
          <w:left w:w="0" w:type="dxa"/>
          <w:bottom w:w="0" w:type="dxa"/>
          <w:right w:w="0" w:type="dxa"/>
        </w:tblCellMar>
      </w:tblPr>
      <w:tr>
        <w:trPr>
          <w:trHeight w:val="128"/>
        </w:trPr>
        <w:tc>
          <w:tcPr>
            <w:tcW w:w="148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72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980" w:type="dxa"/>
            <w:vAlign w:val="bottom"/>
          </w:tcPr>
          <w:p>
            <w:pPr>
              <w:ind w:left="3060"/>
              <w:spacing w:after="0"/>
              <w:rPr>
                <w:sz w:val="20"/>
                <w:szCs w:val="20"/>
                <w:color w:val="auto"/>
              </w:rPr>
            </w:pPr>
            <w:r>
              <w:rPr>
                <w:rFonts w:ascii="Arial" w:cs="Arial" w:eastAsia="Arial" w:hAnsi="Arial"/>
                <w:sz w:val="10"/>
                <w:szCs w:val="10"/>
                <w:color w:val="auto"/>
              </w:rPr>
              <w:t>Accelerated filer</w:t>
            </w:r>
          </w:p>
        </w:tc>
        <w:tc>
          <w:tcPr>
            <w:tcW w:w="880" w:type="dxa"/>
            <w:vAlign w:val="bottom"/>
          </w:tcPr>
          <w:p>
            <w:pPr>
              <w:ind w:left="7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35"/>
        </w:trPr>
        <w:tc>
          <w:tcPr>
            <w:tcW w:w="1480" w:type="dxa"/>
            <w:vAlign w:val="bottom"/>
          </w:tcPr>
          <w:p>
            <w:pPr>
              <w:spacing w:after="0"/>
              <w:rPr>
                <w:sz w:val="20"/>
                <w:szCs w:val="20"/>
                <w:color w:val="auto"/>
              </w:rPr>
            </w:pPr>
            <w:r>
              <w:rPr>
                <w:rFonts w:ascii="Arial" w:cs="Arial" w:eastAsia="Arial" w:hAnsi="Arial"/>
                <w:sz w:val="10"/>
                <w:szCs w:val="10"/>
                <w:color w:val="auto"/>
              </w:rPr>
              <w:t>Non-accelerated filer</w:t>
            </w:r>
          </w:p>
        </w:tc>
        <w:tc>
          <w:tcPr>
            <w:tcW w:w="372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980" w:type="dxa"/>
            <w:vAlign w:val="bottom"/>
          </w:tcPr>
          <w:p>
            <w:pPr>
              <w:ind w:left="3060"/>
              <w:spacing w:after="0"/>
              <w:rPr>
                <w:sz w:val="20"/>
                <w:szCs w:val="20"/>
                <w:color w:val="auto"/>
              </w:rPr>
            </w:pPr>
            <w:r>
              <w:rPr>
                <w:rFonts w:ascii="Arial" w:cs="Arial" w:eastAsia="Arial" w:hAnsi="Arial"/>
                <w:sz w:val="10"/>
                <w:szCs w:val="10"/>
                <w:color w:val="auto"/>
              </w:rPr>
              <w:t>Smaller reporting company</w:t>
            </w:r>
          </w:p>
        </w:tc>
        <w:tc>
          <w:tcPr>
            <w:tcW w:w="880" w:type="dxa"/>
            <w:vAlign w:val="bottom"/>
          </w:tcPr>
          <w:p>
            <w:pPr>
              <w:ind w:left="78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1"/>
        </w:trPr>
        <w:tc>
          <w:tcPr>
            <w:tcW w:w="14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980" w:type="dxa"/>
            <w:vAlign w:val="bottom"/>
          </w:tcPr>
          <w:p>
            <w:pPr>
              <w:ind w:left="3060"/>
              <w:spacing w:after="0"/>
              <w:rPr>
                <w:sz w:val="20"/>
                <w:szCs w:val="20"/>
                <w:color w:val="auto"/>
              </w:rPr>
            </w:pPr>
            <w:r>
              <w:rPr>
                <w:rFonts w:ascii="Arial" w:cs="Arial" w:eastAsia="Arial" w:hAnsi="Arial"/>
                <w:sz w:val="10"/>
                <w:szCs w:val="10"/>
                <w:color w:val="auto"/>
              </w:rPr>
              <w:t>Emerging growth company</w:t>
            </w:r>
          </w:p>
        </w:tc>
        <w:tc>
          <w:tcPr>
            <w:tcW w:w="880" w:type="dxa"/>
            <w:vAlign w:val="bottom"/>
          </w:tcPr>
          <w:p>
            <w:pPr>
              <w:ind w:left="78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8" w:lineRule="exact"/>
        <w:rPr>
          <w:sz w:val="24"/>
          <w:szCs w:val="24"/>
          <w:color w:val="auto"/>
        </w:rPr>
      </w:pPr>
    </w:p>
    <w:p>
      <w:pPr>
        <w:ind w:left="508"/>
        <w:spacing w:after="0" w:line="104" w:lineRule="exact"/>
        <w:tabs>
          <w:tab w:leader="none" w:pos="10908" w:val="left"/>
        </w:tabs>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sz w:val="20"/>
          <w:szCs w:val="20"/>
          <w:color w:val="auto"/>
        </w:rPr>
        <w:tab/>
      </w:r>
      <w:r>
        <w:rPr>
          <w:rFonts w:ascii="MS PGothic" w:cs="MS PGothic" w:eastAsia="MS PGothic" w:hAnsi="MS PGothic"/>
          <w:sz w:val="10"/>
          <w:szCs w:val="10"/>
          <w:color w:val="auto"/>
        </w:rPr>
        <w:t>☐</w:t>
      </w:r>
    </w:p>
    <w:p>
      <w:pPr>
        <w:spacing w:after="0" w:line="71" w:lineRule="exact"/>
        <w:rPr>
          <w:sz w:val="24"/>
          <w:szCs w:val="24"/>
          <w:color w:val="auto"/>
        </w:rPr>
      </w:pPr>
    </w:p>
    <w:p>
      <w:pPr>
        <w:ind w:left="508"/>
        <w:spacing w:after="0" w:line="115" w:lineRule="exact"/>
        <w:tabs>
          <w:tab w:leader="none" w:pos="4948" w:val="left"/>
          <w:tab w:leader="none" w:pos="5308" w:val="left"/>
        </w:tabs>
        <w:rPr>
          <w:sz w:val="20"/>
          <w:szCs w:val="20"/>
          <w:color w:val="auto"/>
        </w:rPr>
      </w:pPr>
      <w:r>
        <w:rPr>
          <w:rFonts w:ascii="Arial" w:cs="Arial" w:eastAsia="Arial" w:hAnsi="Arial"/>
          <w:sz w:val="9"/>
          <w:szCs w:val="9"/>
          <w:color w:val="auto"/>
        </w:rPr>
        <w:t>Indicate by check mark whether the registrant is a shell company (as defined in Rule 12b-2 of the Exchange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79" w:lineRule="exact"/>
        <w:rPr>
          <w:sz w:val="24"/>
          <w:szCs w:val="24"/>
          <w:color w:val="auto"/>
        </w:rPr>
      </w:pPr>
    </w:p>
    <w:p>
      <w:pPr>
        <w:ind w:left="508"/>
        <w:spacing w:after="0"/>
        <w:rPr>
          <w:sz w:val="20"/>
          <w:szCs w:val="20"/>
          <w:color w:val="auto"/>
        </w:rPr>
      </w:pPr>
      <w:r>
        <w:rPr>
          <w:rFonts w:ascii="Arial" w:cs="Arial" w:eastAsia="Arial" w:hAnsi="Arial"/>
          <w:sz w:val="10"/>
          <w:szCs w:val="10"/>
          <w:color w:val="auto"/>
        </w:rPr>
        <w:t xml:space="preserve">As of August 7, 2020, there were </w:t>
      </w:r>
      <w:r>
        <w:rPr>
          <w:rFonts w:ascii="Arial" w:cs="Arial" w:eastAsia="Arial" w:hAnsi="Arial"/>
          <w:sz w:val="10"/>
          <w:szCs w:val="10"/>
          <w:u w:val="single" w:color="auto"/>
          <w:color w:val="auto"/>
        </w:rPr>
        <w:t>79,593,621</w:t>
      </w:r>
      <w:r>
        <w:rPr>
          <w:rFonts w:ascii="Arial" w:cs="Arial" w:eastAsia="Arial" w:hAnsi="Arial"/>
          <w:sz w:val="10"/>
          <w:szCs w:val="10"/>
          <w:color w:val="auto"/>
        </w:rPr>
        <w:t xml:space="preserve"> shares of the registrant’s Common Stock, par value $0.001 per share, outstanding</w:t>
      </w:r>
      <w:r>
        <w:rPr>
          <w:rFonts w:ascii="Arial" w:cs="Arial" w:eastAsia="Arial" w:hAnsi="Arial"/>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274955</wp:posOffset>
            </wp:positionV>
            <wp:extent cx="718947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8"/>
          </w:cols>
          <w:pgMar w:left="292" w:top="292"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8740" w:type="dxa"/>
            <w:vAlign w:val="bottom"/>
          </w:tcPr>
          <w:p>
            <w:pPr>
              <w:ind w:left="4760"/>
              <w:spacing w:after="0"/>
              <w:rPr>
                <w:sz w:val="20"/>
                <w:szCs w:val="20"/>
                <w:color w:val="auto"/>
              </w:rPr>
            </w:pPr>
            <w:r>
              <w:rPr>
                <w:rFonts w:ascii="Arial" w:cs="Arial" w:eastAsia="Arial" w:hAnsi="Arial"/>
                <w:sz w:val="12"/>
                <w:szCs w:val="12"/>
                <w:b w:val="1"/>
                <w:bCs w:val="1"/>
                <w:color w:val="auto"/>
              </w:rPr>
              <w:t>SOLENO THERAPEUTICS, INC.</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40" w:type="dxa"/>
            <w:vAlign w:val="bottom"/>
          </w:tcPr>
          <w:p>
            <w:pPr>
              <w:ind w:left="5000"/>
              <w:spacing w:after="0"/>
              <w:rPr>
                <w:sz w:val="20"/>
                <w:szCs w:val="20"/>
                <w:color w:val="auto"/>
              </w:rPr>
            </w:pPr>
            <w:r>
              <w:rPr>
                <w:rFonts w:ascii="Arial" w:cs="Arial" w:eastAsia="Arial" w:hAnsi="Arial"/>
                <w:sz w:val="12"/>
                <w:szCs w:val="12"/>
                <w:b w:val="1"/>
                <w:bCs w:val="1"/>
                <w:color w:val="auto"/>
              </w:rPr>
              <w:t>TABLE OF CONTENTS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40" w:type="dxa"/>
            <w:vAlign w:val="bottom"/>
            <w:vMerge w:val="restart"/>
          </w:tcPr>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PART I—FINANCIAL INFORMATION</w:t>
              </w:r>
            </w:hyperlink>
          </w:p>
        </w:tc>
        <w:tc>
          <w:tcPr>
            <w:tcW w:w="2580" w:type="dxa"/>
            <w:vAlign w:val="bottom"/>
          </w:tcPr>
          <w:p>
            <w:pPr>
              <w:jc w:val="right"/>
              <w:ind w:right="14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44"/>
        </w:trPr>
        <w:tc>
          <w:tcPr>
            <w:tcW w:w="8740" w:type="dxa"/>
            <w:vAlign w:val="bottom"/>
            <w:vMerge w:val="continue"/>
          </w:tcPr>
          <w:p>
            <w:pPr>
              <w:spacing w:after="0"/>
              <w:rPr>
                <w:sz w:val="12"/>
                <w:szCs w:val="12"/>
                <w:color w:val="auto"/>
              </w:rPr>
            </w:pPr>
          </w:p>
        </w:tc>
        <w:tc>
          <w:tcPr>
            <w:tcW w:w="258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Item 1. Financial Statements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Condensed Consolidated Balance Sheets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Condensed Consolidated Statements of Operations (unaudited)</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Condensed Consolidated Statements of Stockholders’ Equity (unaudited)</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Condensed Consolidated Statements of Cash Flows (unaudited)</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8740" w:type="dxa"/>
            <w:vAlign w:val="bottom"/>
          </w:tcPr>
          <w:p>
            <w:pPr>
              <w:ind w:left="560"/>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Notes to Condensed Consolidated Financial Statements (unaudited)</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Item 2. Management’s Discussion and Analysis of Financial Condition and Results of Operations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21">
              <w:r>
                <w:rPr>
                  <w:rFonts w:ascii="Arial" w:cs="Arial" w:eastAsia="Arial" w:hAnsi="Arial"/>
                  <w:sz w:val="12"/>
                  <w:szCs w:val="12"/>
                  <w:u w:val="single" w:color="auto"/>
                  <w:color w:val="0000EE"/>
                </w:rPr>
                <w:t>Item 3. Quantitative and Qualitative Disclosures About Market Risk</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0"/>
        </w:trPr>
        <w:tc>
          <w:tcPr>
            <w:tcW w:w="8740" w:type="dxa"/>
            <w:vAlign w:val="bottom"/>
          </w:tcPr>
          <w:p>
            <w:pPr>
              <w:ind w:left="280"/>
              <w:spacing w:after="0"/>
              <w:rPr>
                <w:rFonts w:ascii="Arial" w:cs="Arial" w:eastAsia="Arial" w:hAnsi="Arial"/>
                <w:sz w:val="12"/>
                <w:szCs w:val="12"/>
                <w:u w:val="single" w:color="auto"/>
                <w:color w:val="0000EE"/>
              </w:rPr>
            </w:pPr>
            <w:hyperlink w:anchor="page21">
              <w:r>
                <w:rPr>
                  <w:rFonts w:ascii="Arial" w:cs="Arial" w:eastAsia="Arial" w:hAnsi="Arial"/>
                  <w:sz w:val="12"/>
                  <w:szCs w:val="12"/>
                  <w:u w:val="single" w:color="auto"/>
                  <w:color w:val="0000EE"/>
                </w:rPr>
                <w:t>Item 4. Controls and Procedures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8"/>
        </w:trPr>
        <w:tc>
          <w:tcPr>
            <w:tcW w:w="8740" w:type="dxa"/>
            <w:vAlign w:val="bottom"/>
          </w:tcPr>
          <w:p>
            <w:pPr>
              <w:spacing w:after="0"/>
              <w:rPr>
                <w:rFonts w:ascii="Arial" w:cs="Arial" w:eastAsia="Arial" w:hAnsi="Arial"/>
                <w:sz w:val="12"/>
                <w:szCs w:val="12"/>
                <w:b w:val="1"/>
                <w:bCs w:val="1"/>
                <w:u w:val="single" w:color="auto"/>
                <w:color w:val="0000EE"/>
              </w:rPr>
            </w:pPr>
            <w:hyperlink w:anchor="page22">
              <w:r>
                <w:rPr>
                  <w:rFonts w:ascii="Arial" w:cs="Arial" w:eastAsia="Arial" w:hAnsi="Arial"/>
                  <w:sz w:val="12"/>
                  <w:szCs w:val="12"/>
                  <w:b w:val="1"/>
                  <w:bCs w:val="1"/>
                  <w:u w:val="single" w:color="auto"/>
                  <w:color w:val="0000EE"/>
                </w:rPr>
                <w:t>PART II—OTHER INFORMATION</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22">
              <w:r>
                <w:rPr>
                  <w:rFonts w:ascii="Arial" w:cs="Arial" w:eastAsia="Arial" w:hAnsi="Arial"/>
                  <w:sz w:val="12"/>
                  <w:szCs w:val="12"/>
                  <w:u w:val="single" w:color="auto"/>
                  <w:color w:val="0000EE"/>
                </w:rPr>
                <w:t>Item 1. Legal Proceedings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22">
              <w:r>
                <w:rPr>
                  <w:rFonts w:ascii="Arial" w:cs="Arial" w:eastAsia="Arial" w:hAnsi="Arial"/>
                  <w:sz w:val="12"/>
                  <w:szCs w:val="12"/>
                  <w:u w:val="single" w:color="auto"/>
                  <w:color w:val="0000EE"/>
                </w:rPr>
                <w:t>Item 1A. Risk Factors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Item 2. Unregistered Sales of Equity Securities and Use of Proceeds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Item 3. Defaults Upon Senior Securities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Item 4. Mine Safety Disclosures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8740" w:type="dxa"/>
            <w:vAlign w:val="bottom"/>
          </w:tcPr>
          <w:p>
            <w:pPr>
              <w:ind w:left="280"/>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Item 5. Other Information</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0"/>
        </w:trPr>
        <w:tc>
          <w:tcPr>
            <w:tcW w:w="8740" w:type="dxa"/>
            <w:vAlign w:val="bottom"/>
          </w:tcPr>
          <w:p>
            <w:pPr>
              <w:ind w:left="280"/>
              <w:spacing w:after="0"/>
              <w:rPr>
                <w:rFonts w:ascii="Arial" w:cs="Arial" w:eastAsia="Arial" w:hAnsi="Arial"/>
                <w:sz w:val="12"/>
                <w:szCs w:val="12"/>
                <w:u w:val="single" w:color="auto"/>
                <w:color w:val="0000EE"/>
              </w:rPr>
            </w:pPr>
            <w:hyperlink w:anchor="page51">
              <w:r>
                <w:rPr>
                  <w:rFonts w:ascii="Arial" w:cs="Arial" w:eastAsia="Arial" w:hAnsi="Arial"/>
                  <w:sz w:val="12"/>
                  <w:szCs w:val="12"/>
                  <w:u w:val="single" w:color="auto"/>
                  <w:color w:val="0000EE"/>
                </w:rPr>
                <w:t>Item 6. Exhibits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8740" w:type="dxa"/>
            <w:vAlign w:val="bottom"/>
          </w:tcPr>
          <w:p>
            <w:pPr>
              <w:spacing w:after="0"/>
              <w:rPr>
                <w:rFonts w:ascii="Arial" w:cs="Arial" w:eastAsia="Arial" w:hAnsi="Arial"/>
                <w:sz w:val="12"/>
                <w:szCs w:val="12"/>
                <w:b w:val="1"/>
                <w:bCs w:val="1"/>
                <w:u w:val="single" w:color="auto"/>
                <w:color w:val="0000EE"/>
              </w:rPr>
            </w:pPr>
            <w:hyperlink w:anchor="page52">
              <w:r>
                <w:rPr>
                  <w:rFonts w:ascii="Arial" w:cs="Arial" w:eastAsia="Arial" w:hAnsi="Arial"/>
                  <w:sz w:val="12"/>
                  <w:szCs w:val="12"/>
                  <w:b w:val="1"/>
                  <w:bCs w:val="1"/>
                  <w:u w:val="single" w:color="auto"/>
                  <w:color w:val="0000EE"/>
                </w:rPr>
                <w:t>EXHIBIT INDEX</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57"/>
        </w:trPr>
        <w:tc>
          <w:tcPr>
            <w:tcW w:w="8740" w:type="dxa"/>
            <w:vAlign w:val="bottom"/>
          </w:tcPr>
          <w:p>
            <w:pPr>
              <w:spacing w:after="0"/>
              <w:rPr>
                <w:rFonts w:ascii="Arial" w:cs="Arial" w:eastAsia="Arial" w:hAnsi="Arial"/>
                <w:sz w:val="12"/>
                <w:szCs w:val="12"/>
                <w:b w:val="1"/>
                <w:bCs w:val="1"/>
                <w:u w:val="single" w:color="auto"/>
                <w:color w:val="0000EE"/>
              </w:rPr>
            </w:pPr>
            <w:hyperlink w:anchor="page53">
              <w:r>
                <w:rPr>
                  <w:rFonts w:ascii="Arial" w:cs="Arial" w:eastAsia="Arial" w:hAnsi="Arial"/>
                  <w:sz w:val="12"/>
                  <w:szCs w:val="12"/>
                  <w:b w:val="1"/>
                  <w:bCs w:val="1"/>
                  <w:u w:val="single" w:color="auto"/>
                  <w:color w:val="0000EE"/>
                </w:rPr>
                <w:t>SIGNATURES</w:t>
              </w:r>
            </w:hyperlink>
          </w:p>
        </w:tc>
        <w:tc>
          <w:tcPr>
            <w:tcW w:w="2580" w:type="dxa"/>
            <w:vAlign w:val="bottom"/>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504"/>
        </w:trPr>
        <w:tc>
          <w:tcPr>
            <w:tcW w:w="87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7"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040" w:type="dxa"/>
            <w:vAlign w:val="bottom"/>
            <w:gridSpan w:val="2"/>
          </w:tcPr>
          <w:p>
            <w:pPr>
              <w:jc w:val="center"/>
              <w:ind w:right="1328"/>
              <w:spacing w:after="0"/>
              <w:rPr>
                <w:sz w:val="20"/>
                <w:szCs w:val="20"/>
                <w:color w:val="auto"/>
              </w:rPr>
            </w:pPr>
            <w:r>
              <w:rPr>
                <w:rFonts w:ascii="Arial" w:cs="Arial" w:eastAsia="Arial" w:hAnsi="Arial"/>
                <w:sz w:val="12"/>
                <w:szCs w:val="12"/>
                <w:b w:val="1"/>
                <w:bCs w:val="1"/>
                <w:color w:val="auto"/>
              </w:rPr>
              <w:t>PART I—FINANCIAL INFORMATION</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2"/>
                <w:szCs w:val="12"/>
                <w:b w:val="1"/>
                <w:bCs w:val="1"/>
                <w:color w:val="auto"/>
              </w:rPr>
              <w:t>Item 1.</w:t>
            </w:r>
          </w:p>
        </w:tc>
        <w:tc>
          <w:tcPr>
            <w:tcW w:w="3400" w:type="dxa"/>
            <w:vAlign w:val="bottom"/>
          </w:tcPr>
          <w:p>
            <w:pPr>
              <w:ind w:left="580"/>
              <w:spacing w:after="0"/>
              <w:rPr>
                <w:sz w:val="20"/>
                <w:szCs w:val="20"/>
                <w:color w:val="auto"/>
              </w:rPr>
            </w:pPr>
            <w:r>
              <w:rPr>
                <w:rFonts w:ascii="Arial" w:cs="Arial" w:eastAsia="Arial" w:hAnsi="Arial"/>
                <w:sz w:val="12"/>
                <w:szCs w:val="12"/>
                <w:b w:val="1"/>
                <w:bCs w:val="1"/>
                <w:color w:val="auto"/>
              </w:rPr>
              <w:t>Financial Statements</w:t>
            </w:r>
          </w:p>
        </w:tc>
        <w:tc>
          <w:tcPr>
            <w:tcW w:w="3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5040" w:type="dxa"/>
            <w:vAlign w:val="bottom"/>
            <w:gridSpan w:val="2"/>
          </w:tcPr>
          <w:p>
            <w:pPr>
              <w:jc w:val="center"/>
              <w:ind w:right="1328"/>
              <w:spacing w:after="0"/>
              <w:rPr>
                <w:sz w:val="20"/>
                <w:szCs w:val="20"/>
                <w:color w:val="auto"/>
              </w:rPr>
            </w:pPr>
            <w:r>
              <w:rPr>
                <w:rFonts w:ascii="Arial" w:cs="Arial" w:eastAsia="Arial" w:hAnsi="Arial"/>
                <w:sz w:val="12"/>
                <w:szCs w:val="12"/>
                <w:b w:val="1"/>
                <w:bCs w:val="1"/>
                <w:color w:val="auto"/>
                <w:w w:val="89"/>
              </w:rPr>
              <w:t>Soleno Therapeutics, Inc.</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48"/>
        </w:trPr>
        <w:tc>
          <w:tcPr>
            <w:tcW w:w="4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40" w:type="dxa"/>
            <w:vAlign w:val="bottom"/>
            <w:gridSpan w:val="2"/>
          </w:tcPr>
          <w:p>
            <w:pPr>
              <w:jc w:val="center"/>
              <w:ind w:right="1328"/>
              <w:spacing w:after="0"/>
              <w:rPr>
                <w:sz w:val="20"/>
                <w:szCs w:val="20"/>
                <w:color w:val="auto"/>
              </w:rPr>
            </w:pPr>
            <w:r>
              <w:rPr>
                <w:rFonts w:ascii="Arial" w:cs="Arial" w:eastAsia="Arial" w:hAnsi="Arial"/>
                <w:sz w:val="12"/>
                <w:szCs w:val="12"/>
                <w:b w:val="1"/>
                <w:bCs w:val="1"/>
                <w:color w:val="auto"/>
                <w:w w:val="86"/>
              </w:rPr>
              <w:t>Condensed Consolidated Balance Sheets</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040" w:type="dxa"/>
            <w:vAlign w:val="bottom"/>
            <w:gridSpan w:val="2"/>
          </w:tcPr>
          <w:p>
            <w:pPr>
              <w:jc w:val="center"/>
              <w:ind w:right="1328"/>
              <w:spacing w:after="0"/>
              <w:rPr>
                <w:sz w:val="20"/>
                <w:szCs w:val="20"/>
                <w:color w:val="auto"/>
              </w:rPr>
            </w:pPr>
            <w:r>
              <w:rPr>
                <w:rFonts w:ascii="Arial" w:cs="Arial" w:eastAsia="Arial" w:hAnsi="Arial"/>
                <w:sz w:val="12"/>
                <w:szCs w:val="12"/>
                <w:i w:val="1"/>
                <w:iCs w:val="1"/>
                <w:color w:val="auto"/>
                <w:w w:val="89"/>
              </w:rPr>
              <w:t>(In thousands except share and per share data)</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00" w:type="dxa"/>
            <w:vAlign w:val="bottom"/>
          </w:tcPr>
          <w:p>
            <w:pPr>
              <w:jc w:val="center"/>
              <w:ind w:left="428"/>
              <w:spacing w:after="0"/>
              <w:rPr>
                <w:sz w:val="20"/>
                <w:szCs w:val="20"/>
                <w:color w:val="auto"/>
              </w:rPr>
            </w:pPr>
            <w:r>
              <w:rPr>
                <w:rFonts w:ascii="Arial" w:cs="Arial" w:eastAsia="Arial" w:hAnsi="Arial"/>
                <w:sz w:val="10"/>
                <w:szCs w:val="10"/>
                <w:b w:val="1"/>
                <w:bCs w:val="1"/>
                <w:color w:val="auto"/>
                <w:w w:val="84"/>
              </w:rPr>
              <w:t>June 30,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December 31,</w:t>
            </w:r>
          </w:p>
        </w:tc>
      </w:tr>
      <w:tr>
        <w:trPr>
          <w:trHeight w:val="113"/>
        </w:trPr>
        <w:tc>
          <w:tcPr>
            <w:tcW w:w="4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040" w:type="dxa"/>
            <w:vAlign w:val="bottom"/>
            <w:gridSpan w:val="2"/>
          </w:tcPr>
          <w:p>
            <w:pPr>
              <w:jc w:val="center"/>
              <w:ind w:left="4342"/>
              <w:spacing w:after="0" w:line="114" w:lineRule="exact"/>
              <w:rPr>
                <w:sz w:val="20"/>
                <w:szCs w:val="20"/>
                <w:color w:val="auto"/>
              </w:rPr>
            </w:pPr>
            <w:r>
              <w:rPr>
                <w:rFonts w:ascii="Arial" w:cs="Arial" w:eastAsia="Arial" w:hAnsi="Arial"/>
                <w:sz w:val="10"/>
                <w:szCs w:val="10"/>
                <w:b w:val="1"/>
                <w:bCs w:val="1"/>
                <w:color w:val="auto"/>
                <w:w w:val="89"/>
              </w:rPr>
              <w:t>2020</w:t>
            </w: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jc w:val="right"/>
              <w:ind w:right="641"/>
              <w:spacing w:after="0" w:line="114" w:lineRule="exact"/>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9"/>
                <w:szCs w:val="9"/>
                <w:color w:val="auto"/>
              </w:rPr>
            </w:pPr>
          </w:p>
        </w:tc>
      </w:tr>
      <w:tr>
        <w:trPr>
          <w:trHeight w:val="142"/>
        </w:trPr>
        <w:tc>
          <w:tcPr>
            <w:tcW w:w="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Assets</w:t>
            </w:r>
          </w:p>
        </w:tc>
        <w:tc>
          <w:tcPr>
            <w:tcW w:w="3400" w:type="dxa"/>
            <w:vAlign w:val="bottom"/>
            <w:tcBorders>
              <w:top w:val="single" w:sz="8" w:color="CFF0FC"/>
            </w:tcBorders>
            <w:shd w:val="clear" w:color="auto" w:fill="CFF0FC"/>
          </w:tcPr>
          <w:p>
            <w:pPr>
              <w:spacing w:after="0"/>
              <w:rPr>
                <w:sz w:val="12"/>
                <w:szCs w:val="12"/>
                <w:color w:val="auto"/>
              </w:rPr>
            </w:pPr>
          </w:p>
        </w:tc>
        <w:tc>
          <w:tcPr>
            <w:tcW w:w="394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center"/>
              <w:ind w:left="428"/>
              <w:spacing w:after="0"/>
              <w:rPr>
                <w:sz w:val="20"/>
                <w:szCs w:val="20"/>
                <w:color w:val="auto"/>
              </w:rPr>
            </w:pPr>
            <w:r>
              <w:rPr>
                <w:rFonts w:ascii="Arial" w:cs="Arial" w:eastAsia="Arial" w:hAnsi="Arial"/>
                <w:sz w:val="12"/>
                <w:szCs w:val="12"/>
                <w:b w:val="1"/>
                <w:bCs w:val="1"/>
                <w:color w:val="auto"/>
                <w:w w:val="92"/>
              </w:rPr>
              <w:t>(Unaudited)</w:t>
            </w:r>
          </w:p>
        </w:tc>
        <w:tc>
          <w:tcPr>
            <w:tcW w:w="4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Cash and cash equivalents</w:t>
            </w:r>
          </w:p>
        </w:tc>
        <w:tc>
          <w:tcPr>
            <w:tcW w:w="5040" w:type="dxa"/>
            <w:vAlign w:val="bottom"/>
            <w:gridSpan w:val="2"/>
            <w:shd w:val="clear" w:color="auto" w:fill="CFF0FC"/>
          </w:tcPr>
          <w:p>
            <w:pPr>
              <w:jc w:val="right"/>
              <w:ind w:right="988"/>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62,499</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20,733</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ind w:left="6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505</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w:t>
            </w:r>
          </w:p>
        </w:tc>
        <w:tc>
          <w:tcPr>
            <w:tcW w:w="120" w:type="dxa"/>
            <w:vAlign w:val="bottom"/>
            <w:tcBorders>
              <w:bottom w:val="single" w:sz="8" w:color="CFF0FC"/>
            </w:tcBorders>
          </w:tcPr>
          <w:p>
            <w:pPr>
              <w:spacing w:after="0"/>
              <w:rPr>
                <w:sz w:val="13"/>
                <w:szCs w:val="13"/>
                <w:color w:val="auto"/>
              </w:rPr>
            </w:pPr>
          </w:p>
        </w:tc>
      </w:tr>
      <w:tr>
        <w:trPr>
          <w:trHeight w:val="142"/>
        </w:trPr>
        <w:tc>
          <w:tcPr>
            <w:tcW w:w="420" w:type="dxa"/>
            <w:vAlign w:val="bottom"/>
            <w:shd w:val="clear" w:color="auto" w:fill="CFF0FC"/>
          </w:tcPr>
          <w:p>
            <w:pPr>
              <w:spacing w:after="0"/>
              <w:rPr>
                <w:sz w:val="12"/>
                <w:szCs w:val="12"/>
                <w:color w:val="auto"/>
              </w:rPr>
            </w:pPr>
          </w:p>
        </w:tc>
        <w:tc>
          <w:tcPr>
            <w:tcW w:w="3400" w:type="dxa"/>
            <w:vAlign w:val="bottom"/>
            <w:shd w:val="clear" w:color="auto" w:fill="CFF0FC"/>
          </w:tcPr>
          <w:p>
            <w:pPr>
              <w:ind w:left="220"/>
              <w:spacing w:after="0"/>
              <w:rPr>
                <w:sz w:val="20"/>
                <w:szCs w:val="20"/>
                <w:color w:val="auto"/>
              </w:rPr>
            </w:pPr>
            <w:r>
              <w:rPr>
                <w:rFonts w:ascii="Arial" w:cs="Arial" w:eastAsia="Arial" w:hAnsi="Arial"/>
                <w:sz w:val="12"/>
                <w:szCs w:val="12"/>
                <w:color w:val="auto"/>
              </w:rPr>
              <w:t>Total current assets</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63,004</w:t>
            </w: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21,144</w:t>
            </w:r>
          </w:p>
        </w:tc>
        <w:tc>
          <w:tcPr>
            <w:tcW w:w="120" w:type="dxa"/>
            <w:vAlign w:val="bottom"/>
            <w:shd w:val="clear" w:color="auto" w:fill="CFF0FC"/>
          </w:tcPr>
          <w:p>
            <w:pPr>
              <w:spacing w:after="0"/>
              <w:rPr>
                <w:sz w:val="12"/>
                <w:szCs w:val="12"/>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Long-term assets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Property and equipment, net</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2"/>
                <w:szCs w:val="12"/>
                <w:color w:val="auto"/>
              </w:rPr>
              <w:t>Operating lease right-of-use assets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265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398</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Finance lease right-of-use assets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2"/>
                <w:szCs w:val="12"/>
                <w:color w:val="auto"/>
              </w:rPr>
              <w:t>Intangible assets, net</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15,553</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16,525</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Other long-term assets</w:t>
            </w:r>
          </w:p>
        </w:tc>
        <w:tc>
          <w:tcPr>
            <w:tcW w:w="394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FF0FC"/>
          </w:tcPr>
          <w:p>
            <w:pPr>
              <w:spacing w:after="0"/>
              <w:rPr>
                <w:sz w:val="13"/>
                <w:szCs w:val="13"/>
                <w:color w:val="auto"/>
              </w:rPr>
            </w:pPr>
          </w:p>
        </w:tc>
      </w:tr>
      <w:tr>
        <w:trPr>
          <w:trHeight w:val="149"/>
        </w:trPr>
        <w:tc>
          <w:tcPr>
            <w:tcW w:w="420" w:type="dxa"/>
            <w:vAlign w:val="bottom"/>
          </w:tcPr>
          <w:p>
            <w:pPr>
              <w:spacing w:after="0"/>
              <w:rPr>
                <w:sz w:val="12"/>
                <w:szCs w:val="12"/>
                <w:color w:val="auto"/>
              </w:rPr>
            </w:pPr>
          </w:p>
        </w:tc>
        <w:tc>
          <w:tcPr>
            <w:tcW w:w="3400" w:type="dxa"/>
            <w:vAlign w:val="bottom"/>
          </w:tcPr>
          <w:p>
            <w:pPr>
              <w:ind w:left="220"/>
              <w:spacing w:after="0"/>
              <w:rPr>
                <w:sz w:val="20"/>
                <w:szCs w:val="20"/>
                <w:color w:val="auto"/>
              </w:rPr>
            </w:pPr>
            <w:r>
              <w:rPr>
                <w:rFonts w:ascii="Arial" w:cs="Arial" w:eastAsia="Arial" w:hAnsi="Arial"/>
                <w:sz w:val="12"/>
                <w:szCs w:val="12"/>
                <w:color w:val="auto"/>
              </w:rPr>
              <w:t>Total assets</w:t>
            </w:r>
          </w:p>
        </w:tc>
        <w:tc>
          <w:tcPr>
            <w:tcW w:w="5040" w:type="dxa"/>
            <w:vAlign w:val="bottom"/>
            <w:gridSpan w:val="2"/>
          </w:tcPr>
          <w:p>
            <w:pPr>
              <w:jc w:val="right"/>
              <w:ind w:right="988"/>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78,859</w:t>
            </w:r>
          </w:p>
        </w:tc>
        <w:tc>
          <w:tcPr>
            <w:tcW w:w="30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38,172</w:t>
            </w:r>
          </w:p>
        </w:tc>
        <w:tc>
          <w:tcPr>
            <w:tcW w:w="120" w:type="dxa"/>
            <w:vAlign w:val="bottom"/>
          </w:tcPr>
          <w:p>
            <w:pPr>
              <w:spacing w:after="0"/>
              <w:rPr>
                <w:sz w:val="12"/>
                <w:szCs w:val="12"/>
                <w:color w:val="auto"/>
              </w:rPr>
            </w:pPr>
          </w:p>
        </w:tc>
      </w:tr>
      <w:tr>
        <w:trPr>
          <w:trHeight w:val="153"/>
        </w:trPr>
        <w:tc>
          <w:tcPr>
            <w:tcW w:w="3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394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Accounts payable</w:t>
            </w:r>
          </w:p>
        </w:tc>
        <w:tc>
          <w:tcPr>
            <w:tcW w:w="5040" w:type="dxa"/>
            <w:vAlign w:val="bottom"/>
            <w:gridSpan w:val="2"/>
            <w:shd w:val="clear" w:color="auto" w:fill="CFF0FC"/>
          </w:tcPr>
          <w:p>
            <w:pPr>
              <w:jc w:val="right"/>
              <w:ind w:right="988"/>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3,657</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1,995</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2"/>
                <w:szCs w:val="12"/>
                <w:color w:val="auto"/>
              </w:rPr>
              <w:t>Accrued compensation</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520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283</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Accrued clinical trial site costs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3,444</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1,999</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2"/>
                <w:szCs w:val="12"/>
                <w:color w:val="auto"/>
              </w:rPr>
              <w:t>Operating lease liabilities</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298</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305</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444</w:t>
            </w:r>
          </w:p>
        </w:tc>
        <w:tc>
          <w:tcPr>
            <w:tcW w:w="30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w:t>
            </w:r>
          </w:p>
        </w:tc>
        <w:tc>
          <w:tcPr>
            <w:tcW w:w="120" w:type="dxa"/>
            <w:vAlign w:val="bottom"/>
            <w:shd w:val="clear" w:color="auto" w:fill="CFF0FC"/>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3400" w:type="dxa"/>
            <w:vAlign w:val="bottom"/>
          </w:tcPr>
          <w:p>
            <w:pPr>
              <w:ind w:left="220"/>
              <w:spacing w:after="0"/>
              <w:rPr>
                <w:sz w:val="20"/>
                <w:szCs w:val="20"/>
                <w:color w:val="auto"/>
              </w:rPr>
            </w:pPr>
            <w:r>
              <w:rPr>
                <w:rFonts w:ascii="Arial" w:cs="Arial" w:eastAsia="Arial" w:hAnsi="Arial"/>
                <w:sz w:val="12"/>
                <w:szCs w:val="12"/>
                <w:color w:val="auto"/>
              </w:rPr>
              <w:t>Total current liabilities</w:t>
            </w:r>
          </w:p>
        </w:tc>
        <w:tc>
          <w:tcPr>
            <w:tcW w:w="3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8,363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4,964</w:t>
            </w:r>
          </w:p>
        </w:tc>
        <w:tc>
          <w:tcPr>
            <w:tcW w:w="120" w:type="dxa"/>
            <w:vAlign w:val="bottom"/>
          </w:tcPr>
          <w:p>
            <w:pPr>
              <w:spacing w:after="0"/>
              <w:rPr>
                <w:sz w:val="12"/>
                <w:szCs w:val="12"/>
                <w:color w:val="auto"/>
              </w:rPr>
            </w:pPr>
          </w:p>
        </w:tc>
      </w:tr>
      <w:tr>
        <w:trPr>
          <w:trHeight w:val="153"/>
        </w:trPr>
        <w:tc>
          <w:tcPr>
            <w:tcW w:w="3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Long-term liabilities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2"/>
                <w:szCs w:val="12"/>
                <w:color w:val="auto"/>
              </w:rPr>
              <w:t>2017 PIPE Warrant liability</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4,230</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10,822</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2018 PIPE Warrant liability</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725</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w:t>
            </w:r>
          </w:p>
        </w:tc>
        <w:tc>
          <w:tcPr>
            <w:tcW w:w="120" w:type="dxa"/>
            <w:vAlign w:val="bottom"/>
            <w:shd w:val="clear" w:color="auto" w:fill="CFF0FC"/>
          </w:tcPr>
          <w:p>
            <w:pPr>
              <w:spacing w:after="0"/>
              <w:rPr>
                <w:sz w:val="13"/>
                <w:szCs w:val="13"/>
                <w:color w:val="auto"/>
              </w:rPr>
            </w:pPr>
          </w:p>
        </w:tc>
      </w:tr>
      <w:tr>
        <w:trPr>
          <w:trHeight w:val="153"/>
        </w:trPr>
        <w:tc>
          <w:tcPr>
            <w:tcW w:w="420" w:type="dxa"/>
            <w:vAlign w:val="bottom"/>
          </w:tcPr>
          <w:p>
            <w:pPr>
              <w:spacing w:after="0"/>
              <w:rPr>
                <w:sz w:val="13"/>
                <w:szCs w:val="13"/>
                <w:color w:val="auto"/>
              </w:rPr>
            </w:pPr>
          </w:p>
        </w:tc>
        <w:tc>
          <w:tcPr>
            <w:tcW w:w="3400" w:type="dxa"/>
            <w:vAlign w:val="bottom"/>
          </w:tcPr>
          <w:p>
            <w:pPr>
              <w:ind w:left="60"/>
              <w:spacing w:after="0"/>
              <w:rPr>
                <w:sz w:val="20"/>
                <w:szCs w:val="20"/>
                <w:color w:val="auto"/>
              </w:rPr>
            </w:pPr>
            <w:r>
              <w:rPr>
                <w:rFonts w:ascii="Arial" w:cs="Arial" w:eastAsia="Arial" w:hAnsi="Arial"/>
                <w:sz w:val="12"/>
                <w:szCs w:val="12"/>
                <w:color w:val="auto"/>
              </w:rPr>
              <w:t>Contingent liability for Essentialis purchase price</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9,364</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5,938</w:t>
            </w:r>
          </w:p>
        </w:tc>
        <w:tc>
          <w:tcPr>
            <w:tcW w:w="120" w:type="dxa"/>
            <w:vAlign w:val="bottom"/>
          </w:tcPr>
          <w:p>
            <w:pPr>
              <w:spacing w:after="0"/>
              <w:rPr>
                <w:sz w:val="13"/>
                <w:szCs w:val="13"/>
                <w:color w:val="auto"/>
              </w:rPr>
            </w:pPr>
          </w:p>
        </w:tc>
      </w:tr>
      <w:tr>
        <w:trPr>
          <w:trHeight w:val="153"/>
        </w:trPr>
        <w:tc>
          <w:tcPr>
            <w:tcW w:w="420" w:type="dxa"/>
            <w:vAlign w:val="bottom"/>
            <w:shd w:val="clear" w:color="auto" w:fill="CFF0FC"/>
          </w:tcPr>
          <w:p>
            <w:pPr>
              <w:spacing w:after="0"/>
              <w:rPr>
                <w:sz w:val="13"/>
                <w:szCs w:val="13"/>
                <w:color w:val="auto"/>
              </w:rPr>
            </w:pPr>
          </w:p>
        </w:tc>
        <w:tc>
          <w:tcPr>
            <w:tcW w:w="3400" w:type="dxa"/>
            <w:vAlign w:val="bottom"/>
            <w:shd w:val="clear" w:color="auto" w:fill="CFF0FC"/>
          </w:tcPr>
          <w:p>
            <w:pPr>
              <w:ind w:left="60"/>
              <w:spacing w:after="0"/>
              <w:rPr>
                <w:sz w:val="20"/>
                <w:szCs w:val="20"/>
                <w:color w:val="auto"/>
              </w:rPr>
            </w:pPr>
            <w:r>
              <w:rPr>
                <w:rFonts w:ascii="Arial" w:cs="Arial" w:eastAsia="Arial" w:hAnsi="Arial"/>
                <w:sz w:val="12"/>
                <w:szCs w:val="12"/>
                <w:color w:val="auto"/>
              </w:rPr>
              <w:t>Other long-term liabilities</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w:t>
            </w:r>
          </w:p>
        </w:tc>
        <w:tc>
          <w:tcPr>
            <w:tcW w:w="120" w:type="dxa"/>
            <w:vAlign w:val="bottom"/>
            <w:shd w:val="clear" w:color="auto" w:fill="CFF0FC"/>
          </w:tcPr>
          <w:p>
            <w:pPr>
              <w:spacing w:after="0"/>
              <w:rPr>
                <w:sz w:val="13"/>
                <w:szCs w:val="13"/>
                <w:color w:val="auto"/>
              </w:rPr>
            </w:pPr>
          </w:p>
        </w:tc>
      </w:tr>
      <w:tr>
        <w:trPr>
          <w:trHeight w:val="142"/>
        </w:trPr>
        <w:tc>
          <w:tcPr>
            <w:tcW w:w="420" w:type="dxa"/>
            <w:vAlign w:val="bottom"/>
            <w:tcBorders>
              <w:bottom w:val="single" w:sz="8" w:color="CFF0FC"/>
            </w:tcBorders>
          </w:tcPr>
          <w:p>
            <w:pPr>
              <w:spacing w:after="0"/>
              <w:rPr>
                <w:sz w:val="12"/>
                <w:szCs w:val="12"/>
                <w:color w:val="auto"/>
              </w:rPr>
            </w:pPr>
          </w:p>
        </w:tc>
        <w:tc>
          <w:tcPr>
            <w:tcW w:w="3400" w:type="dxa"/>
            <w:vAlign w:val="bottom"/>
            <w:tcBorders>
              <w:bottom w:val="single" w:sz="8" w:color="CFF0FC"/>
            </w:tcBorders>
          </w:tcPr>
          <w:p>
            <w:pPr>
              <w:ind w:left="220"/>
              <w:spacing w:after="0"/>
              <w:rPr>
                <w:sz w:val="20"/>
                <w:szCs w:val="20"/>
                <w:color w:val="auto"/>
              </w:rPr>
            </w:pPr>
            <w:r>
              <w:rPr>
                <w:rFonts w:ascii="Arial" w:cs="Arial" w:eastAsia="Arial" w:hAnsi="Arial"/>
                <w:sz w:val="12"/>
                <w:szCs w:val="12"/>
                <w:color w:val="auto"/>
              </w:rPr>
              <w:t>Total liabilities</w:t>
            </w:r>
          </w:p>
        </w:tc>
        <w:tc>
          <w:tcPr>
            <w:tcW w:w="394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22,682</w:t>
            </w:r>
          </w:p>
        </w:tc>
        <w:tc>
          <w:tcPr>
            <w:tcW w:w="30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23,225</w:t>
            </w:r>
          </w:p>
        </w:tc>
        <w:tc>
          <w:tcPr>
            <w:tcW w:w="120" w:type="dxa"/>
            <w:vAlign w:val="bottom"/>
            <w:tcBorders>
              <w:bottom w:val="single" w:sz="8" w:color="CFF0FC"/>
            </w:tcBorders>
          </w:tcPr>
          <w:p>
            <w:pPr>
              <w:spacing w:after="0"/>
              <w:rPr>
                <w:sz w:val="12"/>
                <w:szCs w:val="12"/>
                <w:color w:val="auto"/>
              </w:rPr>
            </w:pPr>
          </w:p>
        </w:tc>
      </w:tr>
      <w:tr>
        <w:trPr>
          <w:trHeight w:val="142"/>
        </w:trPr>
        <w:tc>
          <w:tcPr>
            <w:tcW w:w="3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Commitments and contingencies (Note 6)</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Stockholders’ equity</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3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Common stock, $0.001 par value, 100,000,000 shares authorized,</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38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79,560,274 and 44,658,054 shares issued and outstanding at</w:t>
            </w:r>
          </w:p>
        </w:tc>
        <w:tc>
          <w:tcPr>
            <w:tcW w:w="39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3"/>
        </w:trPr>
        <w:tc>
          <w:tcPr>
            <w:tcW w:w="382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June 30, 2020 and December 31, 2019, respectively.</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w:t>
            </w: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FF0FC"/>
          </w:tcPr>
          <w:p>
            <w:pPr>
              <w:spacing w:after="0"/>
              <w:rPr>
                <w:sz w:val="13"/>
                <w:szCs w:val="13"/>
                <w:color w:val="auto"/>
              </w:rPr>
            </w:pPr>
          </w:p>
        </w:tc>
      </w:tr>
      <w:tr>
        <w:trPr>
          <w:trHeight w:val="153"/>
        </w:trPr>
        <w:tc>
          <w:tcPr>
            <w:tcW w:w="3820" w:type="dxa"/>
            <w:vAlign w:val="bottom"/>
            <w:gridSpan w:val="2"/>
          </w:tcPr>
          <w:p>
            <w:pPr>
              <w:spacing w:after="0"/>
              <w:rPr>
                <w:sz w:val="20"/>
                <w:szCs w:val="20"/>
                <w:color w:val="auto"/>
              </w:rPr>
            </w:pPr>
            <w:r>
              <w:rPr>
                <w:rFonts w:ascii="Arial" w:cs="Arial" w:eastAsia="Arial" w:hAnsi="Arial"/>
                <w:sz w:val="12"/>
                <w:szCs w:val="12"/>
                <w:color w:val="auto"/>
              </w:rPr>
              <w:t>Additional paid-in-capital</w:t>
            </w:r>
          </w:p>
        </w:tc>
        <w:tc>
          <w:tcPr>
            <w:tcW w:w="3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227,145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172,708</w:t>
            </w:r>
          </w:p>
        </w:tc>
        <w:tc>
          <w:tcPr>
            <w:tcW w:w="120" w:type="dxa"/>
            <w:vAlign w:val="bottom"/>
          </w:tcPr>
          <w:p>
            <w:pPr>
              <w:spacing w:after="0"/>
              <w:rPr>
                <w:sz w:val="13"/>
                <w:szCs w:val="13"/>
                <w:color w:val="auto"/>
              </w:rPr>
            </w:pPr>
          </w:p>
        </w:tc>
      </w:tr>
      <w:tr>
        <w:trPr>
          <w:trHeight w:val="153"/>
        </w:trPr>
        <w:tc>
          <w:tcPr>
            <w:tcW w:w="38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Accumulated deficit</w:t>
            </w:r>
          </w:p>
        </w:tc>
        <w:tc>
          <w:tcPr>
            <w:tcW w:w="39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w w:val="93"/>
              </w:rPr>
              <w:t>(171,048)</w:t>
            </w:r>
          </w:p>
        </w:tc>
        <w:tc>
          <w:tcPr>
            <w:tcW w:w="28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(157,806)</w:t>
            </w:r>
          </w:p>
        </w:tc>
      </w:tr>
      <w:tr>
        <w:trPr>
          <w:trHeight w:val="142"/>
        </w:trPr>
        <w:tc>
          <w:tcPr>
            <w:tcW w:w="3820" w:type="dxa"/>
            <w:vAlign w:val="bottom"/>
            <w:tcBorders>
              <w:bottom w:val="single" w:sz="8" w:color="CFF0FC"/>
            </w:tcBorders>
            <w:gridSpan w:val="2"/>
          </w:tcPr>
          <w:p>
            <w:pPr>
              <w:ind w:left="320"/>
              <w:spacing w:after="0"/>
              <w:rPr>
                <w:sz w:val="20"/>
                <w:szCs w:val="20"/>
                <w:color w:val="auto"/>
              </w:rPr>
            </w:pPr>
            <w:r>
              <w:rPr>
                <w:rFonts w:ascii="Arial" w:cs="Arial" w:eastAsia="Arial" w:hAnsi="Arial"/>
                <w:sz w:val="12"/>
                <w:szCs w:val="12"/>
                <w:color w:val="auto"/>
              </w:rPr>
              <w:t>Total stockholders’ equity</w:t>
            </w:r>
          </w:p>
        </w:tc>
        <w:tc>
          <w:tcPr>
            <w:tcW w:w="394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56,177</w:t>
            </w:r>
          </w:p>
        </w:tc>
        <w:tc>
          <w:tcPr>
            <w:tcW w:w="30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14,947</w:t>
            </w:r>
          </w:p>
        </w:tc>
        <w:tc>
          <w:tcPr>
            <w:tcW w:w="120" w:type="dxa"/>
            <w:vAlign w:val="bottom"/>
            <w:tcBorders>
              <w:bottom w:val="single" w:sz="8" w:color="CFF0FC"/>
            </w:tcBorders>
          </w:tcPr>
          <w:p>
            <w:pPr>
              <w:spacing w:after="0"/>
              <w:rPr>
                <w:sz w:val="12"/>
                <w:szCs w:val="12"/>
                <w:color w:val="auto"/>
              </w:rPr>
            </w:pPr>
          </w:p>
        </w:tc>
      </w:tr>
      <w:tr>
        <w:trPr>
          <w:trHeight w:val="149"/>
        </w:trPr>
        <w:tc>
          <w:tcPr>
            <w:tcW w:w="3820" w:type="dxa"/>
            <w:vAlign w:val="bottom"/>
            <w:tcBorders>
              <w:bottom w:val="single" w:sz="8" w:color="CFF0FC"/>
            </w:tcBorders>
            <w:gridSpan w:val="2"/>
            <w:shd w:val="clear" w:color="auto" w:fill="CFF0FC"/>
          </w:tcPr>
          <w:p>
            <w:pPr>
              <w:ind w:left="320"/>
              <w:spacing w:after="0"/>
              <w:rPr>
                <w:sz w:val="20"/>
                <w:szCs w:val="20"/>
                <w:color w:val="auto"/>
              </w:rPr>
            </w:pPr>
            <w:r>
              <w:rPr>
                <w:rFonts w:ascii="Arial" w:cs="Arial" w:eastAsia="Arial" w:hAnsi="Arial"/>
                <w:sz w:val="12"/>
                <w:szCs w:val="12"/>
                <w:color w:val="auto"/>
              </w:rPr>
              <w:t>Total liabilities and stockholders’ equity</w:t>
            </w:r>
          </w:p>
        </w:tc>
        <w:tc>
          <w:tcPr>
            <w:tcW w:w="394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98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78,859</w:t>
            </w:r>
          </w:p>
        </w:tc>
        <w:tc>
          <w:tcPr>
            <w:tcW w:w="3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38,172</w:t>
            </w:r>
          </w:p>
        </w:tc>
        <w:tc>
          <w:tcPr>
            <w:tcW w:w="120" w:type="dxa"/>
            <w:vAlign w:val="bottom"/>
            <w:tcBorders>
              <w:bottom w:val="single" w:sz="8" w:color="CFF0FC"/>
            </w:tcBorders>
            <w:shd w:val="clear" w:color="auto" w:fill="CFF0FC"/>
          </w:tcPr>
          <w:p>
            <w:pPr>
              <w:spacing w:after="0"/>
              <w:rPr>
                <w:sz w:val="12"/>
                <w:szCs w:val="12"/>
                <w:color w:val="auto"/>
              </w:rPr>
            </w:pPr>
          </w:p>
        </w:tc>
      </w:tr>
    </w:tbl>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3"/>
          </w:tcPr>
          <w:p>
            <w:pPr>
              <w:jc w:val="right"/>
              <w:ind w:right="72"/>
              <w:spacing w:after="0"/>
              <w:rPr>
                <w:sz w:val="20"/>
                <w:szCs w:val="20"/>
                <w:color w:val="auto"/>
              </w:rPr>
            </w:pPr>
            <w:r>
              <w:rPr>
                <w:rFonts w:ascii="Arial" w:cs="Arial" w:eastAsia="Arial" w:hAnsi="Arial"/>
                <w:sz w:val="10"/>
                <w:szCs w:val="10"/>
                <w:b w:val="1"/>
                <w:bCs w:val="1"/>
                <w:color w:val="auto"/>
              </w:rPr>
              <w:t>Six Months Ended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8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3"/>
          </w:tcPr>
          <w:p>
            <w:pPr>
              <w:jc w:val="right"/>
              <w:ind w:right="292"/>
              <w:spacing w:after="0" w:line="114" w:lineRule="exact"/>
              <w:rPr>
                <w:sz w:val="20"/>
                <w:szCs w:val="20"/>
                <w:color w:val="auto"/>
              </w:rPr>
            </w:pPr>
            <w:r>
              <w:rPr>
                <w:rFonts w:ascii="Arial" w:cs="Arial" w:eastAsia="Arial" w:hAnsi="Arial"/>
                <w:sz w:val="10"/>
                <w:szCs w:val="10"/>
                <w:b w:val="1"/>
                <w:bCs w:val="1"/>
                <w:color w:val="auto"/>
              </w:rPr>
              <w:t>June 30,</w:t>
            </w:r>
          </w:p>
        </w:tc>
        <w:tc>
          <w:tcPr>
            <w:tcW w:w="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gridSpan w:val="3"/>
          </w:tcPr>
          <w:p>
            <w:pPr>
              <w:jc w:val="right"/>
              <w:ind w:right="272"/>
              <w:spacing w:after="0" w:line="114" w:lineRule="exact"/>
              <w:rPr>
                <w:sz w:val="20"/>
                <w:szCs w:val="20"/>
                <w:color w:val="auto"/>
              </w:rPr>
            </w:pPr>
            <w:r>
              <w:rPr>
                <w:rFonts w:ascii="Arial" w:cs="Arial" w:eastAsia="Arial" w:hAnsi="Arial"/>
                <w:sz w:val="10"/>
                <w:szCs w:val="10"/>
                <w:b w:val="1"/>
                <w:bCs w:val="1"/>
                <w:color w:val="auto"/>
              </w:rPr>
              <w:t>June 30,</w:t>
            </w: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86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22"/>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2019</w:t>
            </w:r>
          </w:p>
        </w:tc>
        <w:tc>
          <w:tcPr>
            <w:tcW w:w="2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442"/>
              <w:spacing w:after="0" w:line="97"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21"/>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6,103</w:t>
            </w:r>
          </w:p>
        </w:tc>
        <w:tc>
          <w:tcPr>
            <w:tcW w:w="24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3,745</w:t>
            </w:r>
          </w:p>
        </w:tc>
        <w:tc>
          <w:tcPr>
            <w:tcW w:w="24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12,798</w:t>
            </w:r>
          </w:p>
        </w:tc>
        <w:tc>
          <w:tcPr>
            <w:tcW w:w="24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6,505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2,248</w:t>
            </w:r>
          </w:p>
        </w:tc>
        <w:tc>
          <w:tcPr>
            <w:tcW w:w="2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1,695</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4,251</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Change in fair value of contingent consideration</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2,842</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3,426</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operating expenses</w:t>
            </w:r>
          </w:p>
        </w:tc>
        <w:tc>
          <w:tcPr>
            <w:tcW w:w="26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11,193</w:t>
            </w:r>
          </w:p>
        </w:tc>
        <w:tc>
          <w:tcPr>
            <w:tcW w:w="24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5,623</w:t>
            </w:r>
          </w:p>
        </w:tc>
        <w:tc>
          <w:tcPr>
            <w:tcW w:w="24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20,475</w:t>
            </w:r>
          </w:p>
        </w:tc>
        <w:tc>
          <w:tcPr>
            <w:tcW w:w="24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20"/>
                <w:szCs w:val="20"/>
                <w:color w:val="auto"/>
              </w:rPr>
            </w:pPr>
            <w:r>
              <w:rPr>
                <w:rFonts w:ascii="Arial" w:cs="Arial" w:eastAsia="Arial" w:hAnsi="Arial"/>
                <w:sz w:val="12"/>
                <w:szCs w:val="12"/>
                <w:color w:val="auto"/>
              </w:rPr>
              <w:t>Operating loss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(11,193)</w:t>
            </w:r>
          </w:p>
        </w:tc>
        <w:tc>
          <w:tcPr>
            <w:tcW w:w="4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(5,623)</w:t>
            </w: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(20,475)</w:t>
            </w:r>
          </w:p>
        </w:tc>
        <w:tc>
          <w:tcPr>
            <w:tcW w:w="360" w:type="dxa"/>
            <w:vAlign w:val="bottom"/>
          </w:tcPr>
          <w:p>
            <w:pPr>
              <w:spacing w:after="0"/>
              <w:rPr>
                <w:sz w:val="12"/>
                <w:szCs w:val="1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(10,601)</w:t>
            </w:r>
          </w:p>
        </w:tc>
        <w:tc>
          <w:tcPr>
            <w:tcW w:w="0" w:type="dxa"/>
            <w:vAlign w:val="bottom"/>
          </w:tcPr>
          <w:p>
            <w:pPr>
              <w:spacing w:after="0"/>
              <w:rPr>
                <w:sz w:val="1"/>
                <w:szCs w:val="1"/>
                <w:color w:val="auto"/>
              </w:rPr>
            </w:pPr>
          </w:p>
        </w:tc>
      </w:tr>
      <w:tr>
        <w:trPr>
          <w:trHeight w:val="142"/>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Other income (expense)</w:t>
            </w: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Change in fair value of warrants liabilities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3,808</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(4,267)</w:t>
            </w: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7,221</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(6,186)</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from minority interest investment</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(165)</w:t>
            </w:r>
          </w:p>
        </w:tc>
        <w:tc>
          <w:tcPr>
            <w:tcW w:w="2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(355)</w:t>
            </w:r>
          </w:p>
        </w:tc>
        <w:tc>
          <w:tcPr>
            <w:tcW w:w="0" w:type="dxa"/>
            <w:vAlign w:val="bottom"/>
          </w:tcPr>
          <w:p>
            <w:pPr>
              <w:spacing w:after="0"/>
              <w:rPr>
                <w:sz w:val="1"/>
                <w:szCs w:val="1"/>
                <w:color w:val="auto"/>
              </w:rPr>
            </w:pPr>
          </w:p>
        </w:tc>
      </w:tr>
      <w:tr>
        <w:trPr>
          <w:trHeight w:val="153"/>
        </w:trPr>
        <w:tc>
          <w:tcPr>
            <w:tcW w:w="58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Interest income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other income (expense)</w:t>
            </w: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3,809</w:t>
            </w:r>
          </w:p>
        </w:tc>
        <w:tc>
          <w:tcPr>
            <w:tcW w:w="2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(4,385)</w:t>
            </w: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7,233</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(6,437)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(7,384)</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(10,008)</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(13,242)</w:t>
            </w: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2"/>
                <w:szCs w:val="12"/>
                <w:color w:val="auto"/>
              </w:rPr>
              <w:t>(17,038)</w:t>
            </w:r>
          </w:p>
        </w:tc>
        <w:tc>
          <w:tcPr>
            <w:tcW w:w="0" w:type="dxa"/>
            <w:vAlign w:val="bottom"/>
          </w:tcPr>
          <w:p>
            <w:pPr>
              <w:spacing w:after="0"/>
              <w:rPr>
                <w:sz w:val="1"/>
                <w:szCs w:val="1"/>
                <w:color w:val="auto"/>
              </w:rPr>
            </w:pPr>
          </w:p>
        </w:tc>
      </w:tr>
      <w:tr>
        <w:trPr>
          <w:trHeight w:val="27"/>
        </w:trPr>
        <w:tc>
          <w:tcPr>
            <w:tcW w:w="58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per common share, basic and diluted</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86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(0.16)</w:t>
            </w: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(0.31)</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(0.29)</w:t>
            </w:r>
          </w:p>
        </w:tc>
        <w:tc>
          <w:tcPr>
            <w:tcW w:w="360" w:type="dxa"/>
            <w:vAlign w:val="bottom"/>
            <w:shd w:val="clear" w:color="auto" w:fill="CFF0FC"/>
          </w:tcPr>
          <w:p>
            <w:pPr>
              <w:jc w:val="right"/>
              <w:ind w:right="25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(0.54)</w:t>
            </w:r>
          </w:p>
        </w:tc>
        <w:tc>
          <w:tcPr>
            <w:tcW w:w="0" w:type="dxa"/>
            <w:vAlign w:val="bottom"/>
          </w:tcPr>
          <w:p>
            <w:pPr>
              <w:spacing w:after="0"/>
              <w:rPr>
                <w:sz w:val="1"/>
                <w:szCs w:val="1"/>
                <w:color w:val="auto"/>
              </w:rPr>
            </w:pPr>
          </w:p>
        </w:tc>
      </w:tr>
      <w:tr>
        <w:trPr>
          <w:trHeight w:val="131"/>
        </w:trPr>
        <w:tc>
          <w:tcPr>
            <w:tcW w:w="5860" w:type="dxa"/>
            <w:vAlign w:val="bottom"/>
            <w:tcBorders>
              <w:top w:val="single" w:sz="8" w:color="CFF0FC"/>
            </w:tcBorders>
          </w:tcPr>
          <w:p>
            <w:pPr>
              <w:spacing w:after="0" w:line="132" w:lineRule="exact"/>
              <w:rPr>
                <w:sz w:val="20"/>
                <w:szCs w:val="20"/>
                <w:color w:val="auto"/>
              </w:rPr>
            </w:pPr>
            <w:r>
              <w:rPr>
                <w:rFonts w:ascii="Arial" w:cs="Arial" w:eastAsia="Arial" w:hAnsi="Arial"/>
                <w:sz w:val="12"/>
                <w:szCs w:val="12"/>
                <w:color w:val="auto"/>
              </w:rPr>
              <w:t>Weighted-average common shares outstanding used to calculate basic and</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860" w:type="dxa"/>
            <w:vAlign w:val="bottom"/>
          </w:tcPr>
          <w:p>
            <w:pPr>
              <w:ind w:left="80"/>
              <w:spacing w:after="0"/>
              <w:rPr>
                <w:sz w:val="20"/>
                <w:szCs w:val="20"/>
                <w:color w:val="auto"/>
              </w:rPr>
            </w:pPr>
            <w:r>
              <w:rPr>
                <w:rFonts w:ascii="Arial" w:cs="Arial" w:eastAsia="Arial" w:hAnsi="Arial"/>
                <w:sz w:val="12"/>
                <w:szCs w:val="12"/>
                <w:color w:val="auto"/>
              </w:rPr>
              <w:t>diluted net loss per common share</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46,236,209</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31,776,951</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45,458,034</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31,766,593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80"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Stockholders’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Three and Six Months Ended June 30, 2020 and 2019</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Additional</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13"/>
        </w:trPr>
        <w:tc>
          <w:tcPr>
            <w:tcW w:w="5220" w:type="dxa"/>
            <w:vAlign w:val="bottom"/>
          </w:tcPr>
          <w:p>
            <w:pPr>
              <w:spacing w:after="0"/>
              <w:rPr>
                <w:sz w:val="9"/>
                <w:szCs w:val="9"/>
                <w:color w:val="auto"/>
              </w:rPr>
            </w:pPr>
          </w:p>
        </w:tc>
        <w:tc>
          <w:tcPr>
            <w:tcW w:w="2020" w:type="dxa"/>
            <w:vAlign w:val="bottom"/>
            <w:gridSpan w:val="3"/>
          </w:tcPr>
          <w:p>
            <w:pPr>
              <w:jc w:val="right"/>
              <w:ind w:right="53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9"/>
                <w:szCs w:val="9"/>
                <w:color w:val="auto"/>
              </w:rPr>
            </w:pPr>
          </w:p>
        </w:tc>
        <w:tc>
          <w:tcPr>
            <w:tcW w:w="10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97"/>
        </w:trPr>
        <w:tc>
          <w:tcPr>
            <w:tcW w:w="5220" w:type="dxa"/>
            <w:vAlign w:val="bottom"/>
            <w:tcBorders>
              <w:bottom w:val="single" w:sz="8" w:color="CFF0FC"/>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323"/>
              <w:spacing w:after="0" w:line="97" w:lineRule="exact"/>
              <w:rPr>
                <w:sz w:val="20"/>
                <w:szCs w:val="20"/>
                <w:color w:val="auto"/>
              </w:rPr>
            </w:pPr>
            <w:r>
              <w:rPr>
                <w:rFonts w:ascii="Arial" w:cs="Arial" w:eastAsia="Arial" w:hAnsi="Arial"/>
                <w:sz w:val="10"/>
                <w:szCs w:val="10"/>
                <w:b w:val="1"/>
                <w:bCs w:val="1"/>
                <w:color w:val="auto"/>
              </w:rPr>
              <w:t>Shares</w:t>
            </w:r>
          </w:p>
        </w:tc>
        <w:tc>
          <w:tcPr>
            <w:tcW w:w="220" w:type="dxa"/>
            <w:vAlign w:val="bottom"/>
            <w:tcBorders>
              <w:top w:val="single" w:sz="8" w:color="auto"/>
              <w:bottom w:val="single" w:sz="8" w:color="CFF0FC"/>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top w:val="single" w:sz="8" w:color="auto"/>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center"/>
              <w:ind w:right="124"/>
              <w:spacing w:after="0" w:line="97" w:lineRule="exact"/>
              <w:rPr>
                <w:sz w:val="20"/>
                <w:szCs w:val="20"/>
                <w:color w:val="auto"/>
              </w:rPr>
            </w:pPr>
            <w:r>
              <w:rPr>
                <w:rFonts w:ascii="Arial" w:cs="Arial" w:eastAsia="Arial" w:hAnsi="Arial"/>
                <w:sz w:val="10"/>
                <w:szCs w:val="10"/>
                <w:b w:val="1"/>
                <w:bCs w:val="1"/>
                <w:color w:val="auto"/>
                <w:w w:val="89"/>
              </w:rPr>
              <w:t>Capital</w:t>
            </w:r>
          </w:p>
        </w:tc>
        <w:tc>
          <w:tcPr>
            <w:tcW w:w="220" w:type="dxa"/>
            <w:vAlign w:val="bottom"/>
            <w:tcBorders>
              <w:bottom w:val="single" w:sz="8" w:color="CFF0FC"/>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center"/>
              <w:ind w:right="103"/>
              <w:spacing w:after="0" w:line="97" w:lineRule="exact"/>
              <w:rPr>
                <w:sz w:val="20"/>
                <w:szCs w:val="20"/>
                <w:color w:val="auto"/>
              </w:rPr>
            </w:pPr>
            <w:r>
              <w:rPr>
                <w:rFonts w:ascii="Arial" w:cs="Arial" w:eastAsia="Arial" w:hAnsi="Arial"/>
                <w:sz w:val="10"/>
                <w:szCs w:val="10"/>
                <w:b w:val="1"/>
                <w:bCs w:val="1"/>
                <w:color w:val="auto"/>
                <w:w w:val="84"/>
              </w:rPr>
              <w:t>Deficit</w:t>
            </w:r>
          </w:p>
        </w:tc>
        <w:tc>
          <w:tcPr>
            <w:tcW w:w="220" w:type="dxa"/>
            <w:vAlign w:val="bottom"/>
            <w:tcBorders>
              <w:bottom w:val="single" w:sz="8" w:color="CFF0FC"/>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center"/>
              <w:ind w:right="83"/>
              <w:spacing w:after="0" w:line="97" w:lineRule="exact"/>
              <w:rPr>
                <w:sz w:val="20"/>
                <w:szCs w:val="20"/>
                <w:color w:val="auto"/>
              </w:rPr>
            </w:pPr>
            <w:r>
              <w:rPr>
                <w:rFonts w:ascii="Arial" w:cs="Arial" w:eastAsia="Arial" w:hAnsi="Arial"/>
                <w:sz w:val="10"/>
                <w:szCs w:val="10"/>
                <w:b w:val="1"/>
                <w:bCs w:val="1"/>
                <w:color w:val="auto"/>
                <w:w w:val="84"/>
              </w:rPr>
              <w:t>Equity</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Balances at January 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44,658,054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172,708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(157,806)</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28,757</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Net loss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(5,858)</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(5,858)</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Balances at March 31, 2020</w:t>
            </w: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44,686,811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173,100</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(163,664)</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9,481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24,979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Sale of common stock in public offering, net of costs of $3,778</w:t>
            </w:r>
          </w:p>
        </w:tc>
        <w:tc>
          <w:tcPr>
            <w:tcW w:w="1020" w:type="dxa"/>
            <w:vAlign w:val="bottom"/>
          </w:tcPr>
          <w:p>
            <w:pPr>
              <w:jc w:val="right"/>
              <w:spacing w:after="0"/>
              <w:rPr>
                <w:sz w:val="20"/>
                <w:szCs w:val="20"/>
                <w:color w:val="auto"/>
              </w:rPr>
            </w:pPr>
            <w:r>
              <w:rPr>
                <w:rFonts w:ascii="Arial" w:cs="Arial" w:eastAsia="Arial" w:hAnsi="Arial"/>
                <w:sz w:val="12"/>
                <w:szCs w:val="12"/>
                <w:color w:val="auto"/>
              </w:rPr>
              <w:t>34,848,484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53,687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53,722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w:t>
            </w: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(7,384)</w:t>
            </w: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(7,384)</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160"/>
              <w:spacing w:after="0"/>
              <w:rPr>
                <w:sz w:val="20"/>
                <w:szCs w:val="20"/>
                <w:color w:val="auto"/>
              </w:rPr>
            </w:pPr>
            <w:r>
              <w:rPr>
                <w:rFonts w:ascii="Arial" w:cs="Arial" w:eastAsia="Arial" w:hAnsi="Arial"/>
                <w:sz w:val="12"/>
                <w:szCs w:val="12"/>
                <w:color w:val="auto"/>
              </w:rPr>
              <w:t>Balances at June 30, 2020</w:t>
            </w: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20" w:type="dxa"/>
            <w:vAlign w:val="bottom"/>
            <w:vMerge w:val="continue"/>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79,560,274</w:t>
            </w:r>
          </w:p>
        </w:tc>
        <w:tc>
          <w:tcPr>
            <w:tcW w:w="220" w:type="dxa"/>
            <w:vAlign w:val="bottom"/>
          </w:tcPr>
          <w:p>
            <w:pPr>
              <w:spacing w:after="0"/>
              <w:rPr>
                <w:sz w:val="12"/>
                <w:szCs w:val="12"/>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80</w:t>
            </w:r>
          </w:p>
        </w:tc>
        <w:tc>
          <w:tcPr>
            <w:tcW w:w="2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227,145</w:t>
            </w:r>
          </w:p>
        </w:tc>
        <w:tc>
          <w:tcPr>
            <w:tcW w:w="22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(171,048)</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56,177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3"/>
        </w:trPr>
        <w:tc>
          <w:tcPr>
            <w:tcW w:w="5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89"/>
              </w:rPr>
              <w:t>Additional</w:t>
            </w: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20" w:type="dxa"/>
            <w:vAlign w:val="bottom"/>
          </w:tcPr>
          <w:p>
            <w:pPr>
              <w:spacing w:after="0"/>
              <w:rPr>
                <w:sz w:val="9"/>
                <w:szCs w:val="9"/>
                <w:color w:val="auto"/>
              </w:rPr>
            </w:pPr>
          </w:p>
        </w:tc>
        <w:tc>
          <w:tcPr>
            <w:tcW w:w="2020" w:type="dxa"/>
            <w:vAlign w:val="bottom"/>
            <w:tcBorders>
              <w:bottom w:val="single" w:sz="8" w:color="auto"/>
            </w:tcBorders>
            <w:gridSpan w:val="3"/>
          </w:tcPr>
          <w:p>
            <w:pPr>
              <w:jc w:val="right"/>
              <w:ind w:right="532"/>
              <w:spacing w:after="0" w:line="114" w:lineRule="exact"/>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95"/>
              </w:rPr>
              <w:t>Paid-In</w:t>
            </w:r>
          </w:p>
        </w:tc>
        <w:tc>
          <w:tcPr>
            <w:tcW w:w="160" w:type="dxa"/>
            <w:vAlign w:val="bottom"/>
          </w:tcPr>
          <w:p>
            <w:pPr>
              <w:spacing w:after="0"/>
              <w:rPr>
                <w:sz w:val="9"/>
                <w:szCs w:val="9"/>
                <w:color w:val="auto"/>
              </w:rPr>
            </w:pPr>
          </w:p>
        </w:tc>
        <w:tc>
          <w:tcPr>
            <w:tcW w:w="108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85"/>
              </w:rPr>
              <w:t>Accumulated</w:t>
            </w:r>
          </w:p>
        </w:tc>
        <w:tc>
          <w:tcPr>
            <w:tcW w:w="140" w:type="dxa"/>
            <w:vAlign w:val="bottom"/>
          </w:tcPr>
          <w:p>
            <w:pPr>
              <w:spacing w:after="0"/>
              <w:rPr>
                <w:sz w:val="9"/>
                <w:szCs w:val="9"/>
                <w:color w:val="auto"/>
              </w:rPr>
            </w:pPr>
          </w:p>
        </w:tc>
        <w:tc>
          <w:tcPr>
            <w:tcW w:w="10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Stockholders’</w:t>
            </w:r>
          </w:p>
        </w:tc>
        <w:tc>
          <w:tcPr>
            <w:tcW w:w="0" w:type="dxa"/>
            <w:vAlign w:val="bottom"/>
          </w:tcPr>
          <w:p>
            <w:pPr>
              <w:spacing w:after="0"/>
              <w:rPr>
                <w:sz w:val="1"/>
                <w:szCs w:val="1"/>
                <w:color w:val="auto"/>
              </w:rPr>
            </w:pPr>
          </w:p>
        </w:tc>
      </w:tr>
      <w:tr>
        <w:trPr>
          <w:trHeight w:val="97"/>
        </w:trPr>
        <w:tc>
          <w:tcPr>
            <w:tcW w:w="522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323"/>
              <w:spacing w:after="0" w:line="97" w:lineRule="exact"/>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center"/>
              <w:ind w:right="124"/>
              <w:spacing w:after="0" w:line="97" w:lineRule="exact"/>
              <w:rPr>
                <w:sz w:val="20"/>
                <w:szCs w:val="20"/>
                <w:color w:val="auto"/>
              </w:rPr>
            </w:pPr>
            <w:r>
              <w:rPr>
                <w:rFonts w:ascii="Arial" w:cs="Arial" w:eastAsia="Arial" w:hAnsi="Arial"/>
                <w:sz w:val="10"/>
                <w:szCs w:val="10"/>
                <w:b w:val="1"/>
                <w:bCs w:val="1"/>
                <w:color w:val="auto"/>
                <w:w w:val="89"/>
              </w:rPr>
              <w:t>Capital</w:t>
            </w:r>
          </w:p>
        </w:tc>
        <w:tc>
          <w:tcPr>
            <w:tcW w:w="22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103"/>
              <w:spacing w:after="0" w:line="97" w:lineRule="exact"/>
              <w:rPr>
                <w:sz w:val="20"/>
                <w:szCs w:val="20"/>
                <w:color w:val="auto"/>
              </w:rPr>
            </w:pPr>
            <w:r>
              <w:rPr>
                <w:rFonts w:ascii="Arial" w:cs="Arial" w:eastAsia="Arial" w:hAnsi="Arial"/>
                <w:sz w:val="10"/>
                <w:szCs w:val="10"/>
                <w:b w:val="1"/>
                <w:bCs w:val="1"/>
                <w:color w:val="auto"/>
                <w:w w:val="84"/>
              </w:rPr>
              <w:t>Deficit</w:t>
            </w:r>
          </w:p>
        </w:tc>
        <w:tc>
          <w:tcPr>
            <w:tcW w:w="22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center"/>
              <w:ind w:right="83"/>
              <w:spacing w:after="0" w:line="97" w:lineRule="exact"/>
              <w:rPr>
                <w:sz w:val="20"/>
                <w:szCs w:val="20"/>
                <w:color w:val="auto"/>
              </w:rPr>
            </w:pPr>
            <w:r>
              <w:rPr>
                <w:rFonts w:ascii="Arial" w:cs="Arial" w:eastAsia="Arial" w:hAnsi="Arial"/>
                <w:sz w:val="10"/>
                <w:szCs w:val="10"/>
                <w:b w:val="1"/>
                <w:bCs w:val="1"/>
                <w:color w:val="auto"/>
                <w:w w:val="84"/>
              </w:rPr>
              <w:t>Equity</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Balances at January 1, 2019</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31,755,169</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157,413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(127,032)</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21,415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Net loss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(7,030)</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(7,030)</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Balances at March 31, 2019</w:t>
            </w: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31,776,584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157,661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(134,062)</w:t>
            </w: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23,631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Stock-based compensation</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Issuance of common stock under equity incentive plan</w:t>
            </w: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16,708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20" w:type="dxa"/>
            <w:vAlign w:val="bottom"/>
          </w:tcPr>
          <w:p>
            <w:pPr>
              <w:ind w:left="160"/>
              <w:spacing w:after="0"/>
              <w:rPr>
                <w:sz w:val="20"/>
                <w:szCs w:val="20"/>
                <w:color w:val="auto"/>
              </w:rPr>
            </w:pPr>
            <w:r>
              <w:rPr>
                <w:rFonts w:ascii="Arial" w:cs="Arial" w:eastAsia="Arial" w:hAnsi="Arial"/>
                <w:sz w:val="12"/>
                <w:szCs w:val="12"/>
                <w:color w:val="auto"/>
              </w:rPr>
              <w:t>Net loss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(10,008)</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(10,008)</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Balances at June 30, 2019</w:t>
            </w: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31,793,292</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157,881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(144,070)</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13,843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20" w:type="dxa"/>
            <w:vAlign w:val="bottom"/>
            <w:shd w:val="clear" w:color="auto" w:fill="CFF0F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b w:val="1"/>
          <w:bCs w:val="1"/>
          <w:color w:val="auto"/>
        </w:rPr>
        <w:t>Soleno Therapeutics,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w w:val="95"/>
              </w:rPr>
              <w:t>Six Months Ended June 30,</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760" w:type="dxa"/>
            <w:vAlign w:val="bottom"/>
          </w:tcPr>
          <w:p>
            <w:pPr>
              <w:spacing w:after="0"/>
              <w:rPr>
                <w:sz w:val="8"/>
                <w:szCs w:val="8"/>
                <w:color w:val="auto"/>
              </w:rPr>
            </w:pPr>
          </w:p>
        </w:tc>
        <w:tc>
          <w:tcPr>
            <w:tcW w:w="1020" w:type="dxa"/>
            <w:vAlign w:val="bottom"/>
          </w:tcPr>
          <w:p>
            <w:pPr>
              <w:jc w:val="right"/>
              <w:ind w:right="92"/>
              <w:spacing w:after="0" w:line="97" w:lineRule="exact"/>
              <w:rPr>
                <w:sz w:val="20"/>
                <w:szCs w:val="20"/>
                <w:color w:val="auto"/>
              </w:rPr>
            </w:pPr>
            <w:r>
              <w:rPr>
                <w:rFonts w:ascii="Arial" w:cs="Arial" w:eastAsia="Arial" w:hAnsi="Arial"/>
                <w:sz w:val="10"/>
                <w:szCs w:val="10"/>
                <w:b w:val="1"/>
                <w:bCs w:val="1"/>
                <w:color w:val="auto"/>
              </w:rPr>
              <w:t>2020</w:t>
            </w: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jc w:val="right"/>
              <w:ind w:right="640"/>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Net loss</w:t>
            </w:r>
          </w:p>
        </w:tc>
        <w:tc>
          <w:tcPr>
            <w:tcW w:w="1020" w:type="dxa"/>
            <w:vAlign w:val="bottom"/>
          </w:tcPr>
          <w:p>
            <w:pPr>
              <w:jc w:val="right"/>
              <w:ind w:right="91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(13,242)</w:t>
            </w: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(17,038)</w:t>
            </w: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977</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Noncash lease expense</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Stock-based compensation expense</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733</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Change in fair value of stock warrants</w:t>
            </w: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(7,221)</w:t>
            </w: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Change in fair value of contingent consideration</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3,426</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loss on minority interest investment</w:t>
            </w: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60"/>
              <w:spacing w:after="0"/>
              <w:rPr>
                <w:sz w:val="20"/>
                <w:szCs w:val="20"/>
                <w:color w:val="auto"/>
              </w:rPr>
            </w:pPr>
            <w:r>
              <w:rPr>
                <w:rFonts w:ascii="Arial" w:cs="Arial" w:eastAsia="Arial" w:hAnsi="Arial"/>
                <w:sz w:val="12"/>
                <w:szCs w:val="12"/>
                <w:color w:val="auto"/>
              </w:rPr>
              <w:t>Change in operating assets and liabilities:</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Prepaid expenses, other current assets and other assets</w:t>
            </w: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(35)</w:t>
            </w: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320"/>
              <w:spacing w:after="0"/>
              <w:rPr>
                <w:sz w:val="20"/>
                <w:szCs w:val="20"/>
                <w:color w:val="auto"/>
              </w:rPr>
            </w:pPr>
            <w:r>
              <w:rPr>
                <w:rFonts w:ascii="Arial" w:cs="Arial" w:eastAsia="Arial" w:hAnsi="Arial"/>
                <w:sz w:val="12"/>
                <w:szCs w:val="12"/>
                <w:color w:val="auto"/>
              </w:rPr>
              <w:t>Due from related party</w:t>
            </w:r>
          </w:p>
        </w:tc>
        <w:tc>
          <w:tcPr>
            <w:tcW w:w="102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Accounts payable</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1,619</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320"/>
              <w:spacing w:after="0"/>
              <w:rPr>
                <w:sz w:val="20"/>
                <w:szCs w:val="20"/>
                <w:color w:val="auto"/>
              </w:rPr>
            </w:pPr>
            <w:r>
              <w:rPr>
                <w:rFonts w:ascii="Arial" w:cs="Arial" w:eastAsia="Arial" w:hAnsi="Arial"/>
                <w:sz w:val="12"/>
                <w:szCs w:val="12"/>
                <w:color w:val="auto"/>
              </w:rPr>
              <w:t>Accrued compensation</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237</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Accrued clinical trial site costs</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1,445</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320"/>
              <w:spacing w:after="0"/>
              <w:rPr>
                <w:sz w:val="20"/>
                <w:szCs w:val="20"/>
                <w:color w:val="auto"/>
              </w:rPr>
            </w:pPr>
            <w:r>
              <w:rPr>
                <w:rFonts w:ascii="Arial" w:cs="Arial" w:eastAsia="Arial" w:hAnsi="Arial"/>
                <w:sz w:val="12"/>
                <w:szCs w:val="12"/>
                <w:color w:val="auto"/>
              </w:rPr>
              <w:t>Operating lease liabilities</w:t>
            </w:r>
          </w:p>
        </w:tc>
        <w:tc>
          <w:tcPr>
            <w:tcW w:w="102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(7)</w:t>
            </w:r>
          </w:p>
        </w:tc>
        <w:tc>
          <w:tcPr>
            <w:tcW w:w="5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ind w:left="320"/>
              <w:spacing w:after="0"/>
              <w:rPr>
                <w:sz w:val="20"/>
                <w:szCs w:val="20"/>
                <w:color w:val="auto"/>
              </w:rPr>
            </w:pPr>
            <w:r>
              <w:rPr>
                <w:rFonts w:ascii="Arial" w:cs="Arial" w:eastAsia="Arial" w:hAnsi="Arial"/>
                <w:sz w:val="12"/>
                <w:szCs w:val="12"/>
                <w:color w:val="auto"/>
              </w:rPr>
              <w:t>Other liabilities</w:t>
            </w: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(262)</w:t>
            </w:r>
          </w:p>
        </w:tc>
        <w:tc>
          <w:tcPr>
            <w:tcW w:w="5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Net cash used in operating activities</w:t>
            </w: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(12,193)</w:t>
            </w: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(7,580)</w:t>
            </w:r>
          </w:p>
        </w:tc>
        <w:tc>
          <w:tcPr>
            <w:tcW w:w="0" w:type="dxa"/>
            <w:vAlign w:val="bottom"/>
          </w:tcPr>
          <w:p>
            <w:pPr>
              <w:spacing w:after="0"/>
              <w:rPr>
                <w:sz w:val="1"/>
                <w:szCs w:val="1"/>
                <w:color w:val="auto"/>
              </w:rPr>
            </w:pPr>
          </w:p>
        </w:tc>
      </w:tr>
      <w:tr>
        <w:trPr>
          <w:trHeight w:val="142"/>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0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Purchases of property and equipment</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480"/>
              <w:spacing w:after="0"/>
              <w:rPr>
                <w:sz w:val="20"/>
                <w:szCs w:val="20"/>
                <w:color w:val="auto"/>
              </w:rPr>
            </w:pPr>
            <w:r>
              <w:rPr>
                <w:rFonts w:ascii="Arial" w:cs="Arial" w:eastAsia="Arial" w:hAnsi="Arial"/>
                <w:sz w:val="12"/>
                <w:szCs w:val="12"/>
                <w:b w:val="1"/>
                <w:bCs w:val="1"/>
                <w:color w:val="auto"/>
              </w:rPr>
              <w:t>Net cash used in investing activities</w:t>
            </w: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60" w:type="dxa"/>
            <w:vAlign w:val="bottom"/>
            <w:vMerge w:val="continue"/>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42"/>
        </w:trPr>
        <w:tc>
          <w:tcPr>
            <w:tcW w:w="776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Proceeds from sale of common stock, net of costs</w:t>
            </w:r>
          </w:p>
        </w:tc>
        <w:tc>
          <w:tcPr>
            <w:tcW w:w="10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53,950</w:t>
            </w:r>
          </w:p>
        </w:tc>
        <w:tc>
          <w:tcPr>
            <w:tcW w:w="3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Proceeds from stock option exercises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17</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Principal paid on finance lease liabilities</w:t>
            </w: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(8)</w:t>
            </w:r>
          </w:p>
        </w:tc>
        <w:tc>
          <w:tcPr>
            <w:tcW w:w="5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760" w:type="dxa"/>
            <w:vAlign w:val="bottom"/>
            <w:tcBorders>
              <w:bottom w:val="single" w:sz="8" w:color="CFF0FC"/>
            </w:tcBorders>
          </w:tcPr>
          <w:p>
            <w:pPr>
              <w:ind w:left="480"/>
              <w:spacing w:after="0"/>
              <w:rPr>
                <w:sz w:val="20"/>
                <w:szCs w:val="20"/>
                <w:color w:val="auto"/>
              </w:rPr>
            </w:pPr>
            <w:r>
              <w:rPr>
                <w:rFonts w:ascii="Arial" w:cs="Arial" w:eastAsia="Arial" w:hAnsi="Arial"/>
                <w:sz w:val="12"/>
                <w:szCs w:val="12"/>
                <w:b w:val="1"/>
                <w:bCs w:val="1"/>
                <w:color w:val="auto"/>
              </w:rPr>
              <w:t>Net cash provided by financing activities</w:t>
            </w:r>
          </w:p>
        </w:tc>
        <w:tc>
          <w:tcPr>
            <w:tcW w:w="10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53,959</w:t>
            </w:r>
          </w:p>
        </w:tc>
        <w:tc>
          <w:tcPr>
            <w:tcW w:w="300" w:type="dxa"/>
            <w:vAlign w:val="bottom"/>
            <w:tcBorders>
              <w:bottom w:val="single" w:sz="8" w:color="CFF0FC"/>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6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Net increase (decrease) in cash and cash equivalents</w:t>
            </w: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41,766</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(7,596)</w:t>
            </w:r>
          </w:p>
        </w:tc>
        <w:tc>
          <w:tcPr>
            <w:tcW w:w="0" w:type="dxa"/>
            <w:vAlign w:val="bottom"/>
          </w:tcPr>
          <w:p>
            <w:pPr>
              <w:spacing w:after="0"/>
              <w:rPr>
                <w:sz w:val="1"/>
                <w:szCs w:val="1"/>
                <w:color w:val="auto"/>
              </w:rPr>
            </w:pPr>
          </w:p>
        </w:tc>
      </w:tr>
      <w:tr>
        <w:trPr>
          <w:trHeight w:val="153"/>
        </w:trPr>
        <w:tc>
          <w:tcPr>
            <w:tcW w:w="776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Cash and cash equivalents, beginning of period</w:t>
            </w:r>
          </w:p>
        </w:tc>
        <w:tc>
          <w:tcPr>
            <w:tcW w:w="10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20,733</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23,099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 end of period</w:t>
            </w:r>
          </w:p>
        </w:tc>
        <w:tc>
          <w:tcPr>
            <w:tcW w:w="1020" w:type="dxa"/>
            <w:vAlign w:val="bottom"/>
            <w:tcBorders>
              <w:bottom w:val="single" w:sz="8" w:color="auto"/>
            </w:tcBorders>
            <w:shd w:val="clear" w:color="auto" w:fill="CFF0FC"/>
          </w:tcPr>
          <w:p>
            <w:pPr>
              <w:jc w:val="right"/>
              <w:ind w:right="9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62,499</w:t>
            </w:r>
          </w:p>
        </w:tc>
        <w:tc>
          <w:tcPr>
            <w:tcW w:w="3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15,503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See accompanying notes to condensed consolidated financial statements.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1"/>
          <w:szCs w:val="11"/>
          <w:b w:val="1"/>
          <w:bCs w:val="1"/>
          <w:color w:val="auto"/>
        </w:rPr>
        <w:t>Soleno Therapeutics,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June 30,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1"/>
          <w:szCs w:val="11"/>
          <w:b w:val="1"/>
          <w:bCs w:val="1"/>
          <w:color w:val="auto"/>
        </w:rPr>
        <w:t>(unaudited)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Overview</w:t>
      </w:r>
    </w:p>
    <w:p>
      <w:pPr>
        <w:spacing w:after="0" w:line="154"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Soleno Therapeutics, Inc. (the “Company” or “Soleno”) was incorporated in the State of Delaware on August 25, 1999, and is located in Redwood City, California. The Company initially established its operations as Capnia, a diversified healthcare company that developed and commercialized innovative diagnostics, devices and therapeutics addressing unmet medical needs. During 2017, Soleno received stockholder approval to amend its Amended and Restated Certificate of Incorporation to change its name from “Capnia, Inc.” to “Soleno Therapeutics, Inc.” and merged with Essentialis, Inc. After the merger, the Company’s primary focus has been the development and commercialization of novel therapeutics for the treatment of rare diseases and the Company divested itself of its prior business efforts.</w:t>
      </w:r>
    </w:p>
    <w:p>
      <w:pPr>
        <w:spacing w:after="0" w:line="52" w:lineRule="exact"/>
        <w:rPr>
          <w:sz w:val="20"/>
          <w:szCs w:val="20"/>
          <w:color w:val="auto"/>
        </w:rPr>
      </w:pPr>
    </w:p>
    <w:p>
      <w:pPr>
        <w:ind w:right="120" w:firstLine="565"/>
        <w:spacing w:after="0" w:line="285" w:lineRule="auto"/>
        <w:rPr>
          <w:sz w:val="20"/>
          <w:szCs w:val="20"/>
          <w:color w:val="auto"/>
        </w:rPr>
      </w:pPr>
      <w:r>
        <w:rPr>
          <w:rFonts w:ascii="Arial" w:cs="Arial" w:eastAsia="Arial" w:hAnsi="Arial"/>
          <w:sz w:val="11"/>
          <w:szCs w:val="11"/>
          <w:color w:val="auto"/>
        </w:rPr>
        <w:t>The Company’s lead candidate is Diazoxide Choline Controlled Release tablets, or DCCR, once-daily oral tablets for the treatment of Prader-Willi Syndrome, or PWS. DCCR is currently being evaluated in a Phase III clinical development program. The Phase III study (C601 or DESTINY PWS), a 3-month randomized, double-blind placebo-controlled study,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and the Company is evaluating the data from the C601 and C602 studies to determine next steps. DCCR has orphan designation for the treatment of PWS in the United States, or U.S., as well as in the European Union, or E.U., and Fast Track designation from the U.S. FDA.</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Liquidity</w:t>
      </w:r>
    </w:p>
    <w:p>
      <w:pPr>
        <w:spacing w:after="0" w:line="82" w:lineRule="exact"/>
        <w:rPr>
          <w:sz w:val="20"/>
          <w:szCs w:val="20"/>
          <w:color w:val="auto"/>
        </w:rPr>
      </w:pPr>
    </w:p>
    <w:p>
      <w:pPr>
        <w:ind w:firstLine="513"/>
        <w:spacing w:after="0" w:line="264" w:lineRule="auto"/>
        <w:rPr>
          <w:sz w:val="20"/>
          <w:szCs w:val="20"/>
          <w:color w:val="auto"/>
        </w:rPr>
      </w:pPr>
      <w:r>
        <w:rPr>
          <w:rFonts w:ascii="Arial" w:cs="Arial" w:eastAsia="Arial" w:hAnsi="Arial"/>
          <w:sz w:val="12"/>
          <w:szCs w:val="12"/>
          <w:color w:val="auto"/>
        </w:rPr>
        <w:t>The Company had a net loss of $13.2 million during the six months ended June 30, 2020 and has an accumulated deficit of $171.0 million at June 30, 2020 resulting from having incurred losses since its inception. The Company had $62.5 million of cash on hand at June 30, 2020 and used $12.2 million of cash in its operating activities during the six months ended June 30, 2020. The Company has financed its operations principally through issuances of equity securities. On June 26, the Company sold 34,848,484 shares of common stock in an underwritten public offering at a price of $1.65 per share for net proceeds of $53.7 million. The Company expects to continue incurring losses for the foreseeable future. However, the Company expects that its current cash and cash equivalents balance are sufficient to enable the Company to meet its obligations for at least the next twelve months from the date of this filing.</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82" w:lineRule="exact"/>
        <w:rPr>
          <w:sz w:val="20"/>
          <w:szCs w:val="20"/>
          <w:color w:val="auto"/>
        </w:rPr>
      </w:pPr>
    </w:p>
    <w:p>
      <w:pPr>
        <w:ind w:right="220" w:firstLine="513"/>
        <w:spacing w:after="0" w:line="276" w:lineRule="auto"/>
        <w:rPr>
          <w:sz w:val="20"/>
          <w:szCs w:val="20"/>
          <w:color w:val="auto"/>
        </w:rPr>
      </w:pPr>
      <w:r>
        <w:rPr>
          <w:rFonts w:ascii="Arial" w:cs="Arial" w:eastAsia="Arial" w:hAnsi="Arial"/>
          <w:sz w:val="12"/>
          <w:szCs w:val="12"/>
          <w:color w:val="auto"/>
        </w:rPr>
        <w:t>There have been no material changes to the significant accounting policies during the six months ended June 30, 2020 as compared to the significant accounting policies described in Note 3 of the “Notes to Consolidated Financial Statements” in the Company’s Annual Report on Form 10-K for the year ended December 31, 2019. Below are those policies with current period updates.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right="140" w:firstLine="513"/>
        <w:spacing w:after="0" w:line="254" w:lineRule="auto"/>
        <w:rPr>
          <w:sz w:val="20"/>
          <w:szCs w:val="20"/>
          <w:color w:val="auto"/>
        </w:rPr>
      </w:pPr>
      <w:r>
        <w:rPr>
          <w:rFonts w:ascii="Arial" w:cs="Arial" w:eastAsia="Arial" w:hAnsi="Arial"/>
          <w:sz w:val="12"/>
          <w:szCs w:val="12"/>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2020, are not necessarily indicative of the results that may be expected for any other interim period or for the fiscal year ending December 31, 2020. For further information, refer to the financial statements and footnotes included in the Company’s annual financial statements for the fiscal year ended December 31, 2019, which are included in the Company’s annual report on Form 10-K filed with the SEC on March 4, 2020.</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274" w:right="35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0"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the valuation of contingent liabilities. The contingent liability represents the fair value of the contingent consideration arising from the Company’s acquisition of Essentialis in 2017. As part of the purchase price, the Company is obligated to make cash earn out payments to Essentialis stockholders up to a maximum of $30 million upon the achievement of certain commercial milestones.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Standards</w:t>
      </w:r>
    </w:p>
    <w:p>
      <w:pPr>
        <w:spacing w:after="0" w:line="150" w:lineRule="exact"/>
        <w:rPr>
          <w:sz w:val="20"/>
          <w:szCs w:val="20"/>
          <w:color w:val="auto"/>
        </w:rPr>
      </w:pPr>
    </w:p>
    <w:p>
      <w:pPr>
        <w:ind w:left="740"/>
        <w:spacing w:after="0"/>
        <w:rPr>
          <w:sz w:val="20"/>
          <w:szCs w:val="20"/>
          <w:color w:val="auto"/>
        </w:rPr>
      </w:pPr>
      <w:r>
        <w:rPr>
          <w:rFonts w:ascii="Arial" w:cs="Arial" w:eastAsia="Arial" w:hAnsi="Arial"/>
          <w:sz w:val="10"/>
          <w:szCs w:val="10"/>
          <w:color w:val="auto"/>
        </w:rPr>
        <w:t>From time to time, new accounting pronouncements are issued by the Financial Accounting Standards Board (“FASB”) or other standard setting bodies that are adopted by the Company as of the specified effective date.</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54"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The ASU modifies the disclosure requirements for fair value measurements by removing, modifying, or adding certain disclosures. The Company has adopted this ASU at the beginning of 2020. The adoption did not have a material impact on the Company’s condensed consolidated financial statements disclosures.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82"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The amendments in this Update are effective for public business entities for fiscal years, and interim periods within those fiscal years, beginning after December 15, 2020. The Company has not yet assessed the potential impact of adopting ASU 2019-12 on its condensed consolidated financial statements.</w:t>
      </w:r>
    </w:p>
    <w:p>
      <w:pPr>
        <w:spacing w:after="0" w:line="124" w:lineRule="exact"/>
        <w:rPr>
          <w:sz w:val="20"/>
          <w:szCs w:val="20"/>
          <w:color w:val="auto"/>
        </w:rPr>
      </w:pPr>
    </w:p>
    <w:p>
      <w:pPr>
        <w:ind w:right="420" w:firstLine="513"/>
        <w:spacing w:after="0" w:line="276" w:lineRule="auto"/>
        <w:rPr>
          <w:sz w:val="20"/>
          <w:szCs w:val="20"/>
          <w:color w:val="auto"/>
        </w:rPr>
      </w:pPr>
      <w:r>
        <w:rPr>
          <w:rFonts w:ascii="Arial" w:cs="Arial" w:eastAsia="Arial" w:hAnsi="Arial"/>
          <w:sz w:val="12"/>
          <w:szCs w:val="12"/>
          <w:color w:val="auto"/>
        </w:rPr>
        <w:t>During the six months ended June 30, 2020, other than ASU 2019-12, there have been no new, or existing recently issued, accounting pronouncements that are of significance, or potential significance, that impact the Company’s condensed consolidated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Fair Value of Financial Instruments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carrying value of the Company’s cash, cash equivalents and accounts payable, approximate fair value due to the short-term nature of these items.</w:t>
      </w:r>
    </w:p>
    <w:p>
      <w:pPr>
        <w:spacing w:after="0" w:line="150"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fair value hierarchy defines a three-level valuation hierarchy for disclosure of fair value measurements as follows:</w:t>
      </w:r>
    </w:p>
    <w:p>
      <w:pPr>
        <w:spacing w:after="0" w:line="78" w:lineRule="exact"/>
        <w:rPr>
          <w:sz w:val="20"/>
          <w:szCs w:val="20"/>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I — Unadjusted quoted prices in active markets for identical assets or liabilities;</w:t>
      </w:r>
    </w:p>
    <w:p>
      <w:pPr>
        <w:spacing w:after="0" w:line="78" w:lineRule="exact"/>
        <w:rPr>
          <w:rFonts w:ascii="Arial" w:cs="Arial" w:eastAsia="Arial" w:hAnsi="Arial"/>
          <w:sz w:val="12"/>
          <w:szCs w:val="12"/>
          <w:color w:val="auto"/>
        </w:rPr>
      </w:pPr>
    </w:p>
    <w:p>
      <w:pPr>
        <w:ind w:left="880" w:right="80" w:hanging="375"/>
        <w:spacing w:after="0" w:line="276"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42" w:lineRule="exact"/>
        <w:rPr>
          <w:rFonts w:ascii="Arial" w:cs="Arial" w:eastAsia="Arial" w:hAnsi="Arial"/>
          <w:sz w:val="12"/>
          <w:szCs w:val="12"/>
          <w:color w:val="auto"/>
        </w:rPr>
      </w:pPr>
    </w:p>
    <w:p>
      <w:pPr>
        <w:ind w:left="880" w:hanging="375"/>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III — Unobservable inputs that are supported by little or no market activity for the related assets or liabilities.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categorization of a financial instrument within the valuation hierarchy is based upon the lowest level of input that is significant to the fair value measurement.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491" w:right="319" w:bottom="1440" w:gutter="0" w:footer="0" w:header="0"/>
        </w:sectPr>
      </w:pPr>
    </w:p>
    <w:bookmarkStart w:id="8" w:name="page9"/>
    <w:bookmarkEnd w:id="8"/>
    <w:p>
      <w:pPr>
        <w:ind w:left="500"/>
        <w:spacing w:after="0"/>
        <w:rPr>
          <w:sz w:val="20"/>
          <w:szCs w:val="20"/>
          <w:color w:val="auto"/>
        </w:rPr>
      </w:pPr>
      <w:r>
        <w:rPr>
          <w:rFonts w:ascii="Arial" w:cs="Arial" w:eastAsia="Arial" w:hAnsi="Arial"/>
          <w:sz w:val="12"/>
          <w:szCs w:val="12"/>
          <w:color w:val="auto"/>
        </w:rPr>
        <w:t>The following table sets forth the Company’s financial instruments that were measured at fair value on a recurring basis by level within the fair value hierarchy (in thousands).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0"/>
                <w:szCs w:val="10"/>
                <w:b w:val="1"/>
                <w:bCs w:val="1"/>
                <w:color w:val="auto"/>
                <w:w w:val="99"/>
              </w:rPr>
              <w:t>Fair Value Measurements at June 30, 2020</w:t>
            </w: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7"/>
        </w:trPr>
        <w:tc>
          <w:tcPr>
            <w:tcW w:w="5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Total</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Level 2</w:t>
            </w: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02"/>
              <w:spacing w:after="0" w:line="97" w:lineRule="exact"/>
              <w:rPr>
                <w:sz w:val="20"/>
                <w:szCs w:val="20"/>
                <w:color w:val="auto"/>
              </w:rPr>
            </w:pPr>
            <w:r>
              <w:rPr>
                <w:rFonts w:ascii="Arial" w:cs="Arial" w:eastAsia="Arial" w:hAnsi="Arial"/>
                <w:sz w:val="10"/>
                <w:szCs w:val="10"/>
                <w:b w:val="1"/>
                <w:bCs w:val="1"/>
                <w:color w:val="auto"/>
              </w:rPr>
              <w:t>Level 3</w:t>
            </w:r>
          </w:p>
        </w:tc>
        <w:tc>
          <w:tcPr>
            <w:tcW w:w="10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2017 PIPE warrant liability</w:t>
            </w: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4,230</w:t>
            </w:r>
          </w:p>
        </w:tc>
        <w:tc>
          <w:tcPr>
            <w:tcW w:w="220" w:type="dxa"/>
            <w:vAlign w:val="bottom"/>
          </w:tcPr>
          <w:p>
            <w:pPr>
              <w:spacing w:after="0"/>
              <w:rPr>
                <w:sz w:val="13"/>
                <w:szCs w:val="13"/>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4,230</w:t>
            </w:r>
          </w:p>
        </w:tc>
        <w:tc>
          <w:tcPr>
            <w:tcW w:w="10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2018 PIPE warrant liability</w:t>
            </w: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725</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725</w:t>
            </w:r>
          </w:p>
        </w:tc>
        <w:tc>
          <w:tcPr>
            <w:tcW w:w="100" w:type="dxa"/>
            <w:vAlign w:val="bottom"/>
            <w:shd w:val="clear" w:color="auto" w:fill="CFF0FC"/>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Essentialis purchase price contingency liability</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9,364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9,364</w:t>
            </w:r>
          </w:p>
        </w:tc>
        <w:tc>
          <w:tcPr>
            <w:tcW w:w="100" w:type="dxa"/>
            <w:vAlign w:val="bottom"/>
          </w:tcPr>
          <w:p>
            <w:pPr>
              <w:spacing w:after="0"/>
              <w:rPr>
                <w:sz w:val="13"/>
                <w:szCs w:val="13"/>
                <w:color w:val="auto"/>
              </w:rPr>
            </w:pPr>
          </w:p>
        </w:tc>
      </w:tr>
      <w:tr>
        <w:trPr>
          <w:trHeight w:val="133"/>
        </w:trPr>
        <w:tc>
          <w:tcPr>
            <w:tcW w:w="5280" w:type="dxa"/>
            <w:vAlign w:val="bottom"/>
            <w:tcBorders>
              <w:top w:val="single" w:sz="8" w:color="CFF0FC"/>
            </w:tcBorders>
            <w:shd w:val="clear" w:color="auto" w:fill="CFF0FC"/>
          </w:tcPr>
          <w:p>
            <w:pPr>
              <w:ind w:left="160"/>
              <w:spacing w:after="0" w:line="133" w:lineRule="exact"/>
              <w:rPr>
                <w:sz w:val="20"/>
                <w:szCs w:val="20"/>
                <w:color w:val="auto"/>
              </w:rPr>
            </w:pPr>
            <w:r>
              <w:rPr>
                <w:rFonts w:ascii="Arial" w:cs="Arial" w:eastAsia="Arial" w:hAnsi="Arial"/>
                <w:sz w:val="12"/>
                <w:szCs w:val="12"/>
                <w:color w:val="auto"/>
              </w:rPr>
              <w:t>Total common stock warrant and contingent</w:t>
            </w:r>
          </w:p>
        </w:tc>
        <w:tc>
          <w:tcPr>
            <w:tcW w:w="6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3"/>
        </w:trPr>
        <w:tc>
          <w:tcPr>
            <w:tcW w:w="52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consideration liability</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14,319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ind w:left="14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14,319</w:t>
            </w:r>
          </w:p>
        </w:tc>
        <w:tc>
          <w:tcPr>
            <w:tcW w:w="100" w:type="dxa"/>
            <w:vAlign w:val="bottom"/>
            <w:shd w:val="clear" w:color="auto" w:fill="CFF0FC"/>
          </w:tcPr>
          <w:p>
            <w:pPr>
              <w:spacing w:after="0"/>
              <w:rPr>
                <w:sz w:val="13"/>
                <w:szCs w:val="13"/>
                <w:color w:val="auto"/>
              </w:rPr>
            </w:pPr>
          </w:p>
        </w:tc>
      </w:tr>
      <w:tr>
        <w:trPr>
          <w:trHeight w:val="27"/>
        </w:trPr>
        <w:tc>
          <w:tcPr>
            <w:tcW w:w="52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306"/>
        </w:trPr>
        <w:tc>
          <w:tcPr>
            <w:tcW w:w="5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4"/>
              </w:rPr>
              <w:t>Fair Value Measurements at December 31, 2019</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7"/>
        </w:trPr>
        <w:tc>
          <w:tcPr>
            <w:tcW w:w="52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rPr>
              <w:t>Total</w:t>
            </w: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Level 1</w:t>
            </w: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880" w:type="dxa"/>
            <w:vAlign w:val="bottom"/>
            <w:tcBorders>
              <w:bottom w:val="single" w:sz="8" w:color="auto"/>
            </w:tcBorders>
          </w:tcPr>
          <w:p>
            <w:pPr>
              <w:jc w:val="right"/>
              <w:ind w:right="172"/>
              <w:spacing w:after="0" w:line="97" w:lineRule="exact"/>
              <w:rPr>
                <w:sz w:val="20"/>
                <w:szCs w:val="20"/>
                <w:color w:val="auto"/>
              </w:rPr>
            </w:pPr>
            <w:r>
              <w:rPr>
                <w:rFonts w:ascii="Arial" w:cs="Arial" w:eastAsia="Arial" w:hAnsi="Arial"/>
                <w:sz w:val="10"/>
                <w:szCs w:val="10"/>
                <w:b w:val="1"/>
                <w:bCs w:val="1"/>
                <w:color w:val="auto"/>
              </w:rPr>
              <w:t>Level 2</w:t>
            </w: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02"/>
              <w:spacing w:after="0" w:line="97" w:lineRule="exact"/>
              <w:rPr>
                <w:sz w:val="20"/>
                <w:szCs w:val="20"/>
                <w:color w:val="auto"/>
              </w:rPr>
            </w:pPr>
            <w:r>
              <w:rPr>
                <w:rFonts w:ascii="Arial" w:cs="Arial" w:eastAsia="Arial" w:hAnsi="Arial"/>
                <w:sz w:val="10"/>
                <w:szCs w:val="10"/>
                <w:b w:val="1"/>
                <w:bCs w:val="1"/>
                <w:color w:val="auto"/>
              </w:rPr>
              <w:t>Level 3</w:t>
            </w:r>
          </w:p>
        </w:tc>
        <w:tc>
          <w:tcPr>
            <w:tcW w:w="100" w:type="dxa"/>
            <w:vAlign w:val="bottom"/>
            <w:tcBorders>
              <w:bottom w:val="single" w:sz="8" w:color="CFF0FC"/>
            </w:tcBorders>
          </w:tcPr>
          <w:p>
            <w:pPr>
              <w:spacing w:after="0"/>
              <w:rPr>
                <w:sz w:val="8"/>
                <w:szCs w:val="8"/>
                <w:color w:val="auto"/>
              </w:rPr>
            </w:pPr>
          </w:p>
        </w:tc>
      </w:tr>
      <w:tr>
        <w:trPr>
          <w:trHeight w:val="142"/>
        </w:trPr>
        <w:tc>
          <w:tcPr>
            <w:tcW w:w="52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w:t>
            </w:r>
          </w:p>
        </w:tc>
        <w:tc>
          <w:tcPr>
            <w:tcW w:w="6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2017 PIPE warrant liability</w:t>
            </w: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10,822</w:t>
            </w:r>
          </w:p>
        </w:tc>
        <w:tc>
          <w:tcPr>
            <w:tcW w:w="220" w:type="dxa"/>
            <w:vAlign w:val="bottom"/>
          </w:tcPr>
          <w:p>
            <w:pPr>
              <w:spacing w:after="0"/>
              <w:rPr>
                <w:sz w:val="13"/>
                <w:szCs w:val="13"/>
                <w:color w:val="auto"/>
              </w:rPr>
            </w:pP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10,822</w:t>
            </w:r>
          </w:p>
        </w:tc>
        <w:tc>
          <w:tcPr>
            <w:tcW w:w="100" w:type="dxa"/>
            <w:vAlign w:val="bottom"/>
          </w:tcPr>
          <w:p>
            <w:pPr>
              <w:spacing w:after="0"/>
              <w:rPr>
                <w:sz w:val="13"/>
                <w:szCs w:val="13"/>
                <w:color w:val="auto"/>
              </w:rPr>
            </w:pPr>
          </w:p>
        </w:tc>
      </w:tr>
      <w:tr>
        <w:trPr>
          <w:trHeight w:val="153"/>
        </w:trPr>
        <w:tc>
          <w:tcPr>
            <w:tcW w:w="5280" w:type="dxa"/>
            <w:vAlign w:val="bottom"/>
            <w:shd w:val="clear" w:color="auto" w:fill="CFF0FC"/>
          </w:tcPr>
          <w:p>
            <w:pPr>
              <w:spacing w:after="0"/>
              <w:rPr>
                <w:sz w:val="20"/>
                <w:szCs w:val="20"/>
                <w:color w:val="auto"/>
              </w:rPr>
            </w:pPr>
            <w:r>
              <w:rPr>
                <w:rFonts w:ascii="Arial" w:cs="Arial" w:eastAsia="Arial" w:hAnsi="Arial"/>
                <w:sz w:val="12"/>
                <w:szCs w:val="12"/>
                <w:color w:val="auto"/>
              </w:rPr>
              <w:t>2018 PIPE warrant liability</w:t>
            </w:r>
          </w:p>
        </w:tc>
        <w:tc>
          <w:tcPr>
            <w:tcW w:w="66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ind w:lef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3"/>
                <w:szCs w:val="13"/>
                <w:color w:val="auto"/>
              </w:rPr>
            </w:pP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1,354</w:t>
            </w:r>
          </w:p>
        </w:tc>
        <w:tc>
          <w:tcPr>
            <w:tcW w:w="100" w:type="dxa"/>
            <w:vAlign w:val="bottom"/>
            <w:shd w:val="clear" w:color="auto" w:fill="CFF0FC"/>
          </w:tcPr>
          <w:p>
            <w:pPr>
              <w:spacing w:after="0"/>
              <w:rPr>
                <w:sz w:val="13"/>
                <w:szCs w:val="13"/>
                <w:color w:val="auto"/>
              </w:rPr>
            </w:pPr>
          </w:p>
        </w:tc>
      </w:tr>
      <w:tr>
        <w:trPr>
          <w:trHeight w:val="153"/>
        </w:trPr>
        <w:tc>
          <w:tcPr>
            <w:tcW w:w="5280" w:type="dxa"/>
            <w:vAlign w:val="bottom"/>
          </w:tcPr>
          <w:p>
            <w:pPr>
              <w:spacing w:after="0"/>
              <w:rPr>
                <w:sz w:val="20"/>
                <w:szCs w:val="20"/>
                <w:color w:val="auto"/>
              </w:rPr>
            </w:pPr>
            <w:r>
              <w:rPr>
                <w:rFonts w:ascii="Arial" w:cs="Arial" w:eastAsia="Arial" w:hAnsi="Arial"/>
                <w:sz w:val="12"/>
                <w:szCs w:val="12"/>
                <w:color w:val="auto"/>
              </w:rPr>
              <w:t>Essentialis purchase price contingency liability</w:t>
            </w: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5,938</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5,938</w:t>
            </w:r>
          </w:p>
        </w:tc>
        <w:tc>
          <w:tcPr>
            <w:tcW w:w="100" w:type="dxa"/>
            <w:vAlign w:val="bottom"/>
          </w:tcPr>
          <w:p>
            <w:pPr>
              <w:spacing w:after="0"/>
              <w:rPr>
                <w:sz w:val="13"/>
                <w:szCs w:val="13"/>
                <w:color w:val="auto"/>
              </w:rPr>
            </w:pPr>
          </w:p>
        </w:tc>
      </w:tr>
      <w:tr>
        <w:trPr>
          <w:trHeight w:val="133"/>
        </w:trPr>
        <w:tc>
          <w:tcPr>
            <w:tcW w:w="5280" w:type="dxa"/>
            <w:vAlign w:val="bottom"/>
            <w:tcBorders>
              <w:top w:val="single" w:sz="8" w:color="CFF0FC"/>
            </w:tcBorders>
            <w:shd w:val="clear" w:color="auto" w:fill="CFF0FC"/>
          </w:tcPr>
          <w:p>
            <w:pPr>
              <w:ind w:left="160"/>
              <w:spacing w:after="0" w:line="133" w:lineRule="exact"/>
              <w:rPr>
                <w:sz w:val="20"/>
                <w:szCs w:val="20"/>
                <w:color w:val="auto"/>
              </w:rPr>
            </w:pPr>
            <w:r>
              <w:rPr>
                <w:rFonts w:ascii="Arial" w:cs="Arial" w:eastAsia="Arial" w:hAnsi="Arial"/>
                <w:sz w:val="12"/>
                <w:szCs w:val="12"/>
                <w:color w:val="auto"/>
              </w:rPr>
              <w:t>Total common stock warrant and contingent</w:t>
            </w:r>
          </w:p>
        </w:tc>
        <w:tc>
          <w:tcPr>
            <w:tcW w:w="66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53"/>
        </w:trPr>
        <w:tc>
          <w:tcPr>
            <w:tcW w:w="52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consideration liability</w:t>
            </w:r>
          </w:p>
        </w:tc>
        <w:tc>
          <w:tcPr>
            <w:tcW w:w="660" w:type="dxa"/>
            <w:vAlign w:val="bottom"/>
            <w:shd w:val="clear" w:color="auto" w:fill="CFF0FC"/>
          </w:tcPr>
          <w:p>
            <w:pPr>
              <w:jc w:val="right"/>
              <w:ind w:right="55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18,114</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67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ind w:left="14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18,114</w:t>
            </w:r>
          </w:p>
        </w:tc>
        <w:tc>
          <w:tcPr>
            <w:tcW w:w="100" w:type="dxa"/>
            <w:vAlign w:val="bottom"/>
            <w:shd w:val="clear" w:color="auto" w:fill="CFF0FC"/>
          </w:tcPr>
          <w:p>
            <w:pPr>
              <w:spacing w:after="0"/>
              <w:rPr>
                <w:sz w:val="13"/>
                <w:szCs w:val="13"/>
                <w:color w:val="auto"/>
              </w:rPr>
            </w:pPr>
          </w:p>
        </w:tc>
      </w:tr>
      <w:tr>
        <w:trPr>
          <w:trHeight w:val="27"/>
        </w:trPr>
        <w:tc>
          <w:tcPr>
            <w:tcW w:w="528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62" w:lineRule="exact"/>
        <w:rPr>
          <w:sz w:val="20"/>
          <w:szCs w:val="20"/>
          <w:color w:val="auto"/>
        </w:rPr>
      </w:pPr>
    </w:p>
    <w:p>
      <w:pPr>
        <w:ind w:right="240" w:firstLine="513"/>
        <w:spacing w:after="0" w:line="259" w:lineRule="auto"/>
        <w:rPr>
          <w:sz w:val="20"/>
          <w:szCs w:val="20"/>
          <w:color w:val="auto"/>
        </w:rPr>
      </w:pPr>
      <w:r>
        <w:rPr>
          <w:rFonts w:ascii="Arial" w:cs="Arial" w:eastAsia="Arial" w:hAnsi="Arial"/>
          <w:sz w:val="12"/>
          <w:szCs w:val="12"/>
          <w:color w:val="auto"/>
        </w:rPr>
        <w:t>The Company’s estimated fair value of the 2017 PIPE Warrants and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Through March 31, 2020 the Company had previously used the Monte Carlo simulation of a geometric Brownian motion model to estimate the fair value of the 2017 PIPE Warrants and the 2018 PIPE Warrant as this model allows for determining path-dependent outcomes. The difference in valuation as a result of using the Black-Scholes pricing model compared to the Monte Carlo simulation model is not significant.</w:t>
      </w:r>
    </w:p>
    <w:p>
      <w:pPr>
        <w:spacing w:after="0" w:line="169" w:lineRule="exact"/>
        <w:rPr>
          <w:sz w:val="20"/>
          <w:szCs w:val="20"/>
          <w:color w:val="auto"/>
        </w:rPr>
      </w:pPr>
    </w:p>
    <w:p>
      <w:pPr>
        <w:jc w:val="both"/>
        <w:ind w:right="300" w:firstLine="513"/>
        <w:spacing w:after="0" w:line="263" w:lineRule="auto"/>
        <w:rPr>
          <w:sz w:val="20"/>
          <w:szCs w:val="20"/>
          <w:color w:val="auto"/>
        </w:rPr>
      </w:pPr>
      <w:r>
        <w:rPr>
          <w:rFonts w:ascii="Arial" w:cs="Arial" w:eastAsia="Arial" w:hAnsi="Arial"/>
          <w:sz w:val="12"/>
          <w:szCs w:val="12"/>
          <w:color w:val="auto"/>
        </w:rPr>
        <w:t>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The Level 3 estimates are based, in part, on subjective assumptions. During the periods presented, the Company has not changed the manner in which it values its Essentialis purchase price contingent liability.</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There were no transfers between levels within the hierarchy during the periods presented.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sets forth a summary of the changes in the fair value of the Company’s Level 3 liabilities (dollars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880" w:type="dxa"/>
            <w:vAlign w:val="bottom"/>
            <w:gridSpan w:val="3"/>
          </w:tcPr>
          <w:p>
            <w:pPr>
              <w:jc w:val="right"/>
              <w:ind w:right="412"/>
              <w:spacing w:after="0"/>
              <w:rPr>
                <w:sz w:val="20"/>
                <w:szCs w:val="20"/>
                <w:color w:val="auto"/>
              </w:rPr>
            </w:pPr>
            <w:r>
              <w:rPr>
                <w:rFonts w:ascii="Arial" w:cs="Arial" w:eastAsia="Arial" w:hAnsi="Arial"/>
                <w:sz w:val="10"/>
                <w:szCs w:val="10"/>
                <w:b w:val="1"/>
                <w:bCs w:val="1"/>
                <w:color w:val="auto"/>
              </w:rPr>
              <w:t>Series C Warrants</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gridSpan w:val="5"/>
          </w:tcPr>
          <w:p>
            <w:pPr>
              <w:jc w:val="right"/>
              <w:ind w:right="860"/>
              <w:spacing w:after="0"/>
              <w:rPr>
                <w:sz w:val="20"/>
                <w:szCs w:val="20"/>
                <w:color w:val="auto"/>
              </w:rPr>
            </w:pPr>
            <w:r>
              <w:rPr>
                <w:rFonts w:ascii="Arial" w:cs="Arial" w:eastAsia="Arial" w:hAnsi="Arial"/>
                <w:sz w:val="10"/>
                <w:szCs w:val="10"/>
                <w:b w:val="1"/>
                <w:bCs w:val="1"/>
                <w:color w:val="auto"/>
              </w:rPr>
              <w:t>2017 PIPE Warrants</w:t>
            </w:r>
          </w:p>
        </w:tc>
        <w:tc>
          <w:tcPr>
            <w:tcW w:w="1840" w:type="dxa"/>
            <w:vAlign w:val="bottom"/>
            <w:gridSpan w:val="3"/>
          </w:tcPr>
          <w:p>
            <w:pPr>
              <w:jc w:val="right"/>
              <w:ind w:right="312"/>
              <w:spacing w:after="0"/>
              <w:rPr>
                <w:sz w:val="20"/>
                <w:szCs w:val="20"/>
                <w:color w:val="auto"/>
              </w:rPr>
            </w:pPr>
            <w:r>
              <w:rPr>
                <w:rFonts w:ascii="Arial" w:cs="Arial" w:eastAsia="Arial" w:hAnsi="Arial"/>
                <w:sz w:val="10"/>
                <w:szCs w:val="10"/>
                <w:b w:val="1"/>
                <w:bCs w:val="1"/>
                <w:color w:val="auto"/>
              </w:rPr>
              <w:t>2018 PIPE Warrants</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Purchase Price</w:t>
            </w:r>
          </w:p>
        </w:tc>
      </w:tr>
      <w:tr>
        <w:trPr>
          <w:trHeight w:val="83"/>
        </w:trPr>
        <w:tc>
          <w:tcPr>
            <w:tcW w:w="3200" w:type="dxa"/>
            <w:vAlign w:val="bottom"/>
          </w:tcPr>
          <w:p>
            <w:pPr>
              <w:spacing w:after="0"/>
              <w:rPr>
                <w:sz w:val="7"/>
                <w:szCs w:val="7"/>
                <w:color w:val="auto"/>
              </w:rPr>
            </w:pPr>
          </w:p>
        </w:tc>
        <w:tc>
          <w:tcPr>
            <w:tcW w:w="1160" w:type="dxa"/>
            <w:vAlign w:val="bottom"/>
            <w:tcBorders>
              <w:top w:val="single" w:sz="8" w:color="auto"/>
            </w:tcBorders>
            <w:gridSpan w:val="2"/>
          </w:tcPr>
          <w:p>
            <w:pPr>
              <w:jc w:val="right"/>
              <w:ind w:right="480"/>
              <w:spacing w:after="0" w:line="83" w:lineRule="exact"/>
              <w:rPr>
                <w:sz w:val="20"/>
                <w:szCs w:val="20"/>
                <w:color w:val="auto"/>
              </w:rPr>
            </w:pPr>
            <w:r>
              <w:rPr>
                <w:rFonts w:ascii="Arial" w:cs="Arial" w:eastAsia="Arial" w:hAnsi="Arial"/>
                <w:sz w:val="8"/>
                <w:szCs w:val="8"/>
                <w:b w:val="1"/>
                <w:bCs w:val="1"/>
                <w:color w:val="auto"/>
              </w:rPr>
              <w:t>Number of</w:t>
            </w:r>
          </w:p>
        </w:tc>
        <w:tc>
          <w:tcPr>
            <w:tcW w:w="7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Borders>
              <w:top w:val="single" w:sz="8" w:color="auto"/>
            </w:tcBorders>
            <w:gridSpan w:val="2"/>
          </w:tcPr>
          <w:p>
            <w:pPr>
              <w:ind w:left="240"/>
              <w:spacing w:after="0" w:line="83" w:lineRule="exact"/>
              <w:rPr>
                <w:sz w:val="20"/>
                <w:szCs w:val="20"/>
                <w:color w:val="auto"/>
              </w:rPr>
            </w:pPr>
            <w:r>
              <w:rPr>
                <w:rFonts w:ascii="Arial" w:cs="Arial" w:eastAsia="Arial" w:hAnsi="Arial"/>
                <w:sz w:val="8"/>
                <w:szCs w:val="8"/>
                <w:b w:val="1"/>
                <w:bCs w:val="1"/>
                <w:color w:val="auto"/>
              </w:rPr>
              <w:t>Number of</w:t>
            </w:r>
          </w:p>
        </w:tc>
        <w:tc>
          <w:tcPr>
            <w:tcW w:w="1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Borders>
              <w:top w:val="single" w:sz="8" w:color="auto"/>
            </w:tcBorders>
            <w:gridSpan w:val="2"/>
          </w:tcPr>
          <w:p>
            <w:pPr>
              <w:ind w:left="240"/>
              <w:spacing w:after="0" w:line="83" w:lineRule="exact"/>
              <w:rPr>
                <w:sz w:val="20"/>
                <w:szCs w:val="20"/>
                <w:color w:val="auto"/>
              </w:rPr>
            </w:pPr>
            <w:r>
              <w:rPr>
                <w:rFonts w:ascii="Arial" w:cs="Arial" w:eastAsia="Arial" w:hAnsi="Arial"/>
                <w:sz w:val="8"/>
                <w:szCs w:val="8"/>
                <w:b w:val="1"/>
                <w:bCs w:val="1"/>
                <w:color w:val="auto"/>
              </w:rPr>
              <w:t>Number of</w:t>
            </w:r>
          </w:p>
        </w:tc>
        <w:tc>
          <w:tcPr>
            <w:tcW w:w="6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tcPr>
          <w:p>
            <w:pPr>
              <w:jc w:val="center"/>
              <w:ind w:right="240"/>
              <w:spacing w:after="0" w:line="83" w:lineRule="exact"/>
              <w:rPr>
                <w:sz w:val="20"/>
                <w:szCs w:val="20"/>
                <w:color w:val="auto"/>
              </w:rPr>
            </w:pPr>
            <w:r>
              <w:rPr>
                <w:rFonts w:ascii="Arial" w:cs="Arial" w:eastAsia="Arial" w:hAnsi="Arial"/>
                <w:sz w:val="8"/>
                <w:szCs w:val="8"/>
                <w:b w:val="1"/>
                <w:bCs w:val="1"/>
                <w:color w:val="auto"/>
              </w:rPr>
              <w:t>Contingent</w:t>
            </w:r>
          </w:p>
        </w:tc>
      </w:tr>
      <w:tr>
        <w:trPr>
          <w:trHeight w:val="113"/>
        </w:trPr>
        <w:tc>
          <w:tcPr>
            <w:tcW w:w="3200" w:type="dxa"/>
            <w:vAlign w:val="bottom"/>
            <w:tcBorders>
              <w:bottom w:val="single" w:sz="8" w:color="CFF0FC"/>
            </w:tcBorders>
          </w:tcPr>
          <w:p>
            <w:pPr>
              <w:spacing w:after="0"/>
              <w:rPr>
                <w:sz w:val="9"/>
                <w:szCs w:val="9"/>
                <w:color w:val="auto"/>
              </w:rPr>
            </w:pPr>
          </w:p>
        </w:tc>
        <w:tc>
          <w:tcPr>
            <w:tcW w:w="940" w:type="dxa"/>
            <w:vAlign w:val="bottom"/>
            <w:tcBorders>
              <w:bottom w:val="single" w:sz="8" w:color="auto"/>
            </w:tcBorders>
          </w:tcPr>
          <w:p>
            <w:pPr>
              <w:jc w:val="right"/>
              <w:ind w:right="225"/>
              <w:spacing w:after="0" w:line="114" w:lineRule="exact"/>
              <w:rPr>
                <w:sz w:val="20"/>
                <w:szCs w:val="20"/>
                <w:color w:val="auto"/>
              </w:rPr>
            </w:pPr>
            <w:r>
              <w:rPr>
                <w:rFonts w:ascii="Arial" w:cs="Arial" w:eastAsia="Arial" w:hAnsi="Arial"/>
                <w:sz w:val="10"/>
                <w:szCs w:val="10"/>
                <w:b w:val="1"/>
                <w:bCs w:val="1"/>
                <w:color w:val="auto"/>
              </w:rPr>
              <w:t>Warrants</w:t>
            </w:r>
          </w:p>
        </w:tc>
        <w:tc>
          <w:tcPr>
            <w:tcW w:w="22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jc w:val="right"/>
              <w:ind w:right="32"/>
              <w:spacing w:after="0" w:line="114" w:lineRule="exact"/>
              <w:rPr>
                <w:sz w:val="20"/>
                <w:szCs w:val="20"/>
                <w:color w:val="auto"/>
              </w:rPr>
            </w:pPr>
            <w:r>
              <w:rPr>
                <w:rFonts w:ascii="Arial" w:cs="Arial" w:eastAsia="Arial" w:hAnsi="Arial"/>
                <w:sz w:val="10"/>
                <w:szCs w:val="10"/>
                <w:b w:val="1"/>
                <w:bCs w:val="1"/>
                <w:color w:val="auto"/>
              </w:rPr>
              <w:t>Liability</w:t>
            </w: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245"/>
              <w:spacing w:after="0" w:line="114" w:lineRule="exact"/>
              <w:rPr>
                <w:sz w:val="20"/>
                <w:szCs w:val="20"/>
                <w:color w:val="auto"/>
              </w:rPr>
            </w:pPr>
            <w:r>
              <w:rPr>
                <w:rFonts w:ascii="Arial" w:cs="Arial" w:eastAsia="Arial" w:hAnsi="Arial"/>
                <w:sz w:val="10"/>
                <w:szCs w:val="10"/>
                <w:b w:val="1"/>
                <w:bCs w:val="1"/>
                <w:color w:val="auto"/>
              </w:rPr>
              <w:t>Warrants</w:t>
            </w:r>
          </w:p>
        </w:tc>
        <w:tc>
          <w:tcPr>
            <w:tcW w:w="20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42"/>
              <w:spacing w:after="0" w:line="114" w:lineRule="exact"/>
              <w:rPr>
                <w:sz w:val="20"/>
                <w:szCs w:val="20"/>
                <w:color w:val="auto"/>
              </w:rPr>
            </w:pPr>
            <w:r>
              <w:rPr>
                <w:rFonts w:ascii="Arial" w:cs="Arial" w:eastAsia="Arial" w:hAnsi="Arial"/>
                <w:sz w:val="10"/>
                <w:szCs w:val="10"/>
                <w:b w:val="1"/>
                <w:bCs w:val="1"/>
                <w:color w:val="auto"/>
              </w:rPr>
              <w:t>Liability</w:t>
            </w:r>
          </w:p>
        </w:tc>
        <w:tc>
          <w:tcPr>
            <w:tcW w:w="220" w:type="dxa"/>
            <w:vAlign w:val="bottom"/>
            <w:tcBorders>
              <w:bottom w:val="single" w:sz="8" w:color="CFF0FC"/>
            </w:tcBorders>
          </w:tcPr>
          <w:p>
            <w:pPr>
              <w:spacing w:after="0"/>
              <w:rPr>
                <w:sz w:val="9"/>
                <w:szCs w:val="9"/>
                <w:color w:val="auto"/>
              </w:rPr>
            </w:pPr>
          </w:p>
        </w:tc>
        <w:tc>
          <w:tcPr>
            <w:tcW w:w="960" w:type="dxa"/>
            <w:vAlign w:val="bottom"/>
            <w:tcBorders>
              <w:bottom w:val="single" w:sz="8" w:color="auto"/>
            </w:tcBorders>
          </w:tcPr>
          <w:p>
            <w:pPr>
              <w:jc w:val="right"/>
              <w:ind w:right="245"/>
              <w:spacing w:after="0" w:line="114" w:lineRule="exact"/>
              <w:rPr>
                <w:sz w:val="20"/>
                <w:szCs w:val="20"/>
                <w:color w:val="auto"/>
              </w:rPr>
            </w:pPr>
            <w:r>
              <w:rPr>
                <w:rFonts w:ascii="Arial" w:cs="Arial" w:eastAsia="Arial" w:hAnsi="Arial"/>
                <w:sz w:val="10"/>
                <w:szCs w:val="10"/>
                <w:b w:val="1"/>
                <w:bCs w:val="1"/>
                <w:color w:val="auto"/>
              </w:rPr>
              <w:t>Warrants</w:t>
            </w:r>
          </w:p>
        </w:tc>
        <w:tc>
          <w:tcPr>
            <w:tcW w:w="20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Liability</w:t>
            </w: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center"/>
              <w:ind w:right="65"/>
              <w:spacing w:after="0" w:line="114" w:lineRule="exact"/>
              <w:rPr>
                <w:sz w:val="20"/>
                <w:szCs w:val="20"/>
                <w:color w:val="auto"/>
              </w:rPr>
            </w:pPr>
            <w:r>
              <w:rPr>
                <w:rFonts w:ascii="Arial" w:cs="Arial" w:eastAsia="Arial" w:hAnsi="Arial"/>
                <w:sz w:val="10"/>
                <w:szCs w:val="10"/>
                <w:b w:val="1"/>
                <w:bCs w:val="1"/>
                <w:color w:val="auto"/>
                <w:w w:val="89"/>
              </w:rPr>
              <w:t>Liability</w:t>
            </w:r>
          </w:p>
        </w:tc>
        <w:tc>
          <w:tcPr>
            <w:tcW w:w="120" w:type="dxa"/>
            <w:vAlign w:val="bottom"/>
            <w:tcBorders>
              <w:bottom w:val="single" w:sz="8" w:color="CFF0FC"/>
            </w:tcBorders>
          </w:tcPr>
          <w:p>
            <w:pPr>
              <w:spacing w:after="0"/>
              <w:rPr>
                <w:sz w:val="9"/>
                <w:szCs w:val="9"/>
                <w:color w:val="auto"/>
              </w:rPr>
            </w:pPr>
          </w:p>
        </w:tc>
      </w:tr>
      <w:tr>
        <w:trPr>
          <w:trHeight w:val="142"/>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118,083</w:t>
            </w: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612"/>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6,024,425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10,822</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72"/>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6"/>
              </w:rPr>
              <w:t>1,354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5,938</w:t>
            </w:r>
          </w:p>
        </w:tc>
        <w:tc>
          <w:tcPr>
            <w:tcW w:w="120" w:type="dxa"/>
            <w:vAlign w:val="bottom"/>
            <w:shd w:val="clear" w:color="auto" w:fill="CFF0FC"/>
          </w:tcPr>
          <w:p>
            <w:pPr>
              <w:spacing w:after="0"/>
              <w:rPr>
                <w:sz w:val="12"/>
                <w:szCs w:val="12"/>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Expiration of Series C Warrants</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(118,083)</w:t>
            </w:r>
          </w:p>
        </w:tc>
        <w:tc>
          <w:tcPr>
            <w:tcW w:w="72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Change in value of 2017 PIPE Warrants</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ind w:left="1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(6,592)</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Change in value of 2018 PIPE Warrants</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(629)</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3"/>
        </w:trPr>
        <w:tc>
          <w:tcPr>
            <w:tcW w:w="3200" w:type="dxa"/>
            <w:vAlign w:val="bottom"/>
            <w:shd w:val="clear" w:color="auto" w:fill="CFF0FC"/>
          </w:tcPr>
          <w:p>
            <w:pPr>
              <w:spacing w:after="0"/>
              <w:rPr>
                <w:sz w:val="20"/>
                <w:szCs w:val="20"/>
                <w:color w:val="auto"/>
              </w:rPr>
            </w:pPr>
            <w:r>
              <w:rPr>
                <w:rFonts w:ascii="Arial" w:cs="Arial" w:eastAsia="Arial" w:hAnsi="Arial"/>
                <w:sz w:val="12"/>
                <w:szCs w:val="12"/>
                <w:color w:val="auto"/>
              </w:rPr>
              <w:t>Change in value of contingent liability</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2"/>
                <w:szCs w:val="12"/>
                <w:color w:val="auto"/>
                <w:w w:val="82"/>
              </w:rPr>
              <w:t>—</w:t>
            </w:r>
          </w:p>
        </w:tc>
        <w:tc>
          <w:tcPr>
            <w:tcW w:w="220" w:type="dxa"/>
            <w:vAlign w:val="bottom"/>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3,426</w:t>
            </w:r>
          </w:p>
        </w:tc>
        <w:tc>
          <w:tcPr>
            <w:tcW w:w="120" w:type="dxa"/>
            <w:vAlign w:val="bottom"/>
            <w:shd w:val="clear" w:color="auto" w:fill="CFF0FC"/>
          </w:tcPr>
          <w:p>
            <w:pPr>
              <w:spacing w:after="0"/>
              <w:rPr>
                <w:sz w:val="13"/>
                <w:szCs w:val="13"/>
                <w:color w:val="auto"/>
              </w:rPr>
            </w:pPr>
          </w:p>
        </w:tc>
      </w:tr>
      <w:tr>
        <w:trPr>
          <w:trHeight w:val="149"/>
        </w:trPr>
        <w:tc>
          <w:tcPr>
            <w:tcW w:w="3200" w:type="dxa"/>
            <w:vAlign w:val="bottom"/>
          </w:tcPr>
          <w:p>
            <w:pPr>
              <w:spacing w:after="0"/>
              <w:rPr>
                <w:sz w:val="20"/>
                <w:szCs w:val="20"/>
                <w:color w:val="auto"/>
              </w:rPr>
            </w:pPr>
            <w:r>
              <w:rPr>
                <w:rFonts w:ascii="Arial" w:cs="Arial" w:eastAsia="Arial" w:hAnsi="Arial"/>
                <w:sz w:val="12"/>
                <w:szCs w:val="12"/>
                <w:color w:val="auto"/>
              </w:rPr>
              <w:t>Balance at June 30, 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82"/>
              </w:rPr>
              <w:t>—</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6,024,425</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4,230</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9,364</w:t>
            </w:r>
          </w:p>
        </w:tc>
        <w:tc>
          <w:tcPr>
            <w:tcW w:w="120" w:type="dxa"/>
            <w:vAlign w:val="bottom"/>
          </w:tcPr>
          <w:p>
            <w:pPr>
              <w:spacing w:after="0"/>
              <w:rPr>
                <w:sz w:val="12"/>
                <w:szCs w:val="12"/>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Warrant Liabilities</w:t>
      </w:r>
    </w:p>
    <w:p>
      <w:pPr>
        <w:spacing w:after="0" w:line="82" w:lineRule="exact"/>
        <w:rPr>
          <w:sz w:val="20"/>
          <w:szCs w:val="20"/>
          <w:color w:val="auto"/>
        </w:rPr>
      </w:pPr>
    </w:p>
    <w:p>
      <w:pPr>
        <w:ind w:right="200" w:firstLine="513"/>
        <w:spacing w:after="0" w:line="276" w:lineRule="auto"/>
        <w:rPr>
          <w:sz w:val="20"/>
          <w:szCs w:val="20"/>
          <w:color w:val="auto"/>
        </w:rPr>
      </w:pPr>
      <w:r>
        <w:rPr>
          <w:rFonts w:ascii="Arial" w:cs="Arial" w:eastAsia="Arial" w:hAnsi="Arial"/>
          <w:sz w:val="12"/>
          <w:szCs w:val="12"/>
          <w:color w:val="auto"/>
        </w:rPr>
        <w:t xml:space="preserve">The Company has issued multiple warrant series, of which the 2017 PIPE Warrants and the 2018 PIPE Warrants (the “Warrants”) remain outstanding at June 30, 2020 and are considered liabilities pursuant to the guidance established by </w:t>
      </w:r>
      <w:r>
        <w:rPr>
          <w:rFonts w:ascii="Arial" w:cs="Arial" w:eastAsia="Arial" w:hAnsi="Arial"/>
          <w:sz w:val="12"/>
          <w:szCs w:val="12"/>
          <w:i w:val="1"/>
          <w:iCs w:val="1"/>
          <w:color w:val="auto"/>
        </w:rPr>
        <w:t>ASC 815 Derivatives and Hedging.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i w:val="1"/>
          <w:iCs w:val="1"/>
          <w:color w:val="auto"/>
        </w:rPr>
        <w:t>Accounting Treatment</w:t>
      </w:r>
    </w:p>
    <w:p>
      <w:pPr>
        <w:spacing w:after="0" w:line="78" w:lineRule="exact"/>
        <w:rPr>
          <w:sz w:val="20"/>
          <w:szCs w:val="20"/>
          <w:color w:val="auto"/>
        </w:rPr>
      </w:pPr>
    </w:p>
    <w:p>
      <w:pPr>
        <w:ind w:right="140" w:firstLine="513"/>
        <w:spacing w:after="0" w:line="263" w:lineRule="auto"/>
        <w:rPr>
          <w:sz w:val="20"/>
          <w:szCs w:val="20"/>
          <w:color w:val="auto"/>
        </w:rPr>
      </w:pPr>
      <w:r>
        <w:rPr>
          <w:rFonts w:ascii="Arial" w:cs="Arial" w:eastAsia="Arial" w:hAnsi="Arial"/>
          <w:sz w:val="12"/>
          <w:szCs w:val="12"/>
          <w:color w:val="auto"/>
        </w:rPr>
        <w:t xml:space="preserve">The Company accounts for the Warrants in accordance with the guidance in </w:t>
      </w:r>
      <w:r>
        <w:rPr>
          <w:rFonts w:ascii="Arial" w:cs="Arial" w:eastAsia="Arial" w:hAnsi="Arial"/>
          <w:sz w:val="12"/>
          <w:szCs w:val="12"/>
          <w:i w:val="1"/>
          <w:iCs w:val="1"/>
          <w:color w:val="auto"/>
        </w:rPr>
        <w:t>ASC 815</w:t>
      </w:r>
      <w:r>
        <w:rPr>
          <w:rFonts w:ascii="Arial" w:cs="Arial" w:eastAsia="Arial" w:hAnsi="Arial"/>
          <w:sz w:val="12"/>
          <w:szCs w:val="12"/>
          <w:color w:val="auto"/>
        </w:rPr>
        <w:t>. As indicated below, the Company may be obligated to settle Warrants in cash. The Company classified the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C Warrants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As of June 30, 2020, the fair value of the Series C Warrants was zero as the warrants had expired. This balance is consistent with the balance as of December 31, 2019.</w:t>
      </w:r>
    </w:p>
    <w:p>
      <w:pPr>
        <w:spacing w:after="0" w:line="150"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The Company calculated the fair value of the Series C Warrants as of December 31, 2019 using a Black-Scholes pricing model. The Black-Scholes pricing model requires the input of highly subjective assumptions including the expected stock price volatility. The Company used the following inputs.</w:t>
      </w:r>
    </w:p>
    <w:p>
      <w:pPr>
        <w:spacing w:after="0" w:line="102"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December 31,</w:t>
            </w:r>
          </w:p>
        </w:tc>
      </w:tr>
      <w:tr>
        <w:trPr>
          <w:trHeight w:val="113"/>
        </w:trPr>
        <w:tc>
          <w:tcPr>
            <w:tcW w:w="20" w:type="dxa"/>
            <w:vAlign w:val="bottom"/>
          </w:tcPr>
          <w:p>
            <w:pPr>
              <w:spacing w:after="0"/>
              <w:rPr>
                <w:sz w:val="9"/>
                <w:szCs w:val="9"/>
                <w:color w:val="auto"/>
              </w:rPr>
            </w:pPr>
          </w:p>
        </w:tc>
        <w:tc>
          <w:tcPr>
            <w:tcW w:w="6460" w:type="dxa"/>
            <w:vAlign w:val="bottom"/>
            <w:tcBorders>
              <w:bottom w:val="single" w:sz="8" w:color="CFF0FC"/>
            </w:tcBorders>
          </w:tcPr>
          <w:p>
            <w:pPr>
              <w:spacing w:after="0"/>
              <w:rPr>
                <w:sz w:val="9"/>
                <w:szCs w:val="9"/>
                <w:color w:val="auto"/>
              </w:rPr>
            </w:pPr>
          </w:p>
        </w:tc>
        <w:tc>
          <w:tcPr>
            <w:tcW w:w="1320" w:type="dxa"/>
            <w:vAlign w:val="bottom"/>
            <w:tcBorders>
              <w:bottom w:val="single" w:sz="8" w:color="auto"/>
            </w:tcBorders>
          </w:tcPr>
          <w:p>
            <w:pPr>
              <w:jc w:val="right"/>
              <w:ind w:right="504"/>
              <w:spacing w:after="0" w:line="114"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Volatility</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90%</w:t>
            </w:r>
          </w:p>
        </w:tc>
      </w:tr>
      <w:tr>
        <w:trPr>
          <w:trHeight w:val="153"/>
        </w:trPr>
        <w:tc>
          <w:tcPr>
            <w:tcW w:w="6480" w:type="dxa"/>
            <w:vAlign w:val="bottom"/>
            <w:gridSpan w:val="2"/>
          </w:tcPr>
          <w:p>
            <w:pPr>
              <w:spacing w:after="0"/>
              <w:rPr>
                <w:sz w:val="20"/>
                <w:szCs w:val="20"/>
                <w:color w:val="auto"/>
              </w:rPr>
            </w:pPr>
            <w:r>
              <w:rPr>
                <w:rFonts w:ascii="Arial" w:cs="Arial" w:eastAsia="Arial" w:hAnsi="Arial"/>
                <w:sz w:val="12"/>
                <w:szCs w:val="12"/>
                <w:color w:val="auto"/>
              </w:rPr>
              <w:t>Contractual term (years)</w:t>
            </w:r>
          </w:p>
        </w:tc>
        <w:tc>
          <w:tcPr>
            <w:tcW w:w="1320" w:type="dxa"/>
            <w:vAlign w:val="bottom"/>
          </w:tcPr>
          <w:p>
            <w:pPr>
              <w:jc w:val="right"/>
              <w:spacing w:after="0"/>
              <w:rPr>
                <w:sz w:val="20"/>
                <w:szCs w:val="20"/>
                <w:color w:val="auto"/>
              </w:rPr>
            </w:pPr>
            <w:r>
              <w:rPr>
                <w:rFonts w:ascii="Arial" w:cs="Arial" w:eastAsia="Arial" w:hAnsi="Arial"/>
                <w:sz w:val="12"/>
                <w:szCs w:val="12"/>
                <w:color w:val="auto"/>
              </w:rPr>
              <w:t>0.17</w:t>
            </w:r>
          </w:p>
        </w:tc>
        <w:tc>
          <w:tcPr>
            <w:tcW w:w="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460" w:type="dxa"/>
            <w:vAlign w:val="bottom"/>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6480" w:type="dxa"/>
            <w:vAlign w:val="bottom"/>
            <w:gridSpan w:val="2"/>
          </w:tcPr>
          <w:p>
            <w:pPr>
              <w:spacing w:after="0"/>
              <w:rPr>
                <w:sz w:val="20"/>
                <w:szCs w:val="20"/>
                <w:color w:val="auto"/>
              </w:rPr>
            </w:pPr>
            <w:r>
              <w:rPr>
                <w:rFonts w:ascii="Arial" w:cs="Arial" w:eastAsia="Arial" w:hAnsi="Arial"/>
                <w:sz w:val="12"/>
                <w:szCs w:val="12"/>
                <w:color w:val="auto"/>
              </w:rPr>
              <w:t>Risk-free rate</w:t>
            </w:r>
          </w:p>
        </w:tc>
        <w:tc>
          <w:tcPr>
            <w:tcW w:w="1440" w:type="dxa"/>
            <w:vAlign w:val="bottom"/>
            <w:gridSpan w:val="2"/>
          </w:tcPr>
          <w:p>
            <w:pPr>
              <w:jc w:val="right"/>
              <w:ind w:right="20"/>
              <w:spacing w:after="0"/>
              <w:rPr>
                <w:sz w:val="20"/>
                <w:szCs w:val="20"/>
                <w:color w:val="auto"/>
              </w:rPr>
            </w:pPr>
            <w:r>
              <w:rPr>
                <w:rFonts w:ascii="Arial" w:cs="Arial" w:eastAsia="Arial" w:hAnsi="Arial"/>
                <w:sz w:val="12"/>
                <w:szCs w:val="12"/>
                <w:color w:val="auto"/>
              </w:rPr>
              <w:t>1.52%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Issued as Part of the Units in the 2017 PIPE Offering</w:t>
      </w:r>
    </w:p>
    <w:p>
      <w:pPr>
        <w:spacing w:after="0" w:line="78" w:lineRule="exact"/>
        <w:rPr>
          <w:sz w:val="20"/>
          <w:szCs w:val="20"/>
          <w:color w:val="auto"/>
        </w:rPr>
      </w:pPr>
    </w:p>
    <w:p>
      <w:pPr>
        <w:jc w:val="both"/>
        <w:ind w:right="140" w:firstLine="513"/>
        <w:spacing w:after="0" w:line="263" w:lineRule="auto"/>
        <w:rPr>
          <w:sz w:val="20"/>
          <w:szCs w:val="20"/>
          <w:color w:val="auto"/>
        </w:rPr>
      </w:pPr>
      <w:r>
        <w:rPr>
          <w:rFonts w:ascii="Arial" w:cs="Arial" w:eastAsia="Arial" w:hAnsi="Arial"/>
          <w:sz w:val="12"/>
          <w:szCs w:val="12"/>
          <w:color w:val="auto"/>
        </w:rPr>
        <w:t>The 2017 PIPE Warrants were issued on December 15, 2017 in the 2017 PIPE Offering, pursuant to a Warrant Agreement with each of the investors in the 2017 PIPE Offering, and entitle the holder of each of the 8,141,116 units to purchase 0.74 shares of the Company’s common stock at an exercise price equal to $2.00 per share, subject to adjustment as discussed below, at any time commencing upon issuance of the 2017 PIPE Warrants and terminating on December 15, 2020.</w:t>
      </w:r>
    </w:p>
    <w:p>
      <w:pPr>
        <w:spacing w:after="0" w:line="122" w:lineRule="exact"/>
        <w:rPr>
          <w:sz w:val="20"/>
          <w:szCs w:val="20"/>
          <w:color w:val="auto"/>
        </w:rPr>
      </w:pPr>
    </w:p>
    <w:p>
      <w:pPr>
        <w:ind w:right="420" w:firstLine="513"/>
        <w:spacing w:after="0" w:line="276" w:lineRule="auto"/>
        <w:rPr>
          <w:sz w:val="20"/>
          <w:szCs w:val="20"/>
          <w:color w:val="auto"/>
        </w:rPr>
      </w:pPr>
      <w:r>
        <w:rPr>
          <w:rFonts w:ascii="Arial" w:cs="Arial" w:eastAsia="Arial" w:hAnsi="Arial"/>
          <w:sz w:val="12"/>
          <w:szCs w:val="12"/>
          <w:color w:val="auto"/>
        </w:rPr>
        <w:t>The exercise price and number of shares of common stock issuable upon exercise of the 2017 PIPE Warrants may be adjusted in certain circumstances, including the event of a stock split, stock dividend, extraordinary dividend, or recapitalization, reorganization, merger or consolidation. However, the exercise price of the 2017 PIPE Warrants will not be reduced below $1.72.</w:t>
      </w:r>
    </w:p>
    <w:p>
      <w:pPr>
        <w:spacing w:after="0" w:line="115" w:lineRule="exact"/>
        <w:rPr>
          <w:sz w:val="20"/>
          <w:szCs w:val="20"/>
          <w:color w:val="auto"/>
        </w:rPr>
      </w:pPr>
    </w:p>
    <w:p>
      <w:pPr>
        <w:ind w:right="400" w:firstLine="513"/>
        <w:spacing w:after="0" w:line="276" w:lineRule="auto"/>
        <w:rPr>
          <w:sz w:val="20"/>
          <w:szCs w:val="20"/>
          <w:color w:val="auto"/>
        </w:rPr>
      </w:pPr>
      <w:r>
        <w:rPr>
          <w:rFonts w:ascii="Arial" w:cs="Arial" w:eastAsia="Arial" w:hAnsi="Arial"/>
          <w:sz w:val="12"/>
          <w:szCs w:val="12"/>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15" w:lineRule="exact"/>
        <w:rPr>
          <w:sz w:val="20"/>
          <w:szCs w:val="20"/>
          <w:color w:val="auto"/>
        </w:rPr>
      </w:pPr>
    </w:p>
    <w:p>
      <w:pPr>
        <w:ind w:right="200" w:firstLine="513"/>
        <w:spacing w:after="0" w:line="323" w:lineRule="auto"/>
        <w:rPr>
          <w:sz w:val="20"/>
          <w:szCs w:val="20"/>
          <w:color w:val="auto"/>
        </w:rPr>
      </w:pPr>
      <w:r>
        <w:rPr>
          <w:rFonts w:ascii="Arial" w:cs="Arial" w:eastAsia="Arial" w:hAnsi="Arial"/>
          <w:sz w:val="11"/>
          <w:szCs w:val="11"/>
          <w:color w:val="auto"/>
        </w:rPr>
        <w:t>As of June 30, 2020, the fair value of the 2017 PIPE Warrants was estimated at $4.2 million. The decrease in the fair value of the liability for the 2017 PIPE Warrants of $3.4 million during the three months ended June 30, 2020 and the decrease in the fair value of $6.6 million during the six months ended June 30, 2020 were recorded as other income (expense) in the condensed consolidated statements of operations.</w:t>
      </w:r>
    </w:p>
    <w:p>
      <w:pPr>
        <w:spacing w:after="0" w:line="92" w:lineRule="exact"/>
        <w:rPr>
          <w:sz w:val="20"/>
          <w:szCs w:val="20"/>
          <w:color w:val="auto"/>
        </w:rPr>
      </w:pPr>
    </w:p>
    <w:p>
      <w:pPr>
        <w:ind w:right="300" w:firstLine="513"/>
        <w:spacing w:after="0" w:line="379" w:lineRule="auto"/>
        <w:rPr>
          <w:sz w:val="20"/>
          <w:szCs w:val="20"/>
          <w:color w:val="auto"/>
        </w:rPr>
      </w:pPr>
      <w:r>
        <w:rPr>
          <w:rFonts w:ascii="Arial" w:cs="Arial" w:eastAsia="Arial" w:hAnsi="Arial"/>
          <w:sz w:val="10"/>
          <w:szCs w:val="10"/>
          <w:color w:val="auto"/>
        </w:rPr>
        <w:t>The Company has calculated the fair value of the 2017 PIPE Warrants as of June 30, 2020 using a Black-Scholes pricing model, and the fair value as of December 31, 2019 using a Monte Carlo simulation of a geometric Brownian motion model. Both models requires the input of highly subjective assumptions including the expected stock price volatility. The following summarizes certain key assumptions used in estimating the fair values.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tcPr>
          <w:p>
            <w:pPr>
              <w:jc w:val="center"/>
              <w:ind w:left="252"/>
              <w:spacing w:after="0"/>
              <w:rPr>
                <w:sz w:val="20"/>
                <w:szCs w:val="20"/>
                <w:color w:val="auto"/>
              </w:rPr>
            </w:pPr>
            <w:r>
              <w:rPr>
                <w:rFonts w:ascii="Arial" w:cs="Arial" w:eastAsia="Arial" w:hAnsi="Arial"/>
                <w:sz w:val="10"/>
                <w:szCs w:val="10"/>
                <w:b w:val="1"/>
                <w:bCs w:val="1"/>
                <w:color w:val="auto"/>
                <w:w w:val="84"/>
              </w:rPr>
              <w:t>June 30,</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720" w:type="dxa"/>
            <w:vAlign w:val="bottom"/>
          </w:tcPr>
          <w:p>
            <w:pPr>
              <w:spacing w:after="0"/>
              <w:rPr>
                <w:sz w:val="10"/>
                <w:szCs w:val="10"/>
                <w:color w:val="auto"/>
              </w:rPr>
            </w:pPr>
          </w:p>
        </w:tc>
      </w:tr>
      <w:tr>
        <w:trPr>
          <w:trHeight w:val="113"/>
        </w:trPr>
        <w:tc>
          <w:tcPr>
            <w:tcW w:w="1700" w:type="dxa"/>
            <w:vAlign w:val="bottom"/>
          </w:tcPr>
          <w:p>
            <w:pPr>
              <w:spacing w:after="0"/>
              <w:rPr>
                <w:sz w:val="9"/>
                <w:szCs w:val="9"/>
                <w:color w:val="auto"/>
              </w:rPr>
            </w:pPr>
          </w:p>
        </w:tc>
        <w:tc>
          <w:tcPr>
            <w:tcW w:w="5360" w:type="dxa"/>
            <w:vAlign w:val="bottom"/>
            <w:tcBorders>
              <w:bottom w:val="single" w:sz="8" w:color="CFF0FC"/>
            </w:tcBorders>
          </w:tcPr>
          <w:p>
            <w:pPr>
              <w:spacing w:after="0"/>
              <w:rPr>
                <w:sz w:val="9"/>
                <w:szCs w:val="9"/>
                <w:color w:val="auto"/>
              </w:rPr>
            </w:pPr>
          </w:p>
        </w:tc>
        <w:tc>
          <w:tcPr>
            <w:tcW w:w="800" w:type="dxa"/>
            <w:vAlign w:val="bottom"/>
            <w:tcBorders>
              <w:bottom w:val="single" w:sz="8" w:color="auto"/>
            </w:tcBorders>
          </w:tcPr>
          <w:p>
            <w:pPr>
              <w:jc w:val="right"/>
              <w:ind w:right="112"/>
              <w:spacing w:after="0" w:line="114"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right"/>
              <w:ind w:right="404"/>
              <w:spacing w:after="0" w:line="114"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9"/>
                <w:szCs w:val="9"/>
                <w:color w:val="auto"/>
              </w:rPr>
            </w:pPr>
          </w:p>
        </w:tc>
        <w:tc>
          <w:tcPr>
            <w:tcW w:w="1720" w:type="dxa"/>
            <w:vAlign w:val="bottom"/>
          </w:tcPr>
          <w:p>
            <w:pPr>
              <w:spacing w:after="0"/>
              <w:rPr>
                <w:sz w:val="9"/>
                <w:szCs w:val="9"/>
                <w:color w:val="auto"/>
              </w:rPr>
            </w:pPr>
          </w:p>
        </w:tc>
      </w:tr>
      <w:tr>
        <w:trPr>
          <w:trHeight w:val="142"/>
        </w:trPr>
        <w:tc>
          <w:tcPr>
            <w:tcW w:w="1700" w:type="dxa"/>
            <w:vAlign w:val="bottom"/>
          </w:tcPr>
          <w:p>
            <w:pPr>
              <w:spacing w:after="0"/>
              <w:rPr>
                <w:sz w:val="12"/>
                <w:szCs w:val="12"/>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Volatility</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99%</w:t>
            </w:r>
          </w:p>
        </w:tc>
        <w:tc>
          <w:tcPr>
            <w:tcW w:w="1720" w:type="dxa"/>
            <w:vAlign w:val="bottom"/>
          </w:tcPr>
          <w:p>
            <w:pPr>
              <w:spacing w:after="0"/>
              <w:rPr>
                <w:sz w:val="12"/>
                <w:szCs w:val="12"/>
                <w:color w:val="auto"/>
              </w:rPr>
            </w:pPr>
          </w:p>
        </w:tc>
      </w:tr>
      <w:tr>
        <w:trPr>
          <w:trHeight w:val="153"/>
        </w:trPr>
        <w:tc>
          <w:tcPr>
            <w:tcW w:w="7860" w:type="dxa"/>
            <w:vAlign w:val="bottom"/>
            <w:gridSpan w:val="3"/>
          </w:tcPr>
          <w:p>
            <w:pPr>
              <w:ind w:left="1680"/>
              <w:spacing w:after="0"/>
              <w:rPr>
                <w:sz w:val="20"/>
                <w:szCs w:val="20"/>
                <w:color w:val="auto"/>
              </w:rPr>
            </w:pPr>
            <w:r>
              <w:rPr>
                <w:rFonts w:ascii="Arial" w:cs="Arial" w:eastAsia="Arial" w:hAnsi="Arial"/>
                <w:sz w:val="12"/>
                <w:szCs w:val="12"/>
                <w:color w:val="auto"/>
              </w:rPr>
              <w:t>Contractual term (years)</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3"/>
        </w:trPr>
        <w:tc>
          <w:tcPr>
            <w:tcW w:w="1700" w:type="dxa"/>
            <w:vAlign w:val="bottom"/>
          </w:tcPr>
          <w:p>
            <w:pPr>
              <w:spacing w:after="0"/>
              <w:rPr>
                <w:sz w:val="13"/>
                <w:szCs w:val="13"/>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1720" w:type="dxa"/>
            <w:vAlign w:val="bottom"/>
          </w:tcPr>
          <w:p>
            <w:pPr>
              <w:spacing w:after="0"/>
              <w:rPr>
                <w:sz w:val="13"/>
                <w:szCs w:val="13"/>
                <w:color w:val="auto"/>
              </w:rPr>
            </w:pPr>
          </w:p>
        </w:tc>
      </w:tr>
      <w:tr>
        <w:trPr>
          <w:trHeight w:val="153"/>
        </w:trPr>
        <w:tc>
          <w:tcPr>
            <w:tcW w:w="7860" w:type="dxa"/>
            <w:vAlign w:val="bottom"/>
            <w:gridSpan w:val="3"/>
          </w:tcPr>
          <w:p>
            <w:pPr>
              <w:ind w:left="1680"/>
              <w:spacing w:after="0"/>
              <w:rPr>
                <w:sz w:val="20"/>
                <w:szCs w:val="20"/>
                <w:color w:val="auto"/>
              </w:rPr>
            </w:pPr>
            <w:r>
              <w:rPr>
                <w:rFonts w:ascii="Arial" w:cs="Arial" w:eastAsia="Arial" w:hAnsi="Arial"/>
                <w:sz w:val="12"/>
                <w:szCs w:val="12"/>
                <w:color w:val="auto"/>
              </w:rPr>
              <w:t>Risk-free rate</w:t>
            </w:r>
          </w:p>
        </w:tc>
        <w:tc>
          <w:tcPr>
            <w:tcW w:w="420" w:type="dxa"/>
            <w:vAlign w:val="bottom"/>
          </w:tcPr>
          <w:p>
            <w:pPr>
              <w:jc w:val="right"/>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13"/>
                <w:szCs w:val="1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1.60%</w:t>
            </w:r>
          </w:p>
        </w:tc>
        <w:tc>
          <w:tcPr>
            <w:tcW w:w="1720" w:type="dxa"/>
            <w:vAlign w:val="bottom"/>
          </w:tcPr>
          <w:p>
            <w:pPr>
              <w:spacing w:after="0"/>
              <w:rPr>
                <w:sz w:val="13"/>
                <w:szCs w:val="13"/>
                <w:color w:val="auto"/>
              </w:rPr>
            </w:pPr>
          </w:p>
        </w:tc>
      </w:tr>
      <w:tr>
        <w:trPr>
          <w:trHeight w:val="432"/>
        </w:trPr>
        <w:tc>
          <w:tcPr>
            <w:tcW w:w="7060" w:type="dxa"/>
            <w:vAlign w:val="bottom"/>
            <w:gridSpan w:val="2"/>
          </w:tcPr>
          <w:p>
            <w:pPr>
              <w:jc w:val="right"/>
              <w:ind w:right="1300"/>
              <w:spacing w:after="0"/>
              <w:rPr>
                <w:sz w:val="20"/>
                <w:szCs w:val="20"/>
                <w:color w:val="auto"/>
              </w:rPr>
            </w:pPr>
            <w:r>
              <w:rPr>
                <w:rFonts w:ascii="Arial" w:cs="Arial" w:eastAsia="Arial" w:hAnsi="Arial"/>
                <w:sz w:val="12"/>
                <w:szCs w:val="12"/>
                <w:color w:val="auto"/>
              </w:rPr>
              <w:t>10</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2"/>
        </w:trPr>
        <w:tc>
          <w:tcPr>
            <w:tcW w:w="1700" w:type="dxa"/>
            <w:vAlign w:val="bottom"/>
            <w:tcBorders>
              <w:bottom w:val="single" w:sz="8" w:color="9A9A9A"/>
            </w:tcBorders>
          </w:tcPr>
          <w:p>
            <w:pPr>
              <w:spacing w:after="0"/>
              <w:rPr>
                <w:sz w:val="6"/>
                <w:szCs w:val="6"/>
                <w:color w:val="auto"/>
              </w:rPr>
            </w:pPr>
          </w:p>
        </w:tc>
        <w:tc>
          <w:tcPr>
            <w:tcW w:w="53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91" w:right="27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Warrants Issued as Part of the Units in the 2018 PIPE Offering</w:t>
      </w:r>
    </w:p>
    <w:p>
      <w:pPr>
        <w:spacing w:after="0" w:line="78"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22" w:lineRule="exact"/>
        <w:rPr>
          <w:sz w:val="20"/>
          <w:szCs w:val="20"/>
          <w:color w:val="auto"/>
        </w:rPr>
      </w:pPr>
    </w:p>
    <w:p>
      <w:pPr>
        <w:ind w:right="380" w:firstLine="513"/>
        <w:spacing w:after="0" w:line="276" w:lineRule="auto"/>
        <w:rPr>
          <w:sz w:val="20"/>
          <w:szCs w:val="20"/>
          <w:color w:val="auto"/>
        </w:rPr>
      </w:pPr>
      <w:r>
        <w:rPr>
          <w:rFonts w:ascii="Arial" w:cs="Arial" w:eastAsia="Arial" w:hAnsi="Arial"/>
          <w:sz w:val="12"/>
          <w:szCs w:val="12"/>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15"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15" w:lineRule="exact"/>
        <w:rPr>
          <w:sz w:val="20"/>
          <w:szCs w:val="20"/>
          <w:color w:val="auto"/>
        </w:rPr>
      </w:pPr>
    </w:p>
    <w:p>
      <w:pPr>
        <w:ind w:right="20" w:firstLine="513"/>
        <w:spacing w:after="0" w:line="323" w:lineRule="auto"/>
        <w:rPr>
          <w:sz w:val="20"/>
          <w:szCs w:val="20"/>
          <w:color w:val="auto"/>
        </w:rPr>
      </w:pPr>
      <w:r>
        <w:rPr>
          <w:rFonts w:ascii="Arial" w:cs="Arial" w:eastAsia="Arial" w:hAnsi="Arial"/>
          <w:sz w:val="11"/>
          <w:szCs w:val="11"/>
          <w:color w:val="auto"/>
        </w:rPr>
        <w:t>As of June 30, 2020, the fair value of the 2018 PIPE Warrants was estimated at $0.7 million. The $0.4 million decrease in the fair value of the liability for the 2018 PIPE Warrants during the three months ended June 30, 2020 and the decrease in the fair value of $0.6 million during the six months ended June 30, 2020 were recorded as other income (expense) in the condensed consolidated statements of operations.</w:t>
      </w:r>
    </w:p>
    <w:p>
      <w:pPr>
        <w:spacing w:after="0" w:line="92" w:lineRule="exact"/>
        <w:rPr>
          <w:sz w:val="20"/>
          <w:szCs w:val="20"/>
          <w:color w:val="auto"/>
        </w:rPr>
      </w:pPr>
    </w:p>
    <w:p>
      <w:pPr>
        <w:ind w:right="260" w:firstLine="513"/>
        <w:spacing w:after="0" w:line="379" w:lineRule="auto"/>
        <w:rPr>
          <w:sz w:val="20"/>
          <w:szCs w:val="20"/>
          <w:color w:val="auto"/>
        </w:rPr>
      </w:pPr>
      <w:r>
        <w:rPr>
          <w:rFonts w:ascii="Arial" w:cs="Arial" w:eastAsia="Arial" w:hAnsi="Arial"/>
          <w:sz w:val="10"/>
          <w:szCs w:val="10"/>
          <w:color w:val="auto"/>
        </w:rPr>
        <w:t>The Company has calculated the fair value of the 2018 PIPE Warrants as of June 30, 2020 using a Black-Scholes pricing model, and the fair value as of December 31, 2019 using a Monte Carlo simulation of a geometric Brownian motion model. Both models require the input of highly subjective assumptions including the expected stock price volatility. The following summarizes certain key assumptions used in estimating the fair values.</w:t>
      </w:r>
    </w:p>
    <w:p>
      <w:pPr>
        <w:spacing w:after="0" w:line="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tcPr>
          <w:p>
            <w:pPr>
              <w:jc w:val="center"/>
              <w:ind w:left="252"/>
              <w:spacing w:after="0"/>
              <w:rPr>
                <w:sz w:val="20"/>
                <w:szCs w:val="20"/>
                <w:color w:val="auto"/>
              </w:rPr>
            </w:pPr>
            <w:r>
              <w:rPr>
                <w:rFonts w:ascii="Arial" w:cs="Arial" w:eastAsia="Arial" w:hAnsi="Arial"/>
                <w:sz w:val="10"/>
                <w:szCs w:val="10"/>
                <w:b w:val="1"/>
                <w:bCs w:val="1"/>
                <w:color w:val="auto"/>
                <w:w w:val="84"/>
              </w:rPr>
              <w:t>June 30,</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r>
      <w:tr>
        <w:trPr>
          <w:trHeight w:val="113"/>
        </w:trPr>
        <w:tc>
          <w:tcPr>
            <w:tcW w:w="20" w:type="dxa"/>
            <w:vAlign w:val="bottom"/>
          </w:tcPr>
          <w:p>
            <w:pPr>
              <w:spacing w:after="0"/>
              <w:rPr>
                <w:sz w:val="9"/>
                <w:szCs w:val="9"/>
                <w:color w:val="auto"/>
              </w:rPr>
            </w:pPr>
          </w:p>
        </w:tc>
        <w:tc>
          <w:tcPr>
            <w:tcW w:w="5360" w:type="dxa"/>
            <w:vAlign w:val="bottom"/>
            <w:tcBorders>
              <w:bottom w:val="single" w:sz="8" w:color="CFF0FC"/>
            </w:tcBorders>
          </w:tcPr>
          <w:p>
            <w:pPr>
              <w:spacing w:after="0"/>
              <w:rPr>
                <w:sz w:val="9"/>
                <w:szCs w:val="9"/>
                <w:color w:val="auto"/>
              </w:rPr>
            </w:pPr>
          </w:p>
        </w:tc>
        <w:tc>
          <w:tcPr>
            <w:tcW w:w="800" w:type="dxa"/>
            <w:vAlign w:val="bottom"/>
            <w:tcBorders>
              <w:bottom w:val="single" w:sz="8" w:color="auto"/>
            </w:tcBorders>
          </w:tcPr>
          <w:p>
            <w:pPr>
              <w:jc w:val="right"/>
              <w:ind w:right="112"/>
              <w:spacing w:after="0" w:line="114" w:lineRule="exact"/>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080" w:type="dxa"/>
            <w:vAlign w:val="bottom"/>
            <w:tcBorders>
              <w:bottom w:val="single" w:sz="8" w:color="auto"/>
            </w:tcBorders>
          </w:tcPr>
          <w:p>
            <w:pPr>
              <w:jc w:val="right"/>
              <w:ind w:right="404"/>
              <w:spacing w:after="0" w:line="114"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9"/>
                <w:szCs w:val="9"/>
                <w:color w:val="auto"/>
              </w:rPr>
            </w:pPr>
          </w:p>
        </w:tc>
      </w:tr>
      <w:tr>
        <w:trPr>
          <w:trHeight w:val="142"/>
        </w:trPr>
        <w:tc>
          <w:tcPr>
            <w:tcW w:w="20" w:type="dxa"/>
            <w:vAlign w:val="bottom"/>
          </w:tcPr>
          <w:p>
            <w:pPr>
              <w:spacing w:after="0"/>
              <w:rPr>
                <w:sz w:val="12"/>
                <w:szCs w:val="12"/>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Volatility</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99%</w:t>
            </w:r>
          </w:p>
        </w:tc>
      </w:tr>
      <w:tr>
        <w:trPr>
          <w:trHeight w:val="153"/>
        </w:trPr>
        <w:tc>
          <w:tcPr>
            <w:tcW w:w="6180" w:type="dxa"/>
            <w:vAlign w:val="bottom"/>
            <w:gridSpan w:val="3"/>
          </w:tcPr>
          <w:p>
            <w:pPr>
              <w:spacing w:after="0"/>
              <w:rPr>
                <w:sz w:val="20"/>
                <w:szCs w:val="20"/>
                <w:color w:val="auto"/>
              </w:rPr>
            </w:pPr>
            <w:r>
              <w:rPr>
                <w:rFonts w:ascii="Arial" w:cs="Arial" w:eastAsia="Arial" w:hAnsi="Arial"/>
                <w:sz w:val="12"/>
                <w:szCs w:val="12"/>
                <w:color w:val="auto"/>
              </w:rPr>
              <w:t>Contractual term (years)</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Expected dividend yield</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gridSpan w:val="3"/>
          </w:tcPr>
          <w:p>
            <w:pPr>
              <w:spacing w:after="0"/>
              <w:rPr>
                <w:sz w:val="20"/>
                <w:szCs w:val="20"/>
                <w:color w:val="auto"/>
              </w:rPr>
            </w:pPr>
            <w:r>
              <w:rPr>
                <w:rFonts w:ascii="Arial" w:cs="Arial" w:eastAsia="Arial" w:hAnsi="Arial"/>
                <w:sz w:val="12"/>
                <w:szCs w:val="12"/>
                <w:color w:val="auto"/>
              </w:rPr>
              <w:t>Risk-free rate</w:t>
            </w:r>
          </w:p>
        </w:tc>
        <w:tc>
          <w:tcPr>
            <w:tcW w:w="420" w:type="dxa"/>
            <w:vAlign w:val="bottom"/>
          </w:tcPr>
          <w:p>
            <w:pPr>
              <w:jc w:val="right"/>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13"/>
                <w:szCs w:val="13"/>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2"/>
                <w:szCs w:val="12"/>
                <w:color w:val="auto"/>
              </w:rPr>
              <w:t>1.56%</w:t>
            </w:r>
          </w:p>
        </w:tc>
      </w:tr>
    </w:tbl>
    <w:p>
      <w:pPr>
        <w:spacing w:after="0" w:line="162" w:lineRule="exact"/>
        <w:rPr>
          <w:sz w:val="20"/>
          <w:szCs w:val="20"/>
          <w:color w:val="auto"/>
        </w:rPr>
      </w:pPr>
    </w:p>
    <w:p>
      <w:pPr>
        <w:ind w:right="60" w:firstLine="513"/>
        <w:spacing w:after="0" w:line="276" w:lineRule="auto"/>
        <w:rPr>
          <w:sz w:val="20"/>
          <w:szCs w:val="20"/>
          <w:color w:val="auto"/>
        </w:rPr>
      </w:pPr>
      <w:r>
        <w:rPr>
          <w:rFonts w:ascii="Arial" w:cs="Arial" w:eastAsia="Arial" w:hAnsi="Arial"/>
          <w:sz w:val="12"/>
          <w:szCs w:val="12"/>
          <w:color w:val="auto"/>
        </w:rPr>
        <w:t>The Black-Scholes pricing model and the Monte Carlo simulation of a geometric Brownian motion model require the use of highly subjective assumptions to estimate the fair value of stock-based awards. These assumptions include the following estimates.</w:t>
      </w:r>
    </w:p>
    <w:p>
      <w:pPr>
        <w:spacing w:after="0" w:line="43" w:lineRule="exact"/>
        <w:rPr>
          <w:sz w:val="20"/>
          <w:szCs w:val="20"/>
          <w:color w:val="auto"/>
        </w:rPr>
      </w:pPr>
    </w:p>
    <w:p>
      <w:pPr>
        <w:ind w:left="880" w:hanging="375"/>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Volatility: </w:t>
      </w:r>
      <w:r>
        <w:rPr>
          <w:rFonts w:ascii="Arial" w:cs="Arial" w:eastAsia="Arial" w:hAnsi="Arial"/>
          <w:sz w:val="12"/>
          <w:szCs w:val="12"/>
          <w:color w:val="auto"/>
        </w:rPr>
        <w:t>The Company calculates the estimated volatility rate based on the volatilities of common stock of comparable companies in its industry.</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Contractual term: </w:t>
      </w:r>
      <w:r>
        <w:rPr>
          <w:rFonts w:ascii="Arial" w:cs="Arial" w:eastAsia="Arial" w:hAnsi="Arial"/>
          <w:sz w:val="12"/>
          <w:szCs w:val="12"/>
          <w:color w:val="auto"/>
        </w:rPr>
        <w:t>The expected life of the warrants, which is based on the contractual term of the warrants.</w:t>
      </w:r>
    </w:p>
    <w:p>
      <w:pPr>
        <w:spacing w:after="0" w:line="78" w:lineRule="exact"/>
        <w:rPr>
          <w:rFonts w:ascii="Arial" w:cs="Arial" w:eastAsia="Arial" w:hAnsi="Arial"/>
          <w:sz w:val="12"/>
          <w:szCs w:val="12"/>
          <w:color w:val="auto"/>
        </w:rPr>
      </w:pPr>
    </w:p>
    <w:p>
      <w:pPr>
        <w:ind w:left="880" w:right="400" w:hanging="375"/>
        <w:spacing w:after="0" w:line="276"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Expected dividend yield: </w:t>
      </w:r>
      <w:r>
        <w:rPr>
          <w:rFonts w:ascii="Arial" w:cs="Arial" w:eastAsia="Arial" w:hAnsi="Arial"/>
          <w:sz w:val="12"/>
          <w:szCs w:val="12"/>
          <w:color w:val="auto"/>
        </w:rPr>
        <w:t>The Company has never declared or paid any cash dividends and does not currently plan to pay cash dividends in the foreseeable future. Consequently, the Company used an expected</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yield of zero.</w:t>
      </w:r>
    </w:p>
    <w:p>
      <w:pPr>
        <w:spacing w:after="0" w:line="42" w:lineRule="exact"/>
        <w:rPr>
          <w:rFonts w:ascii="Arial" w:cs="Arial" w:eastAsia="Arial" w:hAnsi="Arial"/>
          <w:sz w:val="12"/>
          <w:szCs w:val="12"/>
          <w:color w:val="auto"/>
        </w:rPr>
      </w:pPr>
    </w:p>
    <w:p>
      <w:pPr>
        <w:ind w:left="880" w:hanging="375"/>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Risk-free rate: </w:t>
      </w:r>
      <w:r>
        <w:rPr>
          <w:rFonts w:ascii="Arial" w:cs="Arial" w:eastAsia="Arial" w:hAnsi="Arial"/>
          <w:sz w:val="12"/>
          <w:szCs w:val="12"/>
          <w:color w:val="auto"/>
        </w:rPr>
        <w:t>The risk-free interest rate is based on the U.S. Treasury rate for similar periods as those of expected volatility.</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Commitments and Contingencies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Facility Leases</w:t>
      </w:r>
    </w:p>
    <w:p>
      <w:pPr>
        <w:spacing w:after="0" w:line="78" w:lineRule="exact"/>
        <w:rPr>
          <w:sz w:val="20"/>
          <w:szCs w:val="20"/>
          <w:color w:val="auto"/>
        </w:rPr>
      </w:pPr>
    </w:p>
    <w:p>
      <w:pPr>
        <w:ind w:right="40" w:firstLine="513"/>
        <w:spacing w:after="0" w:line="323" w:lineRule="auto"/>
        <w:rPr>
          <w:sz w:val="20"/>
          <w:szCs w:val="20"/>
          <w:color w:val="auto"/>
        </w:rPr>
      </w:pPr>
      <w:r>
        <w:rPr>
          <w:rFonts w:ascii="Arial" w:cs="Arial" w:eastAsia="Arial" w:hAnsi="Arial"/>
          <w:sz w:val="11"/>
          <w:szCs w:val="11"/>
          <w:color w:val="auto"/>
        </w:rPr>
        <w:t>The Company’s previous operating lease for its headquarters facility office space in Redwood City, California, terminated in August 2019, along with the related subleases. One of the subleases was with Capnia, of which the Company was a joint owner until September 2019. Sublease income received from Capnia during the three and six months ended June 30, 2019 was approximately $25,000 and $49,000, respectively.</w:t>
      </w:r>
    </w:p>
    <w:p>
      <w:pPr>
        <w:spacing w:after="0" w:line="20"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In July 2019, the Company executed a non-cancellable lease agreement for 6,368 square feet of new space in Redwood City, California, which began in September 2019 and expires in May 2021. The lease also provides the Company with the right to use office furniture in the space and allows the purchase of this furniture at the end of the lease term for $1. The lease agreement requires monthly lease payments of approximately $29,000 beginning in November of 2019, with an increase to approximately $30,000 per month in September of 2020. The Company has accounted for the new lease as an operating lease for the office space and a finance lease for the office furniture, based on their relative standalone prices.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11" w:name="page12"/>
    <w:bookmarkEnd w:id="11"/>
    <w:p>
      <w:pPr>
        <w:ind w:left="500"/>
        <w:spacing w:after="0"/>
        <w:rPr>
          <w:sz w:val="20"/>
          <w:szCs w:val="20"/>
          <w:color w:val="auto"/>
        </w:rPr>
      </w:pPr>
      <w:r>
        <w:rPr>
          <w:rFonts w:ascii="Arial" w:cs="Arial" w:eastAsia="Arial" w:hAnsi="Arial"/>
          <w:sz w:val="12"/>
          <w:szCs w:val="12"/>
          <w:color w:val="auto"/>
        </w:rPr>
        <w:t>The components of lease expense during the three and six months ended June 30, 2020 and 2019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94"/>
              </w:rPr>
              <w:t>Three Months Ended</w:t>
            </w: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Six Months Ended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7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79"/>
              </w:rPr>
              <w:t>June 30,</w:t>
            </w: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w w:val="79"/>
              </w:rPr>
              <w:t>June 30,</w:t>
            </w: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5780" w:type="dxa"/>
            <w:vAlign w:val="bottom"/>
            <w:tcBorders>
              <w:bottom w:val="single" w:sz="8" w:color="CFF0FC"/>
            </w:tcBorders>
          </w:tcPr>
          <w:p>
            <w:pPr>
              <w:spacing w:after="0"/>
              <w:rPr>
                <w:sz w:val="8"/>
                <w:szCs w:val="8"/>
                <w:color w:val="auto"/>
              </w:rPr>
            </w:pPr>
          </w:p>
        </w:tc>
        <w:tc>
          <w:tcPr>
            <w:tcW w:w="740" w:type="dxa"/>
            <w:vAlign w:val="bottom"/>
            <w:tcBorders>
              <w:bottom w:val="single" w:sz="8" w:color="auto"/>
            </w:tcBorders>
          </w:tcPr>
          <w:p>
            <w:pPr>
              <w:jc w:val="right"/>
              <w:ind w:right="52"/>
              <w:spacing w:after="0" w:line="97"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82"/>
              <w:spacing w:after="0" w:line="97" w:lineRule="exact"/>
              <w:rPr>
                <w:sz w:val="20"/>
                <w:szCs w:val="20"/>
                <w:color w:val="auto"/>
              </w:rPr>
            </w:pPr>
            <w:r>
              <w:rPr>
                <w:rFonts w:ascii="Arial" w:cs="Arial" w:eastAsia="Arial" w:hAnsi="Arial"/>
                <w:sz w:val="10"/>
                <w:szCs w:val="10"/>
                <w:b w:val="1"/>
                <w:bCs w:val="1"/>
                <w:color w:val="auto"/>
              </w:rPr>
              <w:t>2019</w:t>
            </w:r>
          </w:p>
        </w:tc>
        <w:tc>
          <w:tcPr>
            <w:tcW w:w="34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403"/>
              <w:spacing w:after="0" w:line="97" w:lineRule="exact"/>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7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60"/>
              <w:spacing w:after="0"/>
              <w:rPr>
                <w:sz w:val="20"/>
                <w:szCs w:val="20"/>
                <w:color w:val="auto"/>
              </w:rPr>
            </w:pPr>
            <w:r>
              <w:rPr>
                <w:rFonts w:ascii="Arial" w:cs="Arial" w:eastAsia="Arial" w:hAnsi="Arial"/>
                <w:sz w:val="12"/>
                <w:szCs w:val="12"/>
                <w:color w:val="auto"/>
              </w:rPr>
              <w:t>Operating lease cost</w:t>
            </w: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77</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113</w:t>
            </w:r>
          </w:p>
        </w:tc>
        <w:tc>
          <w:tcPr>
            <w:tcW w:w="340" w:type="dxa"/>
            <w:vAlign w:val="bottom"/>
          </w:tcPr>
          <w:p>
            <w:pPr>
              <w:spacing w:after="0"/>
              <w:rPr>
                <w:sz w:val="13"/>
                <w:szCs w:val="13"/>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153</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Sublease income</w:t>
            </w:r>
          </w:p>
        </w:tc>
        <w:tc>
          <w:tcPr>
            <w:tcW w:w="74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(65)</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2"/>
                <w:szCs w:val="12"/>
                <w:color w:val="auto"/>
              </w:rPr>
              <w:t>Total operating lease cost</w:t>
            </w: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80" w:type="dxa"/>
            <w:vAlign w:val="bottom"/>
            <w:vMerge w:val="continue"/>
          </w:tcPr>
          <w:p>
            <w:pPr>
              <w:spacing w:after="0"/>
              <w:rPr>
                <w:sz w:val="12"/>
                <w:szCs w:val="12"/>
                <w:color w:val="auto"/>
              </w:rPr>
            </w:pP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77</w:t>
            </w:r>
          </w:p>
        </w:tc>
        <w:tc>
          <w:tcPr>
            <w:tcW w:w="32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48</w:t>
            </w:r>
          </w:p>
        </w:tc>
        <w:tc>
          <w:tcPr>
            <w:tcW w:w="34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153</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7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Finance lease cost:</w:t>
            </w:r>
          </w:p>
        </w:tc>
        <w:tc>
          <w:tcPr>
            <w:tcW w:w="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780" w:type="dxa"/>
            <w:vAlign w:val="bottom"/>
          </w:tcPr>
          <w:p>
            <w:pPr>
              <w:ind w:left="160"/>
              <w:spacing w:after="0"/>
              <w:rPr>
                <w:sz w:val="20"/>
                <w:szCs w:val="20"/>
                <w:color w:val="auto"/>
              </w:rPr>
            </w:pPr>
            <w:r>
              <w:rPr>
                <w:rFonts w:ascii="Arial" w:cs="Arial" w:eastAsia="Arial" w:hAnsi="Arial"/>
                <w:sz w:val="12"/>
                <w:szCs w:val="12"/>
                <w:color w:val="auto"/>
              </w:rPr>
              <w:t>Amortization of right-of-use assets</w:t>
            </w: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Interest on lease liabilities</w:t>
            </w:r>
          </w:p>
        </w:tc>
        <w:tc>
          <w:tcPr>
            <w:tcW w:w="74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3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20"/>
                <w:szCs w:val="20"/>
                <w:color w:val="auto"/>
              </w:rPr>
            </w:pPr>
            <w:r>
              <w:rPr>
                <w:rFonts w:ascii="Arial" w:cs="Arial" w:eastAsia="Arial" w:hAnsi="Arial"/>
                <w:sz w:val="12"/>
                <w:szCs w:val="12"/>
                <w:color w:val="auto"/>
              </w:rPr>
              <w:t>Total finance lease cost</w:t>
            </w:r>
          </w:p>
        </w:tc>
        <w:tc>
          <w:tcPr>
            <w:tcW w:w="740" w:type="dxa"/>
            <w:vAlign w:val="bottom"/>
          </w:tcPr>
          <w:p>
            <w:pPr>
              <w:jc w:val="right"/>
              <w:ind w:right="63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w:t>
            </w:r>
          </w:p>
        </w:tc>
        <w:tc>
          <w:tcPr>
            <w:tcW w:w="32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6</w:t>
            </w:r>
          </w:p>
        </w:tc>
        <w:tc>
          <w:tcPr>
            <w:tcW w:w="6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Contingencies</w:t>
      </w:r>
    </w:p>
    <w:p>
      <w:pPr>
        <w:spacing w:after="0" w:line="78"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CoSense Joint Venture Agreement and Discontinued Operations</w:t>
      </w:r>
    </w:p>
    <w:p>
      <w:pPr>
        <w:spacing w:after="0" w:line="154" w:lineRule="exact"/>
        <w:rPr>
          <w:sz w:val="20"/>
          <w:szCs w:val="20"/>
          <w:color w:val="auto"/>
        </w:rPr>
      </w:pPr>
    </w:p>
    <w:p>
      <w:pPr>
        <w:ind w:right="20" w:firstLine="513"/>
        <w:spacing w:after="0" w:line="255" w:lineRule="auto"/>
        <w:rPr>
          <w:sz w:val="20"/>
          <w:szCs w:val="20"/>
          <w:color w:val="auto"/>
        </w:rPr>
      </w:pPr>
      <w:r>
        <w:rPr>
          <w:rFonts w:ascii="Arial" w:cs="Arial" w:eastAsia="Arial" w:hAnsi="Arial"/>
          <w:sz w:val="12"/>
          <w:szCs w:val="12"/>
          <w:color w:val="auto"/>
        </w:rPr>
        <w:t>In December 2017, the Company entered into a joint venture with OptAsia Healthcare Limited, or OAHL, with respect to its CoSense product by agreeing to sell shares of Capnia, its then wholly-owned subsidiary, to OAHL. CoSense was Soleno’s first Sensalyze Technology Platform product to receive 510(k) clearances from the FDA and CE Mark certification. The Company’s entry into the joint venture resulted from a comprehensive review of strategic alternatives for its legacy products and product candidates following its transition to a primarily therapeutic drug product company. The terms of the Joint Venture Agreement provided that OAHL would invest up to a total of $2.2 million in Capnia’s common shares on an incremental quarterly basis commencing in December 2017. OAHL was also responsible for funding a portion of the Capnia operations. The Joint Venture Agreement provided that Capnia would issue shares of common stock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28" w:lineRule="exact"/>
        <w:rPr>
          <w:sz w:val="20"/>
          <w:szCs w:val="20"/>
          <w:color w:val="auto"/>
        </w:rPr>
      </w:pPr>
    </w:p>
    <w:p>
      <w:pPr>
        <w:ind w:right="40" w:firstLine="513"/>
        <w:spacing w:after="0" w:line="255" w:lineRule="auto"/>
        <w:rPr>
          <w:sz w:val="20"/>
          <w:szCs w:val="20"/>
          <w:color w:val="auto"/>
        </w:rPr>
      </w:pPr>
      <w:r>
        <w:rPr>
          <w:rFonts w:ascii="Arial" w:cs="Arial" w:eastAsia="Arial" w:hAnsi="Arial"/>
          <w:sz w:val="12"/>
          <w:szCs w:val="12"/>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from those of the Company. The remaining 47% investment in Capnia was classified as an equity method investment and was presented as a Minority interest investment in former subsidiary in the condensed consolidated balance sheet. The Company’s share of Capnia’s net losses during the three and six months ended June 30, 2019 are recorded in the condensed consolidated statements of operations in the line titled “Loss from minority interest investment”. During September 2019, the Company sold its remaining 47% investment in Capnia. Following the transaction, the Company has no interest remaining in Capnia and the previous joint venture agreement with OAHL has been terminated.</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Incentive Plans</w:t>
      </w:r>
    </w:p>
    <w:p>
      <w:pPr>
        <w:spacing w:after="0" w:line="78" w:lineRule="exact"/>
        <w:rPr>
          <w:sz w:val="20"/>
          <w:szCs w:val="20"/>
          <w:color w:val="auto"/>
        </w:rPr>
      </w:pPr>
    </w:p>
    <w:p>
      <w:pPr>
        <w:ind w:firstLine="513"/>
        <w:spacing w:after="0" w:line="263" w:lineRule="auto"/>
        <w:rPr>
          <w:sz w:val="20"/>
          <w:szCs w:val="20"/>
          <w:color w:val="auto"/>
        </w:rPr>
      </w:pPr>
      <w:r>
        <w:rPr>
          <w:rFonts w:ascii="Arial" w:cs="Arial" w:eastAsia="Arial" w:hAnsi="Arial"/>
          <w:sz w:val="12"/>
          <w:szCs w:val="12"/>
          <w:color w:val="auto"/>
        </w:rPr>
        <w:t>The Company has adopted the 2014 Equity Incentive Plan, or the Plan. Under the Plan the Company may grant stock options, stock appreciation rights, restricted stock, restricted stock units, performance units or performance shares to employees, directors, advisors, and consultants. Options granted under the Plan may be incentive stock options (“ISOs”) or nonqualified stock options (“NSOs”). ISOs may be granted only to Company employees, including officers and directors.</w:t>
      </w:r>
    </w:p>
    <w:p>
      <w:pPr>
        <w:spacing w:after="0" w:line="122"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12" w:name="page13"/>
    <w:bookmarkEnd w:id="12"/>
    <w:p>
      <w:pPr>
        <w:jc w:val="both"/>
        <w:ind w:right="60"/>
        <w:spacing w:after="0" w:line="263" w:lineRule="auto"/>
        <w:rPr>
          <w:sz w:val="20"/>
          <w:szCs w:val="20"/>
          <w:color w:val="auto"/>
        </w:rPr>
      </w:pPr>
      <w:r>
        <w:rPr>
          <w:rFonts w:ascii="Arial" w:cs="Arial" w:eastAsia="Arial" w:hAnsi="Arial"/>
          <w:sz w:val="12"/>
          <w:szCs w:val="12"/>
          <w:color w:val="auto"/>
        </w:rPr>
        <w:t>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June 30, 2020, a total of 1,818,603 shares are available for future grant under the Plan.</w:t>
      </w:r>
    </w:p>
    <w:p>
      <w:pPr>
        <w:spacing w:after="0" w:line="122" w:lineRule="exact"/>
        <w:rPr>
          <w:sz w:val="20"/>
          <w:szCs w:val="20"/>
          <w:color w:val="auto"/>
        </w:rPr>
      </w:pPr>
    </w:p>
    <w:p>
      <w:pPr>
        <w:jc w:val="both"/>
        <w:ind w:right="40" w:firstLine="513"/>
        <w:spacing w:after="0" w:line="323" w:lineRule="auto"/>
        <w:rPr>
          <w:sz w:val="20"/>
          <w:szCs w:val="20"/>
          <w:color w:val="auto"/>
        </w:rPr>
      </w:pPr>
      <w:r>
        <w:rPr>
          <w:rFonts w:ascii="Arial" w:cs="Arial" w:eastAsia="Arial" w:hAnsi="Arial"/>
          <w:sz w:val="11"/>
          <w:szCs w:val="11"/>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statements of operations for stock-based compensation arrangements during any of the periods presented.</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Stock-based compensation expense was recognized in the condensed consolidated statements of operations as follows (in thousands).</w:t>
      </w:r>
    </w:p>
    <w:p>
      <w:pPr>
        <w:spacing w:after="0" w:line="20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900" w:type="dxa"/>
            <w:vAlign w:val="bottom"/>
            <w:gridSpan w:val="4"/>
          </w:tcPr>
          <w:p>
            <w:pPr>
              <w:jc w:val="right"/>
              <w:ind w:right="152"/>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4"/>
          </w:tcPr>
          <w:p>
            <w:pPr>
              <w:jc w:val="right"/>
              <w:ind w:right="563"/>
              <w:spacing w:after="0"/>
              <w:rPr>
                <w:sz w:val="20"/>
                <w:szCs w:val="20"/>
                <w:color w:val="auto"/>
              </w:rPr>
            </w:pPr>
            <w:r>
              <w:rPr>
                <w:rFonts w:ascii="Arial" w:cs="Arial" w:eastAsia="Arial" w:hAnsi="Arial"/>
                <w:sz w:val="10"/>
                <w:szCs w:val="10"/>
                <w:b w:val="1"/>
                <w:bCs w:val="1"/>
                <w:color w:val="auto"/>
              </w:rPr>
              <w:t>Six Months Ended June 30,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40" w:type="dxa"/>
            <w:vAlign w:val="bottom"/>
            <w:tcBorders>
              <w:bottom w:val="single" w:sz="8" w:color="CFF0FC"/>
            </w:tcBorders>
          </w:tcPr>
          <w:p>
            <w:pPr>
              <w:spacing w:after="0"/>
              <w:rPr>
                <w:sz w:val="8"/>
                <w:szCs w:val="8"/>
                <w:color w:val="auto"/>
              </w:rPr>
            </w:pPr>
          </w:p>
        </w:tc>
        <w:tc>
          <w:tcPr>
            <w:tcW w:w="980" w:type="dxa"/>
            <w:vAlign w:val="bottom"/>
            <w:tcBorders>
              <w:bottom w:val="single" w:sz="8" w:color="CFF0FC"/>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2020</w:t>
            </w:r>
          </w:p>
        </w:tc>
        <w:tc>
          <w:tcPr>
            <w:tcW w:w="30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CFF0FC"/>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365"/>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top w:val="single" w:sz="8" w:color="auto"/>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ind w:right="423"/>
              <w:spacing w:after="0" w:line="97" w:lineRule="exact"/>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2"/>
                <w:szCs w:val="12"/>
                <w:color w:val="auto"/>
              </w:rPr>
              <w:t>Research and development</w:t>
            </w:r>
          </w:p>
        </w:tc>
        <w:tc>
          <w:tcPr>
            <w:tcW w:w="168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w:t>
            </w:r>
          </w:p>
        </w:tc>
        <w:tc>
          <w:tcPr>
            <w:tcW w:w="900" w:type="dxa"/>
            <w:vAlign w:val="bottom"/>
            <w:gridSpan w:val="2"/>
            <w:shd w:val="clear" w:color="auto" w:fill="CFF0FC"/>
          </w:tcPr>
          <w:p>
            <w:pPr>
              <w:jc w:val="right"/>
              <w:ind w:right="61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2260" w:type="dxa"/>
            <w:vAlign w:val="bottom"/>
            <w:gridSpan w:val="2"/>
          </w:tcPr>
          <w:p>
            <w:pPr>
              <w:spacing w:after="0"/>
              <w:rPr>
                <w:sz w:val="20"/>
                <w:szCs w:val="20"/>
                <w:color w:val="auto"/>
              </w:rPr>
            </w:pPr>
            <w:r>
              <w:rPr>
                <w:rFonts w:ascii="Arial" w:cs="Arial" w:eastAsia="Arial" w:hAnsi="Arial"/>
                <w:sz w:val="12"/>
                <w:szCs w:val="12"/>
                <w:color w:val="auto"/>
              </w:rPr>
              <w:t>General and administrative</w:t>
            </w: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279</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171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572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23"/>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Total</w:t>
            </w:r>
          </w:p>
        </w:tc>
        <w:tc>
          <w:tcPr>
            <w:tcW w:w="9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vMerge w:val="continue"/>
            <w:shd w:val="clear" w:color="auto" w:fill="CFF0FC"/>
          </w:tcPr>
          <w:p>
            <w:pPr>
              <w:spacing w:after="0"/>
              <w:rPr>
                <w:sz w:val="12"/>
                <w:szCs w:val="12"/>
                <w:color w:val="auto"/>
              </w:rPr>
            </w:pPr>
          </w:p>
        </w:tc>
        <w:tc>
          <w:tcPr>
            <w:tcW w:w="1680" w:type="dxa"/>
            <w:vAlign w:val="bottom"/>
            <w:gridSpan w:val="2"/>
            <w:shd w:val="clear" w:color="auto" w:fill="CFF0FC"/>
          </w:tcPr>
          <w:p>
            <w:pPr>
              <w:jc w:val="right"/>
              <w:ind w:right="59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341</w:t>
            </w:r>
          </w:p>
        </w:tc>
        <w:tc>
          <w:tcPr>
            <w:tcW w:w="900" w:type="dxa"/>
            <w:vAlign w:val="bottom"/>
            <w:gridSpan w:val="2"/>
            <w:shd w:val="clear" w:color="auto" w:fill="CFF0FC"/>
          </w:tcPr>
          <w:p>
            <w:pPr>
              <w:jc w:val="right"/>
              <w:ind w:right="61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220</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Borders>
              <w:right w:val="single" w:sz="8" w:color="CFF0FC"/>
            </w:tcBorders>
            <w:shd w:val="clear" w:color="auto" w:fill="CFF0FC"/>
          </w:tcPr>
          <w:p>
            <w:pPr>
              <w:jc w:val="right"/>
              <w:ind w:right="23"/>
              <w:spacing w:after="0"/>
              <w:rPr>
                <w:sz w:val="20"/>
                <w:szCs w:val="20"/>
                <w:color w:val="auto"/>
              </w:rPr>
            </w:pPr>
            <w:r>
              <w:rPr>
                <w:rFonts w:ascii="Arial" w:cs="Arial" w:eastAsia="Arial" w:hAnsi="Arial"/>
                <w:sz w:val="12"/>
                <w:szCs w:val="12"/>
                <w:color w:val="auto"/>
              </w:rPr>
              <w:t>468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4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Options</w:t>
      </w:r>
    </w:p>
    <w:p>
      <w:pPr>
        <w:spacing w:after="0" w:line="82"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The Company granted options to purchase 452,650 and 114,142 of the Company’s common stock during the three months ended June 30, 2020 and 2019, respectively, and granted options to purchase 452,650 and 578,142 of the Company’s common stock during the six months ended June 30, 2020 and 2019, respectively. The fair value of each award was estimated on the date of grant using the Black-Scholes option pricing model with the following assumptions.</w:t>
      </w:r>
    </w:p>
    <w:p>
      <w:pPr>
        <w:spacing w:after="0" w:line="17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580" w:type="dxa"/>
            <w:vAlign w:val="bottom"/>
            <w:gridSpan w:val="4"/>
          </w:tcPr>
          <w:p>
            <w:pPr>
              <w:ind w:left="600"/>
              <w:spacing w:after="0"/>
              <w:rPr>
                <w:sz w:val="20"/>
                <w:szCs w:val="20"/>
                <w:color w:val="auto"/>
              </w:rPr>
            </w:pPr>
            <w:r>
              <w:rPr>
                <w:rFonts w:ascii="Arial" w:cs="Arial" w:eastAsia="Arial" w:hAnsi="Arial"/>
                <w:sz w:val="10"/>
                <w:szCs w:val="10"/>
                <w:b w:val="1"/>
                <w:bCs w:val="1"/>
                <w:color w:val="auto"/>
              </w:rPr>
              <w:t>Three Months Ended June 30,</w:t>
            </w:r>
          </w:p>
        </w:tc>
        <w:tc>
          <w:tcPr>
            <w:tcW w:w="2480" w:type="dxa"/>
            <w:vAlign w:val="bottom"/>
            <w:gridSpan w:val="3"/>
          </w:tcPr>
          <w:p>
            <w:pPr>
              <w:ind w:left="680"/>
              <w:spacing w:after="0"/>
              <w:rPr>
                <w:sz w:val="20"/>
                <w:szCs w:val="20"/>
                <w:color w:val="auto"/>
              </w:rPr>
            </w:pPr>
            <w:r>
              <w:rPr>
                <w:rFonts w:ascii="Arial" w:cs="Arial" w:eastAsia="Arial" w:hAnsi="Arial"/>
                <w:sz w:val="10"/>
                <w:szCs w:val="10"/>
                <w:b w:val="1"/>
                <w:bCs w:val="1"/>
                <w:color w:val="auto"/>
              </w:rPr>
              <w:t>Six Months Ended June 30,</w:t>
            </w:r>
          </w:p>
        </w:tc>
      </w:tr>
      <w:tr>
        <w:trPr>
          <w:trHeight w:val="142"/>
        </w:trPr>
        <w:tc>
          <w:tcPr>
            <w:tcW w:w="20" w:type="dxa"/>
            <w:vAlign w:val="bottom"/>
          </w:tcPr>
          <w:p>
            <w:pPr>
              <w:spacing w:after="0"/>
              <w:rPr>
                <w:sz w:val="12"/>
                <w:szCs w:val="12"/>
                <w:color w:val="auto"/>
              </w:rPr>
            </w:pPr>
          </w:p>
        </w:tc>
        <w:tc>
          <w:tcPr>
            <w:tcW w:w="284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2020</w:t>
            </w:r>
          </w:p>
        </w:tc>
        <w:tc>
          <w:tcPr>
            <w:tcW w:w="200" w:type="dxa"/>
            <w:vAlign w:val="bottom"/>
            <w:tcBorders>
              <w:top w:val="single" w:sz="8" w:color="auto"/>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2020</w:t>
            </w:r>
          </w:p>
        </w:tc>
        <w:tc>
          <w:tcPr>
            <w:tcW w:w="200" w:type="dxa"/>
            <w:vAlign w:val="bottom"/>
            <w:tcBorders>
              <w:top w:val="single" w:sz="8" w:color="auto"/>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r>
      <w:tr>
        <w:trPr>
          <w:trHeight w:val="142"/>
        </w:trPr>
        <w:tc>
          <w:tcPr>
            <w:tcW w:w="20" w:type="dxa"/>
            <w:vAlign w:val="bottom"/>
          </w:tcPr>
          <w:p>
            <w:pPr>
              <w:spacing w:after="0"/>
              <w:rPr>
                <w:sz w:val="12"/>
                <w:szCs w:val="12"/>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Expected life (years)</w:t>
            </w:r>
          </w:p>
        </w:tc>
        <w:tc>
          <w:tcPr>
            <w:tcW w:w="10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5.5-6.0</w:t>
            </w: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5.5-6.0</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5.5-6.0</w:t>
            </w:r>
          </w:p>
        </w:tc>
        <w:tc>
          <w:tcPr>
            <w:tcW w:w="200" w:type="dxa"/>
            <w:vAlign w:val="bottom"/>
            <w:shd w:val="clear" w:color="auto" w:fill="CFF0FC"/>
          </w:tcPr>
          <w:p>
            <w:pPr>
              <w:spacing w:after="0"/>
              <w:rPr>
                <w:sz w:val="12"/>
                <w:szCs w:val="12"/>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0"/>
              </w:rPr>
              <w:t>5.5-6.1</w:t>
            </w:r>
          </w:p>
        </w:tc>
      </w:tr>
      <w:tr>
        <w:trPr>
          <w:trHeight w:val="153"/>
        </w:trPr>
        <w:tc>
          <w:tcPr>
            <w:tcW w:w="2860" w:type="dxa"/>
            <w:vAlign w:val="bottom"/>
            <w:gridSpan w:val="2"/>
          </w:tcPr>
          <w:p>
            <w:pPr>
              <w:spacing w:after="0"/>
              <w:rPr>
                <w:sz w:val="20"/>
                <w:szCs w:val="20"/>
                <w:color w:val="auto"/>
              </w:rPr>
            </w:pPr>
            <w:r>
              <w:rPr>
                <w:rFonts w:ascii="Arial" w:cs="Arial" w:eastAsia="Arial" w:hAnsi="Arial"/>
                <w:sz w:val="12"/>
                <w:szCs w:val="12"/>
                <w:color w:val="auto"/>
              </w:rPr>
              <w:t>Risk-free interest rate</w:t>
            </w:r>
          </w:p>
        </w:tc>
        <w:tc>
          <w:tcPr>
            <w:tcW w:w="1080" w:type="dxa"/>
            <w:vAlign w:val="bottom"/>
          </w:tcPr>
          <w:p>
            <w:pPr>
              <w:jc w:val="center"/>
              <w:spacing w:after="0"/>
              <w:rPr>
                <w:sz w:val="20"/>
                <w:szCs w:val="20"/>
                <w:color w:val="auto"/>
              </w:rPr>
            </w:pPr>
            <w:r>
              <w:rPr>
                <w:rFonts w:ascii="Arial" w:cs="Arial" w:eastAsia="Arial" w:hAnsi="Arial"/>
                <w:sz w:val="12"/>
                <w:szCs w:val="12"/>
                <w:color w:val="auto"/>
                <w:w w:val="91"/>
              </w:rPr>
              <w:t>0.4%-0.5%</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1"/>
              </w:rPr>
              <w:t>1.9%-2.3%</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2"/>
                <w:szCs w:val="12"/>
                <w:color w:val="auto"/>
                <w:w w:val="91"/>
              </w:rPr>
              <w:t>0.4%-0.5%</w:t>
            </w:r>
          </w:p>
        </w:tc>
        <w:tc>
          <w:tcPr>
            <w:tcW w:w="2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1"/>
              </w:rPr>
              <w:t>1.9%-2.6%</w:t>
            </w:r>
          </w:p>
        </w:tc>
      </w:tr>
      <w:tr>
        <w:trPr>
          <w:trHeight w:val="153"/>
        </w:trPr>
        <w:tc>
          <w:tcPr>
            <w:tcW w:w="20" w:type="dxa"/>
            <w:vAlign w:val="bottom"/>
          </w:tcPr>
          <w:p>
            <w:pPr>
              <w:spacing w:after="0"/>
              <w:rPr>
                <w:sz w:val="13"/>
                <w:szCs w:val="13"/>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Volatility</w:t>
            </w:r>
          </w:p>
        </w:tc>
        <w:tc>
          <w:tcPr>
            <w:tcW w:w="10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64%</w:t>
            </w: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2"/>
              </w:rPr>
              <w:t>70%-71%</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1"/>
              </w:rPr>
              <w:t>64%</w:t>
            </w:r>
          </w:p>
        </w:tc>
        <w:tc>
          <w:tcPr>
            <w:tcW w:w="200" w:type="dxa"/>
            <w:vAlign w:val="bottom"/>
            <w:shd w:val="clear" w:color="auto" w:fill="CFF0FC"/>
          </w:tcPr>
          <w:p>
            <w:pPr>
              <w:spacing w:after="0"/>
              <w:rPr>
                <w:sz w:val="13"/>
                <w:szCs w:val="13"/>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92"/>
              </w:rPr>
              <w:t>70%-71%</w:t>
            </w:r>
          </w:p>
        </w:tc>
      </w:tr>
      <w:tr>
        <w:trPr>
          <w:trHeight w:val="153"/>
        </w:trPr>
        <w:tc>
          <w:tcPr>
            <w:tcW w:w="2860" w:type="dxa"/>
            <w:vAlign w:val="bottom"/>
            <w:gridSpan w:val="2"/>
          </w:tcPr>
          <w:p>
            <w:pPr>
              <w:spacing w:after="0"/>
              <w:rPr>
                <w:sz w:val="20"/>
                <w:szCs w:val="20"/>
                <w:color w:val="auto"/>
              </w:rPr>
            </w:pPr>
            <w:r>
              <w:rPr>
                <w:rFonts w:ascii="Arial" w:cs="Arial" w:eastAsia="Arial" w:hAnsi="Arial"/>
                <w:sz w:val="12"/>
                <w:szCs w:val="12"/>
                <w:color w:val="auto"/>
              </w:rPr>
              <w:t>Dividend rate</w:t>
            </w:r>
          </w:p>
        </w:tc>
        <w:tc>
          <w:tcPr>
            <w:tcW w:w="1280" w:type="dxa"/>
            <w:vAlign w:val="bottom"/>
            <w:gridSpan w:val="2"/>
          </w:tcPr>
          <w:p>
            <w:pPr>
              <w:jc w:val="center"/>
              <w:ind w:right="200"/>
              <w:spacing w:after="0"/>
              <w:rPr>
                <w:sz w:val="20"/>
                <w:szCs w:val="20"/>
                <w:color w:val="auto"/>
              </w:rPr>
            </w:pPr>
            <w:r>
              <w:rPr>
                <w:rFonts w:ascii="Arial" w:cs="Arial" w:eastAsia="Arial" w:hAnsi="Arial"/>
                <w:sz w:val="12"/>
                <w:szCs w:val="12"/>
                <w:color w:val="auto"/>
              </w:rPr>
              <w:t>— %</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color w:val="auto"/>
              </w:rPr>
              <w:t>— %</w:t>
            </w: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color w:val="auto"/>
              </w:rPr>
              <w:t>— %</w:t>
            </w:r>
          </w:p>
        </w:tc>
        <w:tc>
          <w:tcPr>
            <w:tcW w:w="1180" w:type="dxa"/>
            <w:vAlign w:val="bottom"/>
          </w:tcPr>
          <w:p>
            <w:pPr>
              <w:jc w:val="center"/>
              <w:spacing w:after="0"/>
              <w:rPr>
                <w:sz w:val="20"/>
                <w:szCs w:val="20"/>
                <w:color w:val="auto"/>
              </w:rPr>
            </w:pPr>
            <w:r>
              <w:rPr>
                <w:rFonts w:ascii="Arial" w:cs="Arial" w:eastAsia="Arial" w:hAnsi="Arial"/>
                <w:sz w:val="12"/>
                <w:szCs w:val="12"/>
                <w:color w:val="auto"/>
              </w:rPr>
              <w:t>— %</w:t>
            </w:r>
          </w:p>
        </w:tc>
      </w:tr>
    </w:tbl>
    <w:p>
      <w:pPr>
        <w:spacing w:after="0" w:line="15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Black-Scholes option-pricing model requires the use of highly subjective assumptions to estimate the fair value of stock-based awards. These assumptions include the following estimates:</w:t>
      </w:r>
    </w:p>
    <w:p>
      <w:pPr>
        <w:spacing w:after="0" w:line="78" w:lineRule="exact"/>
        <w:rPr>
          <w:sz w:val="20"/>
          <w:szCs w:val="20"/>
          <w:color w:val="auto"/>
        </w:rPr>
      </w:pPr>
    </w:p>
    <w:p>
      <w:pPr>
        <w:ind w:left="880" w:hanging="375"/>
        <w:spacing w:after="0" w:line="263"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Expected life: </w:t>
      </w:r>
      <w:r>
        <w:rPr>
          <w:rFonts w:ascii="Arial" w:cs="Arial" w:eastAsia="Arial" w:hAnsi="Arial"/>
          <w:sz w:val="12"/>
          <w:szCs w:val="12"/>
          <w:color w:val="auto"/>
        </w:rPr>
        <w:t>The expected life of stock options represents the average of the contractual term of the options and the weighted-average vesting period, as permitted under the simplified method. The Company does not</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50" w:lineRule="exact"/>
        <w:rPr>
          <w:rFonts w:ascii="Arial" w:cs="Arial" w:eastAsia="Arial" w:hAnsi="Arial"/>
          <w:sz w:val="12"/>
          <w:szCs w:val="12"/>
          <w:color w:val="auto"/>
        </w:rPr>
      </w:pPr>
    </w:p>
    <w:p>
      <w:pPr>
        <w:ind w:left="880" w:hanging="375"/>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is based on the yields of U.S. Treasury securities with maturities similar to the expected time to liquidity.</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Volatility: </w:t>
      </w:r>
      <w:r>
        <w:rPr>
          <w:rFonts w:ascii="Arial" w:cs="Arial" w:eastAsia="Arial" w:hAnsi="Arial"/>
          <w:sz w:val="12"/>
          <w:szCs w:val="12"/>
          <w:color w:val="auto"/>
        </w:rPr>
        <w:t>The estimated volatility rate based on the volatilities of common stock of comparable companies in the Company’s industry.</w:t>
      </w:r>
    </w:p>
    <w:p>
      <w:pPr>
        <w:spacing w:after="0" w:line="78" w:lineRule="exact"/>
        <w:rPr>
          <w:rFonts w:ascii="Arial" w:cs="Arial" w:eastAsia="Arial" w:hAnsi="Arial"/>
          <w:sz w:val="12"/>
          <w:szCs w:val="12"/>
          <w:color w:val="auto"/>
        </w:rPr>
      </w:pPr>
    </w:p>
    <w:p>
      <w:pPr>
        <w:ind w:left="880" w:right="60" w:hanging="375"/>
        <w:spacing w:after="0" w:line="276"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Dividend rate: </w:t>
      </w:r>
      <w:r>
        <w:rPr>
          <w:rFonts w:ascii="Arial" w:cs="Arial" w:eastAsia="Arial" w:hAnsi="Arial"/>
          <w:sz w:val="12"/>
          <w:szCs w:val="12"/>
          <w:color w:val="auto"/>
        </w:rPr>
        <w:t>The Company has never declared or paid any cash dividends and does not presently plan to pay cash dividends in the foreseeable future. Consequently, the Company used an expected dividend yield of</w:t>
      </w:r>
      <w:r>
        <w:rPr>
          <w:rFonts w:ascii="Arial" w:cs="Arial" w:eastAsia="Arial" w:hAnsi="Arial"/>
          <w:sz w:val="12"/>
          <w:szCs w:val="12"/>
          <w:i w:val="1"/>
          <w:iCs w:val="1"/>
          <w:color w:val="auto"/>
        </w:rPr>
        <w:t xml:space="preserve"> </w:t>
      </w:r>
      <w:r>
        <w:rPr>
          <w:rFonts w:ascii="Arial" w:cs="Arial" w:eastAsia="Arial" w:hAnsi="Arial"/>
          <w:sz w:val="12"/>
          <w:szCs w:val="12"/>
          <w:color w:val="auto"/>
        </w:rPr>
        <w:t>zero.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13" w:name="page14"/>
    <w:bookmarkEnd w:id="13"/>
    <w:p>
      <w:pPr>
        <w:ind w:left="500"/>
        <w:spacing w:after="0"/>
        <w:rPr>
          <w:sz w:val="20"/>
          <w:szCs w:val="20"/>
          <w:color w:val="auto"/>
        </w:rPr>
      </w:pPr>
      <w:r>
        <w:rPr>
          <w:rFonts w:ascii="Arial" w:cs="Arial" w:eastAsia="Arial" w:hAnsi="Arial"/>
          <w:sz w:val="12"/>
          <w:szCs w:val="12"/>
          <w:color w:val="auto"/>
        </w:rPr>
        <w:t>The following table summarizes stock option transactions for the six months ended June 30, 2020 as issued under the 2014 Plan: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6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6"/>
              </w:rPr>
              <w:t>Weighted-</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6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6"/>
              </w:rPr>
              <w:t>Average</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Remaining</w:t>
            </w:r>
          </w:p>
        </w:tc>
      </w:tr>
      <w:tr>
        <w:trPr>
          <w:trHeight w:val="99"/>
        </w:trPr>
        <w:tc>
          <w:tcPr>
            <w:tcW w:w="6680" w:type="dxa"/>
            <w:vAlign w:val="bottom"/>
          </w:tcPr>
          <w:p>
            <w:pPr>
              <w:spacing w:after="0"/>
              <w:rPr>
                <w:sz w:val="8"/>
                <w:szCs w:val="8"/>
                <w:color w:val="auto"/>
              </w:rPr>
            </w:pPr>
          </w:p>
        </w:tc>
        <w:tc>
          <w:tcPr>
            <w:tcW w:w="15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Number of</w:t>
            </w:r>
          </w:p>
        </w:tc>
        <w:tc>
          <w:tcPr>
            <w:tcW w:w="1000" w:type="dxa"/>
            <w:vAlign w:val="bottom"/>
          </w:tcPr>
          <w:p>
            <w:pPr>
              <w:jc w:val="center"/>
              <w:ind w:left="292"/>
              <w:spacing w:after="0" w:line="99" w:lineRule="exact"/>
              <w:rPr>
                <w:sz w:val="20"/>
                <w:szCs w:val="20"/>
                <w:color w:val="auto"/>
              </w:rPr>
            </w:pPr>
            <w:r>
              <w:rPr>
                <w:rFonts w:ascii="Arial" w:cs="Arial" w:eastAsia="Arial" w:hAnsi="Arial"/>
                <w:sz w:val="10"/>
                <w:szCs w:val="10"/>
                <w:b w:val="1"/>
                <w:bCs w:val="1"/>
                <w:color w:val="auto"/>
                <w:w w:val="82"/>
              </w:rPr>
              <w:t>Exercise</w:t>
            </w: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Contractual</w:t>
            </w:r>
          </w:p>
        </w:tc>
      </w:tr>
      <w:tr>
        <w:trPr>
          <w:trHeight w:val="108"/>
        </w:trPr>
        <w:tc>
          <w:tcPr>
            <w:tcW w:w="6680" w:type="dxa"/>
            <w:vAlign w:val="bottom"/>
          </w:tcPr>
          <w:p>
            <w:pPr>
              <w:spacing w:after="0"/>
              <w:rPr>
                <w:sz w:val="9"/>
                <w:szCs w:val="9"/>
                <w:color w:val="auto"/>
              </w:rPr>
            </w:pPr>
          </w:p>
        </w:tc>
        <w:tc>
          <w:tcPr>
            <w:tcW w:w="158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84"/>
              </w:rPr>
              <w:t>Options</w:t>
            </w:r>
          </w:p>
        </w:tc>
        <w:tc>
          <w:tcPr>
            <w:tcW w:w="1000" w:type="dxa"/>
            <w:vAlign w:val="bottom"/>
          </w:tcPr>
          <w:p>
            <w:pPr>
              <w:jc w:val="center"/>
              <w:ind w:left="292"/>
              <w:spacing w:after="0" w:line="108" w:lineRule="exact"/>
              <w:rPr>
                <w:sz w:val="20"/>
                <w:szCs w:val="20"/>
                <w:color w:val="auto"/>
              </w:rPr>
            </w:pPr>
            <w:r>
              <w:rPr>
                <w:rFonts w:ascii="Arial" w:cs="Arial" w:eastAsia="Arial" w:hAnsi="Arial"/>
                <w:sz w:val="10"/>
                <w:szCs w:val="10"/>
                <w:b w:val="1"/>
                <w:bCs w:val="1"/>
                <w:color w:val="auto"/>
                <w:w w:val="88"/>
              </w:rPr>
              <w:t>Price per</w:t>
            </w: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89"/>
              </w:rPr>
              <w:t>Term</w:t>
            </w:r>
          </w:p>
        </w:tc>
      </w:tr>
      <w:tr>
        <w:trPr>
          <w:trHeight w:val="113"/>
        </w:trPr>
        <w:tc>
          <w:tcPr>
            <w:tcW w:w="6680" w:type="dxa"/>
            <w:vAlign w:val="bottom"/>
          </w:tcPr>
          <w:p>
            <w:pPr>
              <w:spacing w:after="0"/>
              <w:rPr>
                <w:sz w:val="9"/>
                <w:szCs w:val="9"/>
                <w:color w:val="auto"/>
              </w:rPr>
            </w:pPr>
          </w:p>
        </w:tc>
        <w:tc>
          <w:tcPr>
            <w:tcW w:w="15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8"/>
              </w:rPr>
              <w:t>Outstanding</w:t>
            </w:r>
          </w:p>
        </w:tc>
        <w:tc>
          <w:tcPr>
            <w:tcW w:w="1000" w:type="dxa"/>
            <w:vAlign w:val="bottom"/>
          </w:tcPr>
          <w:p>
            <w:pPr>
              <w:jc w:val="center"/>
              <w:ind w:left="272"/>
              <w:spacing w:after="0" w:line="114" w:lineRule="exact"/>
              <w:rPr>
                <w:sz w:val="20"/>
                <w:szCs w:val="20"/>
                <w:color w:val="auto"/>
              </w:rPr>
            </w:pPr>
            <w:r>
              <w:rPr>
                <w:rFonts w:ascii="Arial" w:cs="Arial" w:eastAsia="Arial" w:hAnsi="Arial"/>
                <w:sz w:val="10"/>
                <w:szCs w:val="10"/>
                <w:b w:val="1"/>
                <w:bCs w:val="1"/>
                <w:color w:val="auto"/>
                <w:w w:val="86"/>
              </w:rPr>
              <w:t>Share</w:t>
            </w: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9"/>
              </w:rPr>
              <w:t>(in years)</w:t>
            </w:r>
          </w:p>
        </w:tc>
      </w:tr>
      <w:tr>
        <w:trPr>
          <w:trHeight w:val="142"/>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December 31, 2019</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2,123,117</w:t>
            </w:r>
          </w:p>
        </w:tc>
        <w:tc>
          <w:tcPr>
            <w:tcW w:w="26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4.62</w:t>
            </w:r>
          </w:p>
        </w:tc>
        <w:tc>
          <w:tcPr>
            <w:tcW w:w="260" w:type="dxa"/>
            <w:vAlign w:val="bottom"/>
            <w:tcBorders>
              <w:top w:val="single" w:sz="8" w:color="CFF0FC"/>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Options granted</w:t>
            </w:r>
          </w:p>
        </w:tc>
        <w:tc>
          <w:tcPr>
            <w:tcW w:w="1320" w:type="dxa"/>
            <w:vAlign w:val="bottom"/>
          </w:tcPr>
          <w:p>
            <w:pPr>
              <w:jc w:val="right"/>
              <w:spacing w:after="0"/>
              <w:rPr>
                <w:sz w:val="20"/>
                <w:szCs w:val="20"/>
                <w:color w:val="auto"/>
              </w:rPr>
            </w:pPr>
            <w:r>
              <w:rPr>
                <w:rFonts w:ascii="Arial" w:cs="Arial" w:eastAsia="Arial" w:hAnsi="Arial"/>
                <w:sz w:val="12"/>
                <w:szCs w:val="12"/>
                <w:color w:val="auto"/>
              </w:rPr>
              <w:t>452,650</w:t>
            </w:r>
          </w:p>
        </w:tc>
        <w:tc>
          <w:tcPr>
            <w:tcW w:w="260" w:type="dxa"/>
            <w:vAlign w:val="bottom"/>
          </w:tcPr>
          <w:p>
            <w:pPr>
              <w:spacing w:after="0"/>
              <w:rPr>
                <w:sz w:val="13"/>
                <w:szCs w:val="13"/>
                <w:color w:val="auto"/>
              </w:rPr>
            </w:pP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3.41</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6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(8,518)</w:t>
            </w:r>
          </w:p>
        </w:tc>
        <w:tc>
          <w:tcPr>
            <w:tcW w:w="1000" w:type="dxa"/>
            <w:vAlign w:val="bottom"/>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6680" w:type="dxa"/>
            <w:vAlign w:val="bottom"/>
          </w:tcPr>
          <w:p>
            <w:pPr>
              <w:ind w:left="160"/>
              <w:spacing w:after="0"/>
              <w:rPr>
                <w:sz w:val="20"/>
                <w:szCs w:val="20"/>
                <w:color w:val="auto"/>
              </w:rPr>
            </w:pPr>
            <w:r>
              <w:rPr>
                <w:rFonts w:ascii="Arial" w:cs="Arial" w:eastAsia="Arial" w:hAnsi="Arial"/>
                <w:sz w:val="12"/>
                <w:szCs w:val="12"/>
                <w:color w:val="auto"/>
              </w:rPr>
              <w:t>Options canceled/forfeited</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(67,969)</w:t>
            </w:r>
          </w:p>
        </w:tc>
        <w:tc>
          <w:tcPr>
            <w:tcW w:w="1000" w:type="dxa"/>
            <w:vAlign w:val="bottom"/>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rPr>
              <w:t>2.26</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June 30,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2,499,280</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4.47</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47"/>
        </w:trPr>
        <w:tc>
          <w:tcPr>
            <w:tcW w:w="66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Options vested at June 30,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1,362,956</w:t>
            </w:r>
          </w:p>
        </w:tc>
        <w:tc>
          <w:tcPr>
            <w:tcW w:w="2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6.18</w:t>
            </w:r>
          </w:p>
        </w:tc>
        <w:tc>
          <w:tcPr>
            <w:tcW w:w="2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6.93</w:t>
            </w:r>
          </w:p>
        </w:tc>
        <w:tc>
          <w:tcPr>
            <w:tcW w:w="120" w:type="dxa"/>
            <w:vAlign w:val="bottom"/>
            <w:tcBorders>
              <w:bottom w:val="single" w:sz="8" w:color="CFF0FC"/>
            </w:tcBorders>
          </w:tcPr>
          <w:p>
            <w:pPr>
              <w:spacing w:after="0"/>
              <w:rPr>
                <w:sz w:val="12"/>
                <w:szCs w:val="12"/>
                <w:color w:val="auto"/>
              </w:rPr>
            </w:pPr>
          </w:p>
        </w:tc>
      </w:tr>
      <w:tr>
        <w:trPr>
          <w:trHeight w:val="160"/>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Options vested and expected to vest at June 30,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2,499,280</w:t>
            </w:r>
          </w:p>
        </w:tc>
        <w:tc>
          <w:tcPr>
            <w:tcW w:w="26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4.47</w:t>
            </w:r>
          </w:p>
        </w:tc>
        <w:tc>
          <w:tcPr>
            <w:tcW w:w="26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7.79</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62"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The weighted-average grant date fair value of options granted was $1.95 and $1.18 per share for the six months ended June 30, 2020 and 2019, respectively. At June 30, 2020 total unrecognized employee stock-based compensation related to stock options was $1.6 million, which is expected to be recognized over the weighted-average remaining vesting period of 2.7 years. As of June 30, 2020, the outstanding stock options had an intrinsic value of $0.7 million.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Units</w:t>
      </w:r>
    </w:p>
    <w:p>
      <w:pPr>
        <w:spacing w:after="0" w:line="82"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There were 16,461 and 16,708 restricted stock units granted by the Company during the three months ended June 30, 2020 and 2019, respectively, and 703,718 and 38,123 restricted stock units granted during the six months ended June 30, 2020 and 2019,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summarizes restricted stock unit transactions for the six months ended June 30, 2020 as issued under the Plan:</w:t>
      </w:r>
    </w:p>
    <w:tbl>
      <w:tblPr>
        <w:tblLayout w:type="fixed"/>
        <w:tblInd w:w="0" w:type="dxa"/>
        <w:tblCellMar>
          <w:top w:w="0" w:type="dxa"/>
          <w:left w:w="0" w:type="dxa"/>
          <w:bottom w:w="0" w:type="dxa"/>
          <w:right w:w="0" w:type="dxa"/>
        </w:tblCellMar>
      </w:tblPr>
      <w:tr>
        <w:trPr>
          <w:trHeight w:val="108"/>
        </w:trPr>
        <w:tc>
          <w:tcPr>
            <w:tcW w:w="8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tcPr>
          <w:p>
            <w:pPr>
              <w:jc w:val="center"/>
              <w:ind w:right="340"/>
              <w:spacing w:after="0" w:line="109" w:lineRule="exact"/>
              <w:rPr>
                <w:sz w:val="20"/>
                <w:szCs w:val="20"/>
                <w:color w:val="auto"/>
              </w:rPr>
            </w:pPr>
            <w:r>
              <w:rPr>
                <w:rFonts w:ascii="Arial" w:cs="Arial" w:eastAsia="Arial" w:hAnsi="Arial"/>
                <w:sz w:val="10"/>
                <w:szCs w:val="10"/>
                <w:b w:val="1"/>
                <w:bCs w:val="1"/>
                <w:color w:val="auto"/>
                <w:w w:val="86"/>
              </w:rPr>
              <w:t>Weighted-</w:t>
            </w:r>
          </w:p>
        </w:tc>
      </w:tr>
      <w:tr>
        <w:trPr>
          <w:trHeight w:val="99"/>
        </w:trPr>
        <w:tc>
          <w:tcPr>
            <w:tcW w:w="8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8640" w:type="dxa"/>
            <w:vAlign w:val="bottom"/>
          </w:tcPr>
          <w:p>
            <w:pPr>
              <w:spacing w:after="0"/>
              <w:rPr>
                <w:sz w:val="8"/>
                <w:szCs w:val="8"/>
                <w:color w:val="auto"/>
              </w:rPr>
            </w:pPr>
          </w:p>
        </w:tc>
        <w:tc>
          <w:tcPr>
            <w:tcW w:w="1420" w:type="dxa"/>
            <w:vAlign w:val="bottom"/>
            <w:gridSpan w:val="2"/>
          </w:tcPr>
          <w:p>
            <w:pPr>
              <w:jc w:val="right"/>
              <w:ind w:right="640"/>
              <w:spacing w:after="0" w:line="99" w:lineRule="exact"/>
              <w:rPr>
                <w:sz w:val="20"/>
                <w:szCs w:val="20"/>
                <w:color w:val="auto"/>
              </w:rPr>
            </w:pPr>
            <w:r>
              <w:rPr>
                <w:rFonts w:ascii="Arial" w:cs="Arial" w:eastAsia="Arial" w:hAnsi="Arial"/>
                <w:sz w:val="10"/>
                <w:szCs w:val="10"/>
                <w:b w:val="1"/>
                <w:bCs w:val="1"/>
                <w:color w:val="auto"/>
              </w:rPr>
              <w:t>Number of</w:t>
            </w:r>
          </w:p>
        </w:tc>
        <w:tc>
          <w:tcPr>
            <w:tcW w:w="124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w w:val="99"/>
              </w:rPr>
              <w:t>Grant-Date Fair Value per</w:t>
            </w:r>
          </w:p>
        </w:tc>
      </w:tr>
      <w:tr>
        <w:trPr>
          <w:trHeight w:val="113"/>
        </w:trPr>
        <w:tc>
          <w:tcPr>
            <w:tcW w:w="8640" w:type="dxa"/>
            <w:vAlign w:val="bottom"/>
          </w:tcPr>
          <w:p>
            <w:pPr>
              <w:spacing w:after="0"/>
              <w:rPr>
                <w:sz w:val="9"/>
                <w:szCs w:val="9"/>
                <w:color w:val="auto"/>
              </w:rPr>
            </w:pPr>
          </w:p>
        </w:tc>
        <w:tc>
          <w:tcPr>
            <w:tcW w:w="142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93"/>
              </w:rPr>
              <w:t>Restricted Stock Units</w:t>
            </w:r>
          </w:p>
        </w:tc>
        <w:tc>
          <w:tcPr>
            <w:tcW w:w="200" w:type="dxa"/>
            <w:vAlign w:val="bottom"/>
          </w:tcPr>
          <w:p>
            <w:pPr>
              <w:spacing w:after="0"/>
              <w:rPr>
                <w:sz w:val="9"/>
                <w:szCs w:val="9"/>
                <w:color w:val="auto"/>
              </w:rPr>
            </w:pPr>
          </w:p>
        </w:tc>
        <w:tc>
          <w:tcPr>
            <w:tcW w:w="10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Share</w:t>
            </w:r>
          </w:p>
        </w:tc>
      </w:tr>
      <w:tr>
        <w:trPr>
          <w:trHeight w:val="153"/>
        </w:trPr>
        <w:tc>
          <w:tcPr>
            <w:tcW w:w="8640" w:type="dxa"/>
            <w:vAlign w:val="bottom"/>
            <w:shd w:val="clear" w:color="auto" w:fill="CFF0FC"/>
          </w:tcPr>
          <w:p>
            <w:pPr>
              <w:spacing w:after="0"/>
              <w:rPr>
                <w:sz w:val="20"/>
                <w:szCs w:val="20"/>
                <w:color w:val="auto"/>
              </w:rPr>
            </w:pPr>
            <w:r>
              <w:rPr>
                <w:rFonts w:ascii="Arial" w:cs="Arial" w:eastAsia="Arial" w:hAnsi="Arial"/>
                <w:sz w:val="12"/>
                <w:szCs w:val="12"/>
                <w:color w:val="auto"/>
              </w:rPr>
              <w:t>Outstanding at December 31, 2019</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3"/>
        </w:trPr>
        <w:tc>
          <w:tcPr>
            <w:tcW w:w="8640" w:type="dxa"/>
            <w:vAlign w:val="bottom"/>
          </w:tcPr>
          <w:p>
            <w:pPr>
              <w:ind w:left="160"/>
              <w:spacing w:after="0"/>
              <w:rPr>
                <w:sz w:val="20"/>
                <w:szCs w:val="20"/>
                <w:color w:val="auto"/>
              </w:rPr>
            </w:pPr>
            <w:r>
              <w:rPr>
                <w:rFonts w:ascii="Arial" w:cs="Arial" w:eastAsia="Arial" w:hAnsi="Arial"/>
                <w:sz w:val="12"/>
                <w:szCs w:val="12"/>
                <w:color w:val="auto"/>
              </w:rPr>
              <w:t>Restricted stock units granted</w:t>
            </w:r>
          </w:p>
        </w:tc>
        <w:tc>
          <w:tcPr>
            <w:tcW w:w="1120" w:type="dxa"/>
            <w:vAlign w:val="bottom"/>
          </w:tcPr>
          <w:p>
            <w:pPr>
              <w:jc w:val="right"/>
              <w:spacing w:after="0"/>
              <w:rPr>
                <w:sz w:val="20"/>
                <w:szCs w:val="20"/>
                <w:color w:val="auto"/>
              </w:rPr>
            </w:pPr>
            <w:r>
              <w:rPr>
                <w:rFonts w:ascii="Arial" w:cs="Arial" w:eastAsia="Arial" w:hAnsi="Arial"/>
                <w:sz w:val="12"/>
                <w:szCs w:val="12"/>
                <w:color w:val="auto"/>
              </w:rPr>
              <w:t>703,718</w:t>
            </w:r>
          </w:p>
        </w:tc>
        <w:tc>
          <w:tcPr>
            <w:tcW w:w="30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3.81</w:t>
            </w:r>
          </w:p>
        </w:tc>
        <w:tc>
          <w:tcPr>
            <w:tcW w:w="120" w:type="dxa"/>
            <w:vAlign w:val="bottom"/>
          </w:tcPr>
          <w:p>
            <w:pPr>
              <w:spacing w:after="0"/>
              <w:rPr>
                <w:sz w:val="13"/>
                <w:szCs w:val="13"/>
                <w:color w:val="auto"/>
              </w:rPr>
            </w:pPr>
          </w:p>
        </w:tc>
      </w:tr>
      <w:tr>
        <w:trPr>
          <w:trHeight w:val="153"/>
        </w:trPr>
        <w:tc>
          <w:tcPr>
            <w:tcW w:w="86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stock units vested</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(45,218)</w:t>
            </w:r>
          </w:p>
        </w:tc>
        <w:tc>
          <w:tcPr>
            <w:tcW w:w="200" w:type="dxa"/>
            <w:vAlign w:val="bottom"/>
            <w:shd w:val="clear" w:color="auto" w:fill="CFF0FC"/>
          </w:tcPr>
          <w:p>
            <w:pPr>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120" w:type="dxa"/>
            <w:vAlign w:val="bottom"/>
            <w:shd w:val="clear" w:color="auto" w:fill="CFF0FC"/>
          </w:tcPr>
          <w:p>
            <w:pPr>
              <w:spacing w:after="0"/>
              <w:rPr>
                <w:sz w:val="13"/>
                <w:szCs w:val="13"/>
                <w:color w:val="auto"/>
              </w:rPr>
            </w:pPr>
          </w:p>
        </w:tc>
      </w:tr>
      <w:tr>
        <w:trPr>
          <w:trHeight w:val="153"/>
        </w:trPr>
        <w:tc>
          <w:tcPr>
            <w:tcW w:w="8640" w:type="dxa"/>
            <w:vAlign w:val="bottom"/>
          </w:tcPr>
          <w:p>
            <w:pPr>
              <w:ind w:left="160"/>
              <w:spacing w:after="0"/>
              <w:rPr>
                <w:sz w:val="20"/>
                <w:szCs w:val="20"/>
                <w:color w:val="auto"/>
              </w:rPr>
            </w:pPr>
            <w:r>
              <w:rPr>
                <w:rFonts w:ascii="Arial" w:cs="Arial" w:eastAsia="Arial" w:hAnsi="Arial"/>
                <w:sz w:val="12"/>
                <w:szCs w:val="12"/>
                <w:color w:val="auto"/>
              </w:rPr>
              <w:t>Restricted stock units cancelled</w:t>
            </w:r>
          </w:p>
        </w:tc>
        <w:tc>
          <w:tcPr>
            <w:tcW w:w="1420" w:type="dxa"/>
            <w:vAlign w:val="bottom"/>
            <w:gridSpan w:val="2"/>
          </w:tcPr>
          <w:p>
            <w:pPr>
              <w:jc w:val="right"/>
              <w:ind w:right="260"/>
              <w:spacing w:after="0"/>
              <w:rPr>
                <w:sz w:val="20"/>
                <w:szCs w:val="20"/>
                <w:color w:val="auto"/>
              </w:rPr>
            </w:pPr>
            <w:r>
              <w:rPr>
                <w:rFonts w:ascii="Arial" w:cs="Arial" w:eastAsia="Arial" w:hAnsi="Arial"/>
                <w:sz w:val="12"/>
                <w:szCs w:val="12"/>
                <w:color w:val="auto"/>
              </w:rPr>
              <w:t>(67,500)</w:t>
            </w: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3.85</w:t>
            </w:r>
          </w:p>
        </w:tc>
        <w:tc>
          <w:tcPr>
            <w:tcW w:w="120" w:type="dxa"/>
            <w:vAlign w:val="bottom"/>
          </w:tcPr>
          <w:p>
            <w:pPr>
              <w:spacing w:after="0"/>
              <w:rPr>
                <w:sz w:val="13"/>
                <w:szCs w:val="13"/>
                <w:color w:val="auto"/>
              </w:rPr>
            </w:pPr>
          </w:p>
        </w:tc>
      </w:tr>
      <w:tr>
        <w:trPr>
          <w:trHeight w:val="149"/>
        </w:trPr>
        <w:tc>
          <w:tcPr>
            <w:tcW w:w="8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Outstanding at June 30, 2020</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591,000</w:t>
            </w:r>
          </w:p>
        </w:tc>
        <w:tc>
          <w:tcPr>
            <w:tcW w:w="30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bl>
    <w:p>
      <w:pPr>
        <w:spacing w:after="0" w:line="135" w:lineRule="exact"/>
        <w:rPr>
          <w:sz w:val="20"/>
          <w:szCs w:val="20"/>
          <w:color w:val="auto"/>
        </w:rPr>
      </w:pPr>
    </w:p>
    <w:p>
      <w:pPr>
        <w:ind w:right="20" w:firstLine="513"/>
        <w:spacing w:after="0" w:line="263" w:lineRule="auto"/>
        <w:rPr>
          <w:sz w:val="20"/>
          <w:szCs w:val="20"/>
          <w:color w:val="auto"/>
        </w:rPr>
      </w:pPr>
      <w:r>
        <w:rPr>
          <w:rFonts w:ascii="Arial" w:cs="Arial" w:eastAsia="Arial" w:hAnsi="Arial"/>
          <w:sz w:val="12"/>
          <w:szCs w:val="12"/>
          <w:color w:val="auto"/>
        </w:rPr>
        <w:t>The weighted-average grant-date fair value of all restricted stock units granted during the six months ended June 30, 2020 and June 30, 2019 was $3.81 and $2.42, respectively. The fair value of all restricted stock units vested during the six months ended June 30, 2020 and June 30, 2019 was $0.1 million and approximately $92,000, respectively. At June 30, 2020 total unrecognized employee stock-based compensation related to restricted stock units was $2.0 million, which is expected to be recognized over the weighted-average remaining vesting period of 3.5 years.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2014 Employee Stock Purchase Plan</w:t>
      </w:r>
    </w:p>
    <w:p>
      <w:pPr>
        <w:spacing w:after="0" w:line="78" w:lineRule="exact"/>
        <w:rPr>
          <w:sz w:val="20"/>
          <w:szCs w:val="20"/>
          <w:color w:val="auto"/>
        </w:rPr>
      </w:pPr>
    </w:p>
    <w:p>
      <w:pPr>
        <w:ind w:right="100" w:firstLine="513"/>
        <w:spacing w:after="0" w:line="298" w:lineRule="auto"/>
        <w:rPr>
          <w:sz w:val="20"/>
          <w:szCs w:val="20"/>
          <w:color w:val="auto"/>
        </w:rPr>
      </w:pPr>
      <w:r>
        <w:rPr>
          <w:rFonts w:ascii="Arial" w:cs="Arial" w:eastAsia="Arial" w:hAnsi="Arial"/>
          <w:sz w:val="11"/>
          <w:szCs w:val="11"/>
          <w:color w:val="auto"/>
        </w:rPr>
        <w:t>The Company’s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33" w:lineRule="exact"/>
        <w:rPr>
          <w:sz w:val="20"/>
          <w:szCs w:val="20"/>
          <w:color w:val="auto"/>
        </w:rPr>
      </w:pPr>
    </w:p>
    <w:p>
      <w:pPr>
        <w:ind w:left="880" w:hanging="375"/>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1.0% of the outstanding shares of the Company’s common stock on the first day of such 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14" w:name="page15"/>
    <w:bookmarkEnd w:id="14"/>
    <w:p>
      <w:pPr>
        <w:ind w:left="880" w:hanging="375"/>
        <w:spacing w:after="0"/>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55,936 shares; or</w:t>
      </w:r>
    </w:p>
    <w:p>
      <w:pPr>
        <w:spacing w:after="0" w:line="78" w:lineRule="exact"/>
        <w:rPr>
          <w:rFonts w:ascii="Arial" w:cs="Arial" w:eastAsia="Arial" w:hAnsi="Arial"/>
          <w:sz w:val="12"/>
          <w:szCs w:val="12"/>
          <w:color w:val="auto"/>
        </w:rPr>
      </w:pPr>
    </w:p>
    <w:p>
      <w:pPr>
        <w:ind w:left="880" w:hanging="375"/>
        <w:spacing w:after="0"/>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such amount as determined by the board of directors.</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As of June 30, 2020, there were no purchases by employees under this plan.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Series D Warrants</w:t>
      </w:r>
    </w:p>
    <w:p>
      <w:pPr>
        <w:spacing w:after="0" w:line="78" w:lineRule="exact"/>
        <w:rPr>
          <w:sz w:val="20"/>
          <w:szCs w:val="20"/>
          <w:color w:val="auto"/>
        </w:rPr>
      </w:pPr>
    </w:p>
    <w:p>
      <w:pPr>
        <w:ind w:firstLine="513"/>
        <w:spacing w:after="0" w:line="280" w:lineRule="auto"/>
        <w:rPr>
          <w:sz w:val="20"/>
          <w:szCs w:val="20"/>
          <w:color w:val="auto"/>
        </w:rPr>
      </w:pPr>
      <w:r>
        <w:rPr>
          <w:rFonts w:ascii="Arial" w:cs="Arial" w:eastAsia="Arial" w:hAnsi="Arial"/>
          <w:sz w:val="11"/>
          <w:szCs w:val="11"/>
          <w:color w:val="auto"/>
        </w:rPr>
        <w:t>The Company issued 270,270 Series D Warrants in October 2015, which are exercisable into 540,540 shares of the Company’s common stock, with an exercise price of $8.75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Accounting Treatment</w:t>
      </w:r>
    </w:p>
    <w:p>
      <w:pPr>
        <w:spacing w:after="0" w:line="78" w:lineRule="exact"/>
        <w:rPr>
          <w:sz w:val="20"/>
          <w:szCs w:val="20"/>
          <w:color w:val="auto"/>
        </w:rPr>
      </w:pPr>
    </w:p>
    <w:p>
      <w:pPr>
        <w:ind w:right="360" w:firstLine="513"/>
        <w:spacing w:after="0" w:line="276" w:lineRule="auto"/>
        <w:rPr>
          <w:sz w:val="20"/>
          <w:szCs w:val="20"/>
          <w:color w:val="auto"/>
        </w:rPr>
      </w:pPr>
      <w:r>
        <w:rPr>
          <w:rFonts w:ascii="Arial" w:cs="Arial" w:eastAsia="Arial" w:hAnsi="Arial"/>
          <w:sz w:val="12"/>
          <w:szCs w:val="12"/>
          <w:color w:val="auto"/>
        </w:rPr>
        <w:t xml:space="preserve">The Company accounts for the Series D Warrants in accordance with the guidance in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Common Stock Warrants</w:t>
      </w:r>
    </w:p>
    <w:p>
      <w:pPr>
        <w:spacing w:after="0" w:line="78" w:lineRule="exact"/>
        <w:rPr>
          <w:sz w:val="20"/>
          <w:szCs w:val="20"/>
          <w:color w:val="auto"/>
        </w:rPr>
      </w:pPr>
    </w:p>
    <w:p>
      <w:pPr>
        <w:ind w:right="80" w:firstLine="513"/>
        <w:spacing w:after="0" w:line="276" w:lineRule="auto"/>
        <w:rPr>
          <w:sz w:val="20"/>
          <w:szCs w:val="20"/>
          <w:color w:val="auto"/>
        </w:rPr>
      </w:pPr>
      <w:r>
        <w:rPr>
          <w:rFonts w:ascii="Arial" w:cs="Arial" w:eastAsia="Arial" w:hAnsi="Arial"/>
          <w:sz w:val="12"/>
          <w:szCs w:val="12"/>
          <w:color w:val="auto"/>
        </w:rPr>
        <w:t>As of June 30, 2020,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Net loss per share</w:t>
      </w:r>
    </w:p>
    <w:p>
      <w:pPr>
        <w:spacing w:after="0" w:line="82" w:lineRule="exact"/>
        <w:rPr>
          <w:sz w:val="20"/>
          <w:szCs w:val="20"/>
          <w:color w:val="auto"/>
        </w:rPr>
      </w:pPr>
    </w:p>
    <w:p>
      <w:pPr>
        <w:jc w:val="both"/>
        <w:ind w:right="40" w:firstLine="513"/>
        <w:spacing w:after="0" w:line="298" w:lineRule="auto"/>
        <w:rPr>
          <w:sz w:val="20"/>
          <w:szCs w:val="20"/>
          <w:color w:val="auto"/>
        </w:rPr>
      </w:pPr>
      <w:r>
        <w:rPr>
          <w:rFonts w:ascii="Arial" w:cs="Arial" w:eastAsia="Arial" w:hAnsi="Arial"/>
          <w:sz w:val="11"/>
          <w:szCs w:val="11"/>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and six months ended June 30, 2020 and 2019, the effect of issuing the potential common stock is anti-dilutive due to the net losses in those periods and the number of shares used to compute basic and diluted earnings per share are the same in each of those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15" w:name="page16"/>
    <w:bookmarkEnd w:id="15"/>
    <w:p>
      <w:pPr>
        <w:ind w:firstLine="513"/>
        <w:spacing w:after="0" w:line="276" w:lineRule="auto"/>
        <w:rPr>
          <w:sz w:val="20"/>
          <w:szCs w:val="20"/>
          <w:color w:val="auto"/>
        </w:rPr>
      </w:pPr>
      <w:r>
        <w:rPr>
          <w:rFonts w:ascii="Arial" w:cs="Arial" w:eastAsia="Arial" w:hAnsi="Arial"/>
          <w:sz w:val="12"/>
          <w:szCs w:val="12"/>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71"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60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rPr>
              <w:t>As of June 30,</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7"/>
        </w:trPr>
        <w:tc>
          <w:tcPr>
            <w:tcW w:w="20" w:type="dxa"/>
            <w:vAlign w:val="bottom"/>
          </w:tcPr>
          <w:p>
            <w:pPr>
              <w:spacing w:after="0"/>
              <w:rPr>
                <w:sz w:val="8"/>
                <w:szCs w:val="8"/>
                <w:color w:val="auto"/>
              </w:rPr>
            </w:pPr>
          </w:p>
        </w:tc>
        <w:tc>
          <w:tcPr>
            <w:tcW w:w="5440" w:type="dxa"/>
            <w:vAlign w:val="bottom"/>
            <w:tcBorders>
              <w:bottom w:val="single" w:sz="8" w:color="CFF0FC"/>
            </w:tcBorders>
          </w:tcPr>
          <w:p>
            <w:pPr>
              <w:spacing w:after="0"/>
              <w:rPr>
                <w:sz w:val="8"/>
                <w:szCs w:val="8"/>
                <w:color w:val="auto"/>
              </w:rPr>
            </w:pPr>
          </w:p>
        </w:tc>
        <w:tc>
          <w:tcPr>
            <w:tcW w:w="1080" w:type="dxa"/>
            <w:vAlign w:val="bottom"/>
            <w:tcBorders>
              <w:bottom w:val="single" w:sz="8" w:color="auto"/>
            </w:tcBorders>
          </w:tcPr>
          <w:p>
            <w:pPr>
              <w:jc w:val="right"/>
              <w:ind w:right="402"/>
              <w:spacing w:after="0" w:line="97" w:lineRule="exact"/>
              <w:rPr>
                <w:sz w:val="20"/>
                <w:szCs w:val="20"/>
                <w:color w:val="auto"/>
              </w:rPr>
            </w:pPr>
            <w:r>
              <w:rPr>
                <w:rFonts w:ascii="Arial" w:cs="Arial" w:eastAsia="Arial" w:hAnsi="Arial"/>
                <w:sz w:val="10"/>
                <w:szCs w:val="10"/>
                <w:b w:val="1"/>
                <w:bCs w:val="1"/>
                <w:color w:val="auto"/>
              </w:rPr>
              <w:t>2020</w:t>
            </w:r>
          </w:p>
        </w:tc>
        <w:tc>
          <w:tcPr>
            <w:tcW w:w="20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1"/>
              <w:spacing w:after="0" w:line="97"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r>
      <w:tr>
        <w:trPr>
          <w:trHeight w:val="133"/>
        </w:trPr>
        <w:tc>
          <w:tcPr>
            <w:tcW w:w="20" w:type="dxa"/>
            <w:vAlign w:val="bottom"/>
          </w:tcPr>
          <w:p>
            <w:pPr>
              <w:spacing w:after="0"/>
              <w:rPr>
                <w:sz w:val="11"/>
                <w:szCs w:val="11"/>
                <w:color w:val="auto"/>
              </w:rPr>
            </w:pPr>
          </w:p>
        </w:tc>
        <w:tc>
          <w:tcPr>
            <w:tcW w:w="5440" w:type="dxa"/>
            <w:vAlign w:val="bottom"/>
            <w:shd w:val="clear" w:color="auto" w:fill="CFF0FC"/>
          </w:tcPr>
          <w:p>
            <w:pPr>
              <w:spacing w:after="0" w:line="133" w:lineRule="exact"/>
              <w:rPr>
                <w:sz w:val="20"/>
                <w:szCs w:val="20"/>
                <w:color w:val="auto"/>
              </w:rPr>
            </w:pPr>
            <w:r>
              <w:rPr>
                <w:rFonts w:ascii="Arial" w:cs="Arial" w:eastAsia="Arial" w:hAnsi="Arial"/>
                <w:sz w:val="12"/>
                <w:szCs w:val="12"/>
                <w:color w:val="auto"/>
              </w:rPr>
              <w:t>Warrants issued to 2010/2012 convertible note</w:t>
            </w:r>
          </w:p>
        </w:tc>
        <w:tc>
          <w:tcPr>
            <w:tcW w:w="10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5440" w:type="dxa"/>
            <w:vAlign w:val="bottom"/>
            <w:shd w:val="clear" w:color="auto" w:fill="CFF0FC"/>
          </w:tcPr>
          <w:p>
            <w:pPr>
              <w:ind w:left="80"/>
              <w:spacing w:after="0"/>
              <w:rPr>
                <w:sz w:val="20"/>
                <w:szCs w:val="20"/>
                <w:color w:val="auto"/>
              </w:rPr>
            </w:pPr>
            <w:r>
              <w:rPr>
                <w:rFonts w:ascii="Arial" w:cs="Arial" w:eastAsia="Arial" w:hAnsi="Arial"/>
                <w:sz w:val="12"/>
                <w:szCs w:val="12"/>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102,070</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102,070</w:t>
            </w:r>
          </w:p>
        </w:tc>
        <w:tc>
          <w:tcPr>
            <w:tcW w:w="80" w:type="dxa"/>
            <w:vAlign w:val="bottom"/>
            <w:shd w:val="clear" w:color="auto" w:fill="CFF0FC"/>
          </w:tcPr>
          <w:p>
            <w:pPr>
              <w:spacing w:after="0"/>
              <w:rPr>
                <w:sz w:val="13"/>
                <w:szCs w:val="13"/>
                <w:color w:val="auto"/>
              </w:rPr>
            </w:pPr>
          </w:p>
        </w:tc>
      </w:t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2"/>
                <w:szCs w:val="12"/>
                <w:color w:val="auto"/>
              </w:rPr>
              <w:t>2,500,113</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2,196,278</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2"/>
                <w:szCs w:val="12"/>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591,000</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rPr>
              <w:t>Warrants issued to underwriter to purchase common stock</w:t>
            </w:r>
          </w:p>
        </w:tc>
        <w:tc>
          <w:tcPr>
            <w:tcW w:w="1080" w:type="dxa"/>
            <w:vAlign w:val="bottom"/>
          </w:tcPr>
          <w:p>
            <w:pPr>
              <w:jc w:val="right"/>
              <w:spacing w:after="0"/>
              <w:rPr>
                <w:sz w:val="20"/>
                <w:szCs w:val="20"/>
                <w:color w:val="auto"/>
              </w:rPr>
            </w:pPr>
            <w:r>
              <w:rPr>
                <w:rFonts w:ascii="Arial" w:cs="Arial" w:eastAsia="Arial" w:hAnsi="Arial"/>
                <w:sz w:val="12"/>
                <w:szCs w:val="12"/>
                <w:color w:val="auto"/>
              </w:rPr>
              <w:t>16,500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16,500</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2"/>
                <w:szCs w:val="12"/>
                <w:color w:val="auto"/>
              </w:rPr>
              <w:t>Series A warrants to purchase common stock</w:t>
            </w:r>
          </w:p>
        </w:tc>
        <w:tc>
          <w:tcPr>
            <w:tcW w:w="1600" w:type="dxa"/>
            <w:vAlign w:val="bottom"/>
            <w:gridSpan w:val="3"/>
            <w:shd w:val="clear" w:color="auto" w:fill="CFF0FC"/>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485,121</w:t>
            </w:r>
          </w:p>
        </w:tc>
        <w:tc>
          <w:tcPr>
            <w:tcW w:w="80" w:type="dxa"/>
            <w:vAlign w:val="bottom"/>
            <w:shd w:val="clear" w:color="auto" w:fill="CFF0FC"/>
          </w:tcPr>
          <w:p>
            <w:pPr>
              <w:spacing w:after="0"/>
              <w:rPr>
                <w:sz w:val="13"/>
                <w:szCs w:val="13"/>
                <w:color w:val="auto"/>
              </w:rPr>
            </w:pPr>
          </w:p>
        </w:tc>
      </w:t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rPr>
              <w:t>Series C warrants to purchase common stock</w:t>
            </w:r>
          </w:p>
        </w:tc>
        <w:tc>
          <w:tcPr>
            <w:tcW w:w="1600" w:type="dxa"/>
            <w:vAlign w:val="bottom"/>
            <w:gridSpan w:val="3"/>
          </w:tcPr>
          <w:p>
            <w:pPr>
              <w:jc w:val="right"/>
              <w:ind w:right="5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118,083</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2"/>
                <w:szCs w:val="12"/>
                <w:color w:val="auto"/>
              </w:rPr>
              <w:t>Series D warrants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540,540</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540,540</w:t>
            </w:r>
          </w:p>
        </w:tc>
        <w:tc>
          <w:tcPr>
            <w:tcW w:w="80" w:type="dxa"/>
            <w:vAlign w:val="bottom"/>
            <w:shd w:val="clear" w:color="auto" w:fill="CFF0FC"/>
          </w:tcPr>
          <w:p>
            <w:pPr>
              <w:spacing w:after="0"/>
              <w:rPr>
                <w:sz w:val="13"/>
                <w:szCs w:val="13"/>
                <w:color w:val="auto"/>
              </w:rPr>
            </w:pPr>
          </w:p>
        </w:tc>
      </w:tr>
      <w:tr>
        <w:trPr>
          <w:trHeight w:val="153"/>
        </w:trPr>
        <w:tc>
          <w:tcPr>
            <w:tcW w:w="5460" w:type="dxa"/>
            <w:vAlign w:val="bottom"/>
            <w:gridSpan w:val="2"/>
          </w:tcPr>
          <w:p>
            <w:pPr>
              <w:spacing w:after="0"/>
              <w:rPr>
                <w:sz w:val="20"/>
                <w:szCs w:val="20"/>
                <w:color w:val="auto"/>
              </w:rPr>
            </w:pPr>
            <w:r>
              <w:rPr>
                <w:rFonts w:ascii="Arial" w:cs="Arial" w:eastAsia="Arial" w:hAnsi="Arial"/>
                <w:sz w:val="12"/>
                <w:szCs w:val="12"/>
                <w:color w:val="auto"/>
              </w:rPr>
              <w:t>2017 PIPE warrants</w:t>
            </w:r>
          </w:p>
        </w:tc>
        <w:tc>
          <w:tcPr>
            <w:tcW w:w="1080" w:type="dxa"/>
            <w:vAlign w:val="bottom"/>
          </w:tcPr>
          <w:p>
            <w:pPr>
              <w:jc w:val="right"/>
              <w:spacing w:after="0"/>
              <w:rPr>
                <w:sz w:val="20"/>
                <w:szCs w:val="20"/>
                <w:color w:val="auto"/>
              </w:rPr>
            </w:pPr>
            <w:r>
              <w:rPr>
                <w:rFonts w:ascii="Arial" w:cs="Arial" w:eastAsia="Arial" w:hAnsi="Arial"/>
                <w:sz w:val="12"/>
                <w:szCs w:val="12"/>
                <w:color w:val="auto"/>
              </w:rPr>
              <w:t>6,024,425</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6,024,425</w:t>
            </w:r>
          </w:p>
        </w:tc>
        <w:tc>
          <w:tcPr>
            <w:tcW w:w="8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2"/>
                <w:szCs w:val="12"/>
                <w:color w:val="auto"/>
              </w:rPr>
              <w:t>2018 PIPE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513,617</w:t>
            </w:r>
          </w:p>
        </w:tc>
        <w:tc>
          <w:tcPr>
            <w:tcW w:w="2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513,617</w:t>
            </w:r>
          </w:p>
        </w:tc>
        <w:tc>
          <w:tcPr>
            <w:tcW w:w="80" w:type="dxa"/>
            <w:vAlign w:val="bottom"/>
            <w:shd w:val="clear" w:color="auto" w:fill="CFF0F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440" w:type="dxa"/>
            <w:vAlign w:val="bottom"/>
          </w:tcPr>
          <w:p>
            <w:pPr>
              <w:ind w:left="160"/>
              <w:spacing w:after="0"/>
              <w:rPr>
                <w:sz w:val="20"/>
                <w:szCs w:val="20"/>
                <w:color w:val="auto"/>
              </w:rPr>
            </w:pPr>
            <w:r>
              <w:rPr>
                <w:rFonts w:ascii="Arial" w:cs="Arial" w:eastAsia="Arial" w:hAnsi="Arial"/>
                <w:sz w:val="12"/>
                <w:szCs w:val="12"/>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10,288,265</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9,996,634</w:t>
            </w:r>
          </w:p>
        </w:tc>
        <w:tc>
          <w:tcPr>
            <w:tcW w:w="80" w:type="dxa"/>
            <w:vAlign w:val="bottom"/>
          </w:tcPr>
          <w:p>
            <w:pPr>
              <w:spacing w:after="0"/>
              <w:rPr>
                <w:sz w:val="12"/>
                <w:szCs w:val="12"/>
                <w:color w:val="auto"/>
              </w:rPr>
            </w:pPr>
          </w:p>
        </w:tc>
      </w:tr>
    </w:tbl>
    <w:p>
      <w:pPr>
        <w:spacing w:after="0" w:line="3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Subsequent Events</w:t>
      </w:r>
    </w:p>
    <w:p>
      <w:pPr>
        <w:spacing w:after="0" w:line="154" w:lineRule="exact"/>
        <w:rPr>
          <w:sz w:val="20"/>
          <w:szCs w:val="20"/>
          <w:color w:val="auto"/>
        </w:rPr>
      </w:pPr>
    </w:p>
    <w:p>
      <w:pPr>
        <w:ind w:right="220" w:firstLine="582"/>
        <w:spacing w:after="0" w:line="276" w:lineRule="auto"/>
        <w:rPr>
          <w:sz w:val="20"/>
          <w:szCs w:val="20"/>
          <w:color w:val="auto"/>
        </w:rPr>
      </w:pPr>
      <w:r>
        <w:rPr>
          <w:rFonts w:ascii="Arial" w:cs="Arial" w:eastAsia="Arial" w:hAnsi="Arial"/>
          <w:sz w:val="12"/>
          <w:szCs w:val="12"/>
          <w:color w:val="auto"/>
        </w:rPr>
        <w:t>The Company has evaluated its subsequent events from June 30, 2020 through the date these condensed consolidated financial statements were issued and has determined that there are no subsequent events requiring disclosure in these condensed consolidated financial statements.</w:t>
      </w:r>
    </w:p>
    <w:p>
      <w:pPr>
        <w:spacing w:after="0" w:line="331"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140"/>
          </w:cols>
          <w:pgMar w:left="300" w:top="419" w:right="459" w:bottom="1440" w:gutter="0" w:footer="0" w:header="0"/>
        </w:sectPr>
      </w:pPr>
    </w:p>
    <w:bookmarkStart w:id="16" w:name="page17"/>
    <w:bookmarkEnd w:id="16"/>
    <w:p>
      <w:pPr>
        <w:spacing w:after="0"/>
        <w:tabs>
          <w:tab w:leader="none" w:pos="98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w:t>
      </w:r>
    </w:p>
    <w:p>
      <w:pPr>
        <w:spacing w:after="0" w:line="82" w:lineRule="exact"/>
        <w:rPr>
          <w:sz w:val="20"/>
          <w:szCs w:val="20"/>
          <w:color w:val="auto"/>
        </w:rPr>
      </w:pPr>
    </w:p>
    <w:p>
      <w:pPr>
        <w:ind w:right="20" w:firstLine="513"/>
        <w:spacing w:after="0" w:line="285" w:lineRule="auto"/>
        <w:rPr>
          <w:sz w:val="20"/>
          <w:szCs w:val="20"/>
          <w:color w:val="auto"/>
        </w:rPr>
      </w:pPr>
      <w:r>
        <w:rPr>
          <w:rFonts w:ascii="Arial" w:cs="Arial" w:eastAsia="Arial" w:hAnsi="Arial"/>
          <w:sz w:val="11"/>
          <w:szCs w:val="11"/>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2019, and the related Management’s Discussion and Analysis of Financial Condition and Results of Operations, contained in the Company’s Form 10-K for the year ended December 31, 2019.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firstLine="513"/>
        <w:spacing w:after="0" w:line="259" w:lineRule="auto"/>
        <w:rPr>
          <w:sz w:val="20"/>
          <w:szCs w:val="20"/>
          <w:color w:val="auto"/>
        </w:rPr>
      </w:pPr>
      <w:r>
        <w:rPr>
          <w:rFonts w:ascii="Arial" w:cs="Arial" w:eastAsia="Arial" w:hAnsi="Arial"/>
          <w:sz w:val="12"/>
          <w:szCs w:val="12"/>
          <w:color w:val="auto"/>
        </w:rPr>
        <w:t>We were incorporated in the State of Delaware on August 25, 1999, and are located in Redwood City, California. We initially established our operations as Capnia, a diversified healthcare company that developed and commercialized innovative diagnostics, devices and therapeutics addressing unmet medical needs. During 2017, we merged with Essentialis, Inc and subsequently received stockholder approval to amend our Amended and Restated Certificate of Incorporation to change our name from “Capnia, Inc.” to “Soleno Therapeutics, Inc.”. After the merger, our primary focus has been the development and commercialization of novel therapeutics for the treatment of rare diseases and we divested all prior business efforts.</w:t>
      </w:r>
    </w:p>
    <w:p>
      <w:pPr>
        <w:spacing w:after="0" w:line="124" w:lineRule="exact"/>
        <w:rPr>
          <w:sz w:val="20"/>
          <w:szCs w:val="20"/>
          <w:color w:val="auto"/>
        </w:rPr>
      </w:pPr>
    </w:p>
    <w:p>
      <w:pPr>
        <w:ind w:right="20" w:firstLine="513"/>
        <w:spacing w:after="0" w:line="256" w:lineRule="auto"/>
        <w:rPr>
          <w:sz w:val="20"/>
          <w:szCs w:val="20"/>
          <w:color w:val="auto"/>
        </w:rPr>
      </w:pPr>
      <w:r>
        <w:rPr>
          <w:rFonts w:ascii="Arial" w:cs="Arial" w:eastAsia="Arial" w:hAnsi="Arial"/>
          <w:sz w:val="12"/>
          <w:szCs w:val="12"/>
          <w:color w:val="auto"/>
        </w:rPr>
        <w:t>Our lead candidate is Diazoxide Choline Controlled Release tablets, or DCCR, once-daily oral tablets for the treatment of Prader-Willi Syndrome, or PWS. DCCR is currently being evaluated in a Phase III clinical development program. The Phase III study (C601 or DESTINY PWS), a 3-month randomized, double-blind placebo-controlled study,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and we are evaluating the data from the C601 and C602 studies to determine next steps. DCCR has orphan designation for the treatment of PWS in the United States, or U.S., as well as in the European Union, or E.U.</w:t>
      </w:r>
    </w:p>
    <w:p>
      <w:pPr>
        <w:spacing w:after="0" w:line="128" w:lineRule="exact"/>
        <w:rPr>
          <w:sz w:val="20"/>
          <w:szCs w:val="20"/>
          <w:color w:val="auto"/>
        </w:rPr>
      </w:pPr>
    </w:p>
    <w:p>
      <w:pPr>
        <w:ind w:right="120" w:firstLine="513"/>
        <w:spacing w:after="0" w:line="263" w:lineRule="auto"/>
        <w:rPr>
          <w:sz w:val="20"/>
          <w:szCs w:val="20"/>
          <w:color w:val="auto"/>
        </w:rPr>
      </w:pPr>
      <w:r>
        <w:rPr>
          <w:rFonts w:ascii="Arial" w:cs="Arial" w:eastAsia="Arial" w:hAnsi="Arial"/>
          <w:sz w:val="12"/>
          <w:szCs w:val="12"/>
          <w:color w:val="auto"/>
        </w:rPr>
        <w:t>The spread of the COVID-19 virus during the first half of 2020 has caused an economic downturn on a global scale, as well as significant volatility in the financial markets. In March 2020, the World Health Organization declared the spread of the COVID-19 virus a pandemic. Due to stay at home orders both in the United States and United Kingdom, we have instituted a work from home policy for all of our employees to protect their health and well-being. We have ensured that all of our employees have essential materials to work comfortably and efficiently from home during this time.</w:t>
      </w:r>
    </w:p>
    <w:p>
      <w:pPr>
        <w:spacing w:after="0" w:line="122" w:lineRule="exact"/>
        <w:rPr>
          <w:sz w:val="20"/>
          <w:szCs w:val="20"/>
          <w:color w:val="auto"/>
        </w:rPr>
      </w:pPr>
    </w:p>
    <w:p>
      <w:pPr>
        <w:ind w:firstLine="582"/>
        <w:spacing w:after="0" w:line="280" w:lineRule="auto"/>
        <w:rPr>
          <w:sz w:val="20"/>
          <w:szCs w:val="20"/>
          <w:color w:val="auto"/>
        </w:rPr>
      </w:pPr>
      <w:r>
        <w:rPr>
          <w:rFonts w:ascii="Arial" w:cs="Arial" w:eastAsia="Arial" w:hAnsi="Arial"/>
          <w:sz w:val="11"/>
          <w:szCs w:val="11"/>
          <w:color w:val="auto"/>
        </w:rPr>
        <w:t>We have not experienced a significant financial impact directly related to the pandemic. In June 2020, subsequent to the announcement of top line results from DESTINY PWS, we completed a public offering of shares of our common stock and raised $53.7 million in net proceeds. As of June 30, 2020, we have cash and cash equivalents of $62.5 million, which management believes is sufficient to enable us to meet our obligations for at least the next twelve months from the date of this filing. While there has been no meaningful impact on the timelines for top line data for the DESTINY PWS program, there have been certain changes in the conduct of our clinical trials depending on institution-, state- and country-specific restrictions such as stay at home requirements. The changes are consistent with the FDA’s and MHRA’s guidance regarding the conduct of clinical trials during the COVID-19 public health emergency. However, the changes in the way the trial is being conducted may impact the quality and quantity of the overall data being collected (for example, certain study related procedures which need to be conducted at a clinical trial site may not be performed or be delayed) which may have implications for our future plans. As of June 30, 2020, we had an accumulated deficit of $171.0 million, primarily as a result of research and development and general and administrative expenses. We may never be successful in commercializing our novel therapeutic-lead candidate DCCR. Accordingly, we expect to incur significant losses from operations for the foreseeable future, and there can be no assurance that we will ever generate significant revenue or profits.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Significant Judgments and Estimates</w:t>
      </w:r>
    </w:p>
    <w:p>
      <w:pPr>
        <w:spacing w:after="0" w:line="82" w:lineRule="exact"/>
        <w:rPr>
          <w:sz w:val="20"/>
          <w:szCs w:val="20"/>
          <w:color w:val="auto"/>
        </w:rPr>
      </w:pPr>
    </w:p>
    <w:p>
      <w:pPr>
        <w:ind w:firstLine="513"/>
        <w:spacing w:after="0" w:line="256" w:lineRule="auto"/>
        <w:rPr>
          <w:sz w:val="20"/>
          <w:szCs w:val="20"/>
          <w:color w:val="auto"/>
        </w:rPr>
      </w:pPr>
      <w:r>
        <w:rPr>
          <w:rFonts w:ascii="Arial" w:cs="Arial" w:eastAsia="Arial" w:hAnsi="Arial"/>
          <w:sz w:val="12"/>
          <w:szCs w:val="12"/>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Comparison of the three months ended June 30, 2020 and 2019</w:t>
      </w:r>
    </w:p>
    <w:p>
      <w:pPr>
        <w:sectPr>
          <w:pgSz w:w="11900" w:h="16838" w:orient="portrait"/>
          <w:cols w:equalWidth="0" w:num="1">
            <w:col w:w="11300"/>
          </w:cols>
          <w:pgMar w:left="300" w:top="487" w:right="299" w:bottom="1440" w:gutter="0" w:footer="0" w:header="0"/>
        </w:sectPr>
      </w:pPr>
    </w:p>
    <w:p>
      <w:pPr>
        <w:spacing w:after="0" w:line="230" w:lineRule="exact"/>
        <w:rPr>
          <w:sz w:val="20"/>
          <w:szCs w:val="20"/>
          <w:color w:val="auto"/>
        </w:rPr>
      </w:pPr>
    </w:p>
    <w:p>
      <w:pPr>
        <w:jc w:val="center"/>
        <w:ind w:left="5900"/>
        <w:spacing w:after="0"/>
        <w:rPr>
          <w:sz w:val="20"/>
          <w:szCs w:val="20"/>
          <w:color w:val="auto"/>
        </w:rPr>
      </w:pPr>
      <w:r>
        <w:rPr>
          <w:rFonts w:ascii="Arial" w:cs="Arial" w:eastAsia="Arial" w:hAnsi="Arial"/>
          <w:sz w:val="10"/>
          <w:szCs w:val="10"/>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-635</wp:posOffset>
            </wp:positionV>
            <wp:extent cx="161163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1630" cy="5715"/>
                    </a:xfrm>
                    <a:prstGeom prst="rect">
                      <a:avLst/>
                    </a:prstGeom>
                    <a:noFill/>
                  </pic:spPr>
                </pic:pic>
              </a:graphicData>
            </a:graphic>
          </wp:anchor>
        </w:drawing>
      </w:r>
    </w:p>
    <w:p>
      <w:pPr>
        <w:ind w:left="6320"/>
        <w:spacing w:after="0"/>
        <w:tabs>
          <w:tab w:leader="none" w:pos="7700" w:val="left"/>
        </w:tabs>
        <w:rPr>
          <w:sz w:val="20"/>
          <w:szCs w:val="20"/>
          <w:color w:val="auto"/>
        </w:rPr>
      </w:pPr>
      <w:r>
        <w:rPr>
          <w:rFonts w:ascii="Arial" w:cs="Arial" w:eastAsia="Arial" w:hAnsi="Arial"/>
          <w:sz w:val="8"/>
          <w:szCs w:val="8"/>
          <w:b w:val="1"/>
          <w:bCs w:val="1"/>
          <w:color w:val="auto"/>
        </w:rPr>
        <w:t>2020</w:t>
      </w:r>
      <w:r>
        <w:rPr>
          <w:sz w:val="20"/>
          <w:szCs w:val="20"/>
          <w:color w:val="auto"/>
        </w:rPr>
        <w:tab/>
      </w:r>
      <w:r>
        <w:rPr>
          <w:rFonts w:ascii="Arial" w:cs="Arial" w:eastAsia="Arial" w:hAnsi="Arial"/>
          <w:sz w:val="8"/>
          <w:szCs w:val="8"/>
          <w:b w:val="1"/>
          <w:bCs w:val="1"/>
          <w:color w:val="auto"/>
        </w:rPr>
        <w:t>2019</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10"/>
          <w:szCs w:val="10"/>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-635</wp:posOffset>
            </wp:positionV>
            <wp:extent cx="161734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8"/>
          <w:szCs w:val="8"/>
          <w:b w:val="1"/>
          <w:bCs w:val="1"/>
          <w:color w:val="auto"/>
        </w:rPr>
        <w:t>Amount</w:t>
      </w:r>
      <w:r>
        <w:rPr>
          <w:sz w:val="20"/>
          <w:szCs w:val="20"/>
          <w:color w:val="auto"/>
        </w:rPr>
        <w:tab/>
      </w:r>
      <w:r>
        <w:rPr>
          <w:rFonts w:ascii="Arial" w:cs="Arial" w:eastAsia="Arial" w:hAnsi="Arial"/>
          <w:sz w:val="8"/>
          <w:szCs w:val="8"/>
          <w:b w:val="1"/>
          <w:bCs w:val="1"/>
          <w:color w:val="auto"/>
        </w:rPr>
        <w:t>Percentage</w:t>
      </w:r>
    </w:p>
    <w:p>
      <w:pPr>
        <w:spacing w:after="0" w:line="15" w:lineRule="exact"/>
        <w:rPr>
          <w:sz w:val="20"/>
          <w:szCs w:val="20"/>
          <w:color w:val="auto"/>
        </w:rPr>
      </w:pPr>
    </w:p>
    <w:p>
      <w:pPr>
        <w:sectPr>
          <w:pgSz w:w="11900" w:h="16838" w:orient="portrait"/>
          <w:cols w:equalWidth="0" w:num="2">
            <w:col w:w="8320" w:space="720"/>
            <w:col w:w="2260"/>
          </w:cols>
          <w:pgMar w:left="300" w:top="487" w:right="299" w:bottom="1440" w:gutter="0" w:footer="0" w:header="0"/>
          <w:type w:val="continuous"/>
        </w:sectPr>
      </w:pPr>
    </w:p>
    <w:tbl>
      <w:tblPr>
        <w:tblLayout w:type="fixed"/>
        <w:tblInd w:w="0" w:type="dxa"/>
        <w:tblCellMar>
          <w:top w:w="0" w:type="dxa"/>
          <w:left w:w="0" w:type="dxa"/>
          <w:bottom w:w="0" w:type="dxa"/>
          <w:right w:w="0" w:type="dxa"/>
        </w:tblCellMar>
      </w:tblPr>
      <w:tr>
        <w:trPr>
          <w:trHeight w:val="97"/>
        </w:trPr>
        <w:tc>
          <w:tcPr>
            <w:tcW w:w="58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gridSpan w:val="3"/>
          </w:tcPr>
          <w:p>
            <w:pPr>
              <w:jc w:val="right"/>
              <w:ind w:right="272"/>
              <w:spacing w:after="0" w:line="97" w:lineRule="exact"/>
              <w:rPr>
                <w:sz w:val="20"/>
                <w:szCs w:val="20"/>
                <w:color w:val="auto"/>
              </w:rPr>
            </w:pPr>
            <w:r>
              <w:rPr>
                <w:rFonts w:ascii="Arial" w:cs="Arial" w:eastAsia="Arial" w:hAnsi="Arial"/>
                <w:sz w:val="10"/>
                <w:szCs w:val="10"/>
                <w:color w:val="auto"/>
              </w:rPr>
              <w:t>(in thousands)</w:t>
            </w: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6,103</w:t>
            </w:r>
          </w:p>
        </w:tc>
        <w:tc>
          <w:tcPr>
            <w:tcW w:w="24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3,745</w:t>
            </w:r>
          </w:p>
        </w:tc>
        <w:tc>
          <w:tcPr>
            <w:tcW w:w="260" w:type="dxa"/>
            <w:vAlign w:val="bottom"/>
          </w:tcPr>
          <w:p>
            <w:pPr>
              <w:spacing w:after="0"/>
              <w:rPr>
                <w:sz w:val="13"/>
                <w:szCs w:val="13"/>
                <w:color w:val="auto"/>
              </w:rPr>
            </w:pP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2,358</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2,248</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1,695</w:t>
            </w: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553</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Change in fair value of contingent consideration</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2,842</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183</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2,659</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1453%</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480"/>
              <w:spacing w:after="0"/>
              <w:rPr>
                <w:sz w:val="20"/>
                <w:szCs w:val="20"/>
                <w:color w:val="auto"/>
              </w:rPr>
            </w:pPr>
            <w:r>
              <w:rPr>
                <w:rFonts w:ascii="Arial" w:cs="Arial" w:eastAsia="Arial" w:hAnsi="Arial"/>
                <w:sz w:val="12"/>
                <w:szCs w:val="12"/>
                <w:color w:val="auto"/>
              </w:rPr>
              <w:t>Total operating expenses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11,193</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5,623</w:t>
            </w:r>
          </w:p>
        </w:tc>
        <w:tc>
          <w:tcPr>
            <w:tcW w:w="2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5,570</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Operating loss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(11,193)</w:t>
            </w:r>
          </w:p>
        </w:tc>
        <w:tc>
          <w:tcPr>
            <w:tcW w:w="4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(5,623)</w:t>
            </w:r>
          </w:p>
        </w:tc>
        <w:tc>
          <w:tcPr>
            <w:tcW w:w="4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(5,570)</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Change in fair value of warrants liabilities</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3,808</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(4,267)</w:t>
            </w: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8,075</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189%</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from minority interest investment</w:t>
            </w:r>
          </w:p>
        </w:tc>
        <w:tc>
          <w:tcPr>
            <w:tcW w:w="4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(165)</w:t>
            </w:r>
          </w:p>
        </w:tc>
        <w:tc>
          <w:tcPr>
            <w:tcW w:w="4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Interest income</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(46)</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480"/>
              <w:spacing w:after="0"/>
              <w:rPr>
                <w:sz w:val="20"/>
                <w:szCs w:val="20"/>
                <w:color w:val="auto"/>
              </w:rPr>
            </w:pPr>
            <w:r>
              <w:rPr>
                <w:rFonts w:ascii="Arial" w:cs="Arial" w:eastAsia="Arial" w:hAnsi="Arial"/>
                <w:sz w:val="12"/>
                <w:szCs w:val="12"/>
                <w:color w:val="auto"/>
              </w:rPr>
              <w:t>Total other income (expense)</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3,809</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(4,385)</w:t>
            </w:r>
          </w:p>
        </w:tc>
        <w:tc>
          <w:tcPr>
            <w:tcW w:w="44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8,194</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(7,384)</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(10,008)</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2,624</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have yet not commenced commercialization of DCCR, our current sole product, and accordingly, through June 30, 2020, have generated no revenue from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78" w:lineRule="exact"/>
        <w:rPr>
          <w:sz w:val="20"/>
          <w:szCs w:val="20"/>
          <w:color w:val="auto"/>
        </w:rPr>
      </w:pPr>
    </w:p>
    <w:p>
      <w:pPr>
        <w:ind w:right="120" w:firstLine="513"/>
        <w:spacing w:after="0" w:line="259" w:lineRule="auto"/>
        <w:rPr>
          <w:sz w:val="20"/>
          <w:szCs w:val="20"/>
          <w:color w:val="auto"/>
        </w:rPr>
      </w:pPr>
      <w:r>
        <w:rPr>
          <w:rFonts w:ascii="Arial" w:cs="Arial" w:eastAsia="Arial" w:hAnsi="Arial"/>
          <w:sz w:val="12"/>
          <w:szCs w:val="12"/>
          <w:color w:val="auto"/>
        </w:rPr>
        <w:t>Research and development expense of $6.1 million for the three months ended June 30, 2020 increased by $2.4 million over the three months ended June 30, 2019. In January 2020 we announced the completion of target enrollment in the DESTINY PWS trial with 29 sites and over 100 subjects. These sites and subjects continued to participate in the trial through June 2020 when we announced top line results. This compares to 15 sites that were enrolled as of June 30, 2019. As a result, we have incurred increased clinical site costs, consulting costs and lab costs. In addition, we are increasing our investment in clinical manufacturing costs to supply DCCR to the patients in the trial and to prepare for the next phase in the regulatory approval process.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ind w:right="100" w:firstLine="513"/>
        <w:spacing w:after="0" w:line="276" w:lineRule="auto"/>
        <w:rPr>
          <w:sz w:val="20"/>
          <w:szCs w:val="20"/>
          <w:color w:val="auto"/>
        </w:rPr>
      </w:pPr>
      <w:r>
        <w:rPr>
          <w:rFonts w:ascii="Arial" w:cs="Arial" w:eastAsia="Arial" w:hAnsi="Arial"/>
          <w:sz w:val="12"/>
          <w:szCs w:val="12"/>
          <w:color w:val="auto"/>
        </w:rPr>
        <w:t>General and administrative expense of $2.2 million for the three months ended June 30, 2020 increased $0.6 million over the three months ended June 30, 2019. The increase was primarily related to increased compensation costs, costs for intellectual property, and corporate business development expenses.</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contingent consideration</w:t>
      </w:r>
    </w:p>
    <w:p>
      <w:pPr>
        <w:spacing w:after="0" w:line="78"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We are obligated to make cash payments of up to a maximum of $30 million to Essentialis stockholders upon the achievement of certain future commercial milestones associated with the sale of DCCR in accordance with the terms of the Essentialis merger agreement. The fair value of the liability for the contingent consideration payable by us achieving the commercial sales milestones of $100 million and $200 million was estimated to be $9.4 million as of June 30, 2020, a $2.8 million increase from the estimate as of March 31, 2020. The step up in value is largely attributable to us announcing top-line results from our DESTINY PWS trial in June 2020. During the three months ended June 30, 2019, the estimate increased $0.2 million from the liability of $5.9 million estimated at March 31, 2019.</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78" w:lineRule="exact"/>
        <w:rPr>
          <w:sz w:val="20"/>
          <w:szCs w:val="20"/>
          <w:color w:val="auto"/>
        </w:rPr>
      </w:pPr>
    </w:p>
    <w:p>
      <w:pPr>
        <w:ind w:right="320" w:firstLine="513"/>
        <w:spacing w:after="0" w:line="298" w:lineRule="auto"/>
        <w:rPr>
          <w:sz w:val="20"/>
          <w:szCs w:val="20"/>
          <w:color w:val="auto"/>
        </w:rPr>
      </w:pPr>
      <w:r>
        <w:rPr>
          <w:rFonts w:ascii="Arial" w:cs="Arial" w:eastAsia="Arial" w:hAnsi="Arial"/>
          <w:sz w:val="11"/>
          <w:szCs w:val="11"/>
          <w:color w:val="auto"/>
        </w:rPr>
        <w:t>We had other income of $3.8 million in the three months ended June 30, 2020, compared to other expense of $4.4 million during the three months ended June 30, 2019. The change of $8.2 million was primarily due to a $3.8 million decrease in the fair value of our outstanding warrants during the three months ended June 30, 2020, compared to an increase of $4.3 million during the three months ended June 30, 2019. The change in value of our outstanding warrants is largely attributable to us announcing top-line results from our DESTINY PWS trial in June 2020. In addition, during the three months ended June 30, 2019, we recorded a $0.2 million loss from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87" w:right="299" w:bottom="1440" w:gutter="0" w:footer="0" w:header="0"/>
          <w:type w:val="continuous"/>
        </w:sectPr>
      </w:pPr>
    </w:p>
    <w:bookmarkStart w:id="18" w:name="page19"/>
    <w:bookmarkEnd w:id="18"/>
    <w:p>
      <w:pPr>
        <w:ind w:right="60"/>
        <w:spacing w:after="0" w:line="276" w:lineRule="auto"/>
        <w:rPr>
          <w:sz w:val="20"/>
          <w:szCs w:val="20"/>
          <w:color w:val="auto"/>
        </w:rPr>
      </w:pPr>
      <w:r>
        <w:rPr>
          <w:rFonts w:ascii="Arial" w:cs="Arial" w:eastAsia="Arial" w:hAnsi="Arial"/>
          <w:sz w:val="12"/>
          <w:szCs w:val="12"/>
          <w:color w:val="auto"/>
        </w:rPr>
        <w:t>minority interest investment in Capnia, our former subsidiary. These increases were slightly offset by a decrease of approximately $46,000 in interest income recorded during the three months ended June 30, 2020 compared to June 30, 2019.</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six months ended June 30, 2020 and 2019</w:t>
      </w:r>
    </w:p>
    <w:p>
      <w:pPr>
        <w:sectPr>
          <w:pgSz w:w="11900" w:h="16838" w:orient="portrait"/>
          <w:cols w:equalWidth="0" w:num="1">
            <w:col w:w="11300"/>
          </w:cols>
          <w:pgMar w:left="300" w:top="347" w:right="299" w:bottom="1440" w:gutter="0" w:footer="0" w:header="0"/>
        </w:sectPr>
      </w:pP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0"/>
          <w:szCs w:val="10"/>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-635</wp:posOffset>
            </wp:positionV>
            <wp:extent cx="161163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1630" cy="5715"/>
                    </a:xfrm>
                    <a:prstGeom prst="rect">
                      <a:avLst/>
                    </a:prstGeom>
                    <a:noFill/>
                  </pic:spPr>
                </pic:pic>
              </a:graphicData>
            </a:graphic>
          </wp:anchor>
        </w:drawing>
      </w:r>
    </w:p>
    <w:p>
      <w:pPr>
        <w:ind w:left="6320"/>
        <w:spacing w:after="0"/>
        <w:tabs>
          <w:tab w:leader="none" w:pos="7700" w:val="left"/>
        </w:tabs>
        <w:rPr>
          <w:sz w:val="20"/>
          <w:szCs w:val="20"/>
          <w:color w:val="auto"/>
        </w:rPr>
      </w:pPr>
      <w:r>
        <w:rPr>
          <w:rFonts w:ascii="Arial" w:cs="Arial" w:eastAsia="Arial" w:hAnsi="Arial"/>
          <w:sz w:val="8"/>
          <w:szCs w:val="8"/>
          <w:b w:val="1"/>
          <w:bCs w:val="1"/>
          <w:color w:val="auto"/>
        </w:rPr>
        <w:t>2020</w:t>
      </w:r>
      <w:r>
        <w:rPr>
          <w:sz w:val="20"/>
          <w:szCs w:val="20"/>
          <w:color w:val="auto"/>
        </w:rPr>
        <w:tab/>
      </w:r>
      <w:r>
        <w:rPr>
          <w:rFonts w:ascii="Arial" w:cs="Arial" w:eastAsia="Arial" w:hAnsi="Arial"/>
          <w:sz w:val="8"/>
          <w:szCs w:val="8"/>
          <w:b w:val="1"/>
          <w:bCs w:val="1"/>
          <w:color w:val="auto"/>
        </w:rPr>
        <w:t>2019</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0"/>
          <w:szCs w:val="10"/>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-635</wp:posOffset>
            </wp:positionV>
            <wp:extent cx="161734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tabs>
          <w:tab w:leader="none" w:pos="1320" w:val="left"/>
        </w:tabs>
        <w:rPr>
          <w:sz w:val="20"/>
          <w:szCs w:val="20"/>
          <w:color w:val="auto"/>
        </w:rPr>
      </w:pPr>
      <w:r>
        <w:rPr>
          <w:rFonts w:ascii="Arial" w:cs="Arial" w:eastAsia="Arial" w:hAnsi="Arial"/>
          <w:sz w:val="8"/>
          <w:szCs w:val="8"/>
          <w:b w:val="1"/>
          <w:bCs w:val="1"/>
          <w:color w:val="auto"/>
        </w:rPr>
        <w:t>Amount</w:t>
      </w:r>
      <w:r>
        <w:rPr>
          <w:sz w:val="20"/>
          <w:szCs w:val="20"/>
          <w:color w:val="auto"/>
        </w:rPr>
        <w:tab/>
      </w:r>
      <w:r>
        <w:rPr>
          <w:rFonts w:ascii="Arial" w:cs="Arial" w:eastAsia="Arial" w:hAnsi="Arial"/>
          <w:sz w:val="8"/>
          <w:szCs w:val="8"/>
          <w:b w:val="1"/>
          <w:bCs w:val="1"/>
          <w:color w:val="auto"/>
        </w:rPr>
        <w:t>Percentage</w:t>
      </w:r>
    </w:p>
    <w:p>
      <w:pPr>
        <w:spacing w:after="0" w:line="15" w:lineRule="exact"/>
        <w:rPr>
          <w:sz w:val="20"/>
          <w:szCs w:val="20"/>
          <w:color w:val="auto"/>
        </w:rPr>
      </w:pPr>
    </w:p>
    <w:p>
      <w:pPr>
        <w:sectPr>
          <w:pgSz w:w="11900" w:h="16838" w:orient="portrait"/>
          <w:cols w:equalWidth="0" w:num="2">
            <w:col w:w="8320" w:space="720"/>
            <w:col w:w="2260"/>
          </w:cols>
          <w:pgMar w:left="300" w:top="347" w:right="299" w:bottom="1440" w:gutter="0" w:footer="0" w:header="0"/>
          <w:type w:val="continuous"/>
        </w:sectPr>
      </w:pPr>
    </w:p>
    <w:tbl>
      <w:tblPr>
        <w:tblLayout w:type="fixed"/>
        <w:tblInd w:w="0" w:type="dxa"/>
        <w:tblCellMar>
          <w:top w:w="0" w:type="dxa"/>
          <w:left w:w="0" w:type="dxa"/>
          <w:bottom w:w="0" w:type="dxa"/>
          <w:right w:w="0" w:type="dxa"/>
        </w:tblCellMar>
      </w:tblPr>
      <w:tr>
        <w:trPr>
          <w:trHeight w:val="97"/>
        </w:trPr>
        <w:tc>
          <w:tcPr>
            <w:tcW w:w="586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gridSpan w:val="3"/>
          </w:tcPr>
          <w:p>
            <w:pPr>
              <w:jc w:val="right"/>
              <w:ind w:right="272"/>
              <w:spacing w:after="0" w:line="97" w:lineRule="exact"/>
              <w:rPr>
                <w:sz w:val="20"/>
                <w:szCs w:val="20"/>
                <w:color w:val="auto"/>
              </w:rPr>
            </w:pPr>
            <w:r>
              <w:rPr>
                <w:rFonts w:ascii="Arial" w:cs="Arial" w:eastAsia="Arial" w:hAnsi="Arial"/>
                <w:sz w:val="10"/>
                <w:szCs w:val="10"/>
                <w:color w:val="auto"/>
              </w:rPr>
              <w:t>(in thousands)</w:t>
            </w: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12,798</w:t>
            </w:r>
          </w:p>
        </w:tc>
        <w:tc>
          <w:tcPr>
            <w:tcW w:w="240" w:type="dxa"/>
            <w:vAlign w:val="bottom"/>
          </w:tcPr>
          <w:p>
            <w:pPr>
              <w:spacing w:after="0"/>
              <w:rPr>
                <w:sz w:val="13"/>
                <w:szCs w:val="13"/>
                <w:color w:val="auto"/>
              </w:rPr>
            </w:pP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6,505</w:t>
            </w:r>
          </w:p>
        </w:tc>
        <w:tc>
          <w:tcPr>
            <w:tcW w:w="26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6,293</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4,251</w:t>
            </w: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3,707</w:t>
            </w: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544</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Change in fair value of contingent consideration</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3,426</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389</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3,037</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781%</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480"/>
              <w:spacing w:after="0"/>
              <w:rPr>
                <w:sz w:val="20"/>
                <w:szCs w:val="20"/>
                <w:color w:val="auto"/>
              </w:rPr>
            </w:pPr>
            <w:r>
              <w:rPr>
                <w:rFonts w:ascii="Arial" w:cs="Arial" w:eastAsia="Arial" w:hAnsi="Arial"/>
                <w:sz w:val="12"/>
                <w:szCs w:val="12"/>
                <w:color w:val="auto"/>
              </w:rPr>
              <w:t>Total operating expenses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20,475</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10,601</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9,874</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Operating loss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(20,475)</w:t>
            </w:r>
          </w:p>
        </w:tc>
        <w:tc>
          <w:tcPr>
            <w:tcW w:w="46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(10,601)</w:t>
            </w:r>
          </w:p>
        </w:tc>
        <w:tc>
          <w:tcPr>
            <w:tcW w:w="42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(9,874)</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w:t>
            </w:r>
          </w:p>
        </w:tc>
        <w:tc>
          <w:tcPr>
            <w:tcW w:w="4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Change in fair value of warrants liabilities</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7,221</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(6,186)</w:t>
            </w:r>
          </w:p>
        </w:tc>
        <w:tc>
          <w:tcPr>
            <w:tcW w:w="4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13,407</w:t>
            </w:r>
          </w:p>
        </w:tc>
        <w:tc>
          <w:tcPr>
            <w:tcW w:w="240" w:type="dxa"/>
            <w:vAlign w:val="bottom"/>
          </w:tcPr>
          <w:p>
            <w:pPr>
              <w:spacing w:after="0"/>
              <w:rPr>
                <w:sz w:val="13"/>
                <w:szCs w:val="13"/>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153"/>
        </w:trPr>
        <w:tc>
          <w:tcPr>
            <w:tcW w:w="58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Loss from minority interest investment</w:t>
            </w:r>
          </w:p>
        </w:tc>
        <w:tc>
          <w:tcPr>
            <w:tcW w:w="4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(355)</w:t>
            </w:r>
          </w:p>
        </w:tc>
        <w:tc>
          <w:tcPr>
            <w:tcW w:w="4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355</w:t>
            </w:r>
          </w:p>
        </w:tc>
        <w:tc>
          <w:tcPr>
            <w:tcW w:w="24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5860" w:type="dxa"/>
            <w:vAlign w:val="bottom"/>
          </w:tcPr>
          <w:p>
            <w:pPr>
              <w:ind w:left="160"/>
              <w:spacing w:after="0"/>
              <w:rPr>
                <w:sz w:val="20"/>
                <w:szCs w:val="20"/>
                <w:color w:val="auto"/>
              </w:rPr>
            </w:pPr>
            <w:r>
              <w:rPr>
                <w:rFonts w:ascii="Arial" w:cs="Arial" w:eastAsia="Arial" w:hAnsi="Arial"/>
                <w:sz w:val="12"/>
                <w:szCs w:val="12"/>
                <w:color w:val="auto"/>
              </w:rPr>
              <w:t>Interest income</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104</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(92)</w:t>
            </w: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480"/>
              <w:spacing w:after="0"/>
              <w:rPr>
                <w:sz w:val="20"/>
                <w:szCs w:val="20"/>
                <w:color w:val="auto"/>
              </w:rPr>
            </w:pPr>
            <w:r>
              <w:rPr>
                <w:rFonts w:ascii="Arial" w:cs="Arial" w:eastAsia="Arial" w:hAnsi="Arial"/>
                <w:sz w:val="12"/>
                <w:szCs w:val="12"/>
                <w:color w:val="auto"/>
              </w:rPr>
              <w:t>Total other income (expense)</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7,233</w:t>
            </w:r>
          </w:p>
        </w:tc>
        <w:tc>
          <w:tcPr>
            <w:tcW w:w="24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(6,437)</w:t>
            </w:r>
          </w:p>
        </w:tc>
        <w:tc>
          <w:tcPr>
            <w:tcW w:w="4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13,670</w:t>
            </w:r>
          </w:p>
        </w:tc>
        <w:tc>
          <w:tcPr>
            <w:tcW w:w="2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(13,242)</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(17,038)</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3,796</w:t>
            </w:r>
          </w:p>
        </w:tc>
        <w:tc>
          <w:tcPr>
            <w:tcW w:w="240" w:type="dxa"/>
            <w:vAlign w:val="bottom"/>
          </w:tcPr>
          <w:p>
            <w:pPr>
              <w:spacing w:after="0"/>
              <w:rPr>
                <w:sz w:val="12"/>
                <w:szCs w:val="12"/>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have yet not commenced commercialization of DCCR, our current sole product, and accordingly, through June 30, 2020, have generated no revenue from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78"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Research and development expense of $12.8 million for the six months ended June 30, 2020 increased by $6.3 million over the six months ended June 30, 2019. In January 2020 we announced the completion of target enrollment in DESTINY PWS trial with 29 sites and over 100 subjects. These sites and subjects continued to participate in the trial through June 2020 when we announced top line results. This compares to 15 sites that were enrolled as of June 30, 2019. As a result, we have incurred increased clinical site costs, consulting costs and lab costs. In addition, we are increasing our investment in clinical manufacturing costs to supply DCCR to the patients in the trial and to prepare for the next phase in the regulatory approval process.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General and administrative expense of $4.3 million for the six months ended June 30, 2020 increased $0.5 million over the six months ended June 30, 2019. The increase was primarily related to increased compensation costs, costs for intellectual property, and corporate business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contingent consideration</w:t>
      </w:r>
    </w:p>
    <w:p>
      <w:pPr>
        <w:spacing w:after="0" w:line="78" w:lineRule="exact"/>
        <w:rPr>
          <w:sz w:val="20"/>
          <w:szCs w:val="20"/>
          <w:color w:val="auto"/>
        </w:rPr>
      </w:pPr>
    </w:p>
    <w:p>
      <w:pPr>
        <w:ind w:right="40" w:firstLine="513"/>
        <w:spacing w:after="0" w:line="259" w:lineRule="auto"/>
        <w:rPr>
          <w:sz w:val="20"/>
          <w:szCs w:val="20"/>
          <w:color w:val="auto"/>
        </w:rPr>
      </w:pPr>
      <w:r>
        <w:rPr>
          <w:rFonts w:ascii="Arial" w:cs="Arial" w:eastAsia="Arial" w:hAnsi="Arial"/>
          <w:sz w:val="12"/>
          <w:szCs w:val="12"/>
          <w:color w:val="auto"/>
        </w:rPr>
        <w:t>We are obligated to make cash payments of up to a maximum of $30 million to Essentialis stockholders upon the achievement of certain future commercial milestones associated with the sale of DCCR in accordance with the terms of the Essentialis merger agreement. The fair value of the liability for the contingent consideration payable by us achieving the commercial sales milestones of $100 million and $200 million was estimated to be $9.4 million as of June 30, 2020, a $3.4 million increase from the estimate as of December 31, 2019. The step up in value is largely attributable to us announcing top-line results from our DESTINY PWS trial in June 2020. During the six months ended June 30, 2019, the estimate increased $0.4 million from the liability of $5.6 million estimated at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w:t>
      </w:r>
    </w:p>
    <w:p>
      <w:pPr>
        <w:spacing w:after="0" w:line="78" w:lineRule="exact"/>
        <w:rPr>
          <w:sz w:val="20"/>
          <w:szCs w:val="20"/>
          <w:color w:val="auto"/>
        </w:rPr>
      </w:pPr>
    </w:p>
    <w:p>
      <w:pPr>
        <w:ind w:right="280" w:firstLine="513"/>
        <w:spacing w:after="0" w:line="259" w:lineRule="auto"/>
        <w:rPr>
          <w:sz w:val="20"/>
          <w:szCs w:val="20"/>
          <w:color w:val="auto"/>
        </w:rPr>
      </w:pPr>
      <w:r>
        <w:rPr>
          <w:rFonts w:ascii="Arial" w:cs="Arial" w:eastAsia="Arial" w:hAnsi="Arial"/>
          <w:sz w:val="12"/>
          <w:szCs w:val="12"/>
          <w:color w:val="auto"/>
        </w:rPr>
        <w:t>We had other income of $7.2 million in the six months ended June 30, 2020, compared to other expense of $6.4 million during the six months ended June 30, 2019. The change of $13.7 million was primarily due to a $7.2 million decrease in the fair value of our outstanding warrants during the six months ended June 30, 2020, compared to an increase of $6.2 million during the six months ended June 30, 2019. In addition, during the six months ended June 30, 2019, we recorded a $0.4 million loss from our minority interest investment in Capnia, our former subsidiary. These increases were slightly offset by a decrease of approximately $92,000 in interest income recorded during the six months ended June 30, 2020 compared to June 30,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right="100" w:firstLine="513"/>
        <w:spacing w:after="0" w:line="289" w:lineRule="auto"/>
        <w:rPr>
          <w:sz w:val="20"/>
          <w:szCs w:val="20"/>
          <w:color w:val="auto"/>
        </w:rPr>
      </w:pPr>
      <w:r>
        <w:rPr>
          <w:rFonts w:ascii="Arial" w:cs="Arial" w:eastAsia="Arial" w:hAnsi="Arial"/>
          <w:sz w:val="11"/>
          <w:szCs w:val="11"/>
          <w:color w:val="auto"/>
        </w:rPr>
        <w:t>We had a net loss of $13.2 million during the six months ended June 30, 2020 and an accumulated deficit of $171.0 million at June 30, 2020 as a result of having incurred losses since our inception. We had $62.5 million in cash and cash equivalents and $54.6 million of working capital at June 30, 2020, and used $12.2 million of cash in operating activities during the six months ended June 30, 2020. We have financed our operations principally through issuances of equity securities. On June 26, 2020, we sold 34,848,484 shares of common stock in an underwritten public offering at a price of $1.65 per share for net proceeds of $53.7 million. We expect to continue incurring losses for the foreseeable future. However, we expect that our current cash and cash equivalents balance are sufficient to enable us to meet our obligations for at least the next twelve months from the date of this filing.</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table sets forth the primary sources and uses of cash and cash equivalents for each of the periods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w w:val="95"/>
              </w:rPr>
              <w:t>Six Months Ended June 30,</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7"/>
        </w:trPr>
        <w:tc>
          <w:tcPr>
            <w:tcW w:w="7760" w:type="dxa"/>
            <w:vAlign w:val="bottom"/>
          </w:tcPr>
          <w:p>
            <w:pPr>
              <w:spacing w:after="0"/>
              <w:rPr>
                <w:sz w:val="8"/>
                <w:szCs w:val="8"/>
                <w:color w:val="auto"/>
              </w:rPr>
            </w:pPr>
          </w:p>
        </w:tc>
        <w:tc>
          <w:tcPr>
            <w:tcW w:w="1020" w:type="dxa"/>
            <w:vAlign w:val="bottom"/>
            <w:tcBorders>
              <w:bottom w:val="single" w:sz="8" w:color="auto"/>
            </w:tcBorders>
          </w:tcPr>
          <w:p>
            <w:pPr>
              <w:jc w:val="right"/>
              <w:ind w:right="92"/>
              <w:spacing w:after="0" w:line="97"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42"/>
              <w:spacing w:after="0" w:line="97" w:lineRule="exact"/>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8"/>
                <w:szCs w:val="8"/>
                <w:color w:val="auto"/>
              </w:rPr>
            </w:pPr>
          </w:p>
        </w:tc>
      </w:tr>
      <w:tr>
        <w:trPr>
          <w:trHeight w:val="97"/>
        </w:trPr>
        <w:tc>
          <w:tcPr>
            <w:tcW w:w="7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gridSpan w:val="3"/>
          </w:tcPr>
          <w:p>
            <w:pPr>
              <w:jc w:val="right"/>
              <w:ind w:right="372"/>
              <w:spacing w:after="0" w:line="97" w:lineRule="exact"/>
              <w:rPr>
                <w:sz w:val="20"/>
                <w:szCs w:val="20"/>
                <w:color w:val="auto"/>
              </w:rPr>
            </w:pPr>
            <w:r>
              <w:rPr>
                <w:rFonts w:ascii="Arial" w:cs="Arial" w:eastAsia="Arial" w:hAnsi="Arial"/>
                <w:sz w:val="10"/>
                <w:szCs w:val="10"/>
                <w:color w:val="auto"/>
              </w:rPr>
              <w:t>(in thousands)</w:t>
            </w: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Net cash used in operating activities</w:t>
            </w:r>
          </w:p>
        </w:tc>
        <w:tc>
          <w:tcPr>
            <w:tcW w:w="1020" w:type="dxa"/>
            <w:vAlign w:val="bottom"/>
            <w:shd w:val="clear" w:color="auto" w:fill="CFF0FC"/>
          </w:tcPr>
          <w:p>
            <w:pPr>
              <w:jc w:val="right"/>
              <w:ind w:right="91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(12,193)</w:t>
            </w:r>
          </w:p>
        </w:tc>
        <w:tc>
          <w:tcPr>
            <w:tcW w:w="540" w:type="dxa"/>
            <w:vAlign w:val="bottom"/>
            <w:shd w:val="clear" w:color="auto" w:fill="CFF0FC"/>
          </w:tcPr>
          <w:p>
            <w:pPr>
              <w:jc w:val="right"/>
              <w:ind w:right="43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(7,580)</w:t>
            </w:r>
          </w:p>
        </w:tc>
      </w:tr>
      <w:tr>
        <w:trPr>
          <w:trHeight w:val="153"/>
        </w:trPr>
        <w:tc>
          <w:tcPr>
            <w:tcW w:w="77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1020" w:type="dxa"/>
            <w:vAlign w:val="bottom"/>
          </w:tcPr>
          <w:p>
            <w:pPr>
              <w:spacing w:after="0"/>
              <w:rPr>
                <w:sz w:val="13"/>
                <w:szCs w:val="1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w:t>
            </w:r>
          </w:p>
        </w:tc>
      </w:tr>
      <w:tr>
        <w:trPr>
          <w:trHeight w:val="153"/>
        </w:trPr>
        <w:tc>
          <w:tcPr>
            <w:tcW w:w="7760" w:type="dxa"/>
            <w:vAlign w:val="bottom"/>
            <w:shd w:val="clear" w:color="auto" w:fill="CFF0FC"/>
          </w:tcPr>
          <w:p>
            <w:pPr>
              <w:spacing w:after="0"/>
              <w:rPr>
                <w:sz w:val="20"/>
                <w:szCs w:val="20"/>
                <w:color w:val="auto"/>
              </w:rPr>
            </w:pPr>
            <w:r>
              <w:rPr>
                <w:rFonts w:ascii="Arial" w:cs="Arial" w:eastAsia="Arial" w:hAnsi="Arial"/>
                <w:sz w:val="12"/>
                <w:szCs w:val="12"/>
                <w:color w:val="auto"/>
              </w:rPr>
              <w:t>Net cash provided by financing activities</w:t>
            </w:r>
          </w:p>
        </w:tc>
        <w:tc>
          <w:tcPr>
            <w:tcW w:w="102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53,959</w:t>
            </w:r>
          </w:p>
        </w:tc>
        <w:tc>
          <w:tcPr>
            <w:tcW w:w="3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2"/>
        </w:trPr>
        <w:tc>
          <w:tcPr>
            <w:tcW w:w="7760" w:type="dxa"/>
            <w:vAlign w:val="bottom"/>
          </w:tcPr>
          <w:p>
            <w:pPr>
              <w:ind w:left="160"/>
              <w:spacing w:after="0"/>
              <w:rPr>
                <w:sz w:val="20"/>
                <w:szCs w:val="20"/>
                <w:color w:val="auto"/>
              </w:rPr>
            </w:pPr>
            <w:r>
              <w:rPr>
                <w:rFonts w:ascii="Arial" w:cs="Arial" w:eastAsia="Arial" w:hAnsi="Arial"/>
                <w:sz w:val="12"/>
                <w:szCs w:val="12"/>
                <w:color w:val="auto"/>
              </w:rPr>
              <w:t>Net increase (decrease) in cash and cash equivalents</w:t>
            </w:r>
          </w:p>
        </w:tc>
        <w:tc>
          <w:tcPr>
            <w:tcW w:w="1020" w:type="dxa"/>
            <w:vAlign w:val="bottom"/>
          </w:tcPr>
          <w:p>
            <w:pPr>
              <w:jc w:val="right"/>
              <w:ind w:right="9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41,766</w:t>
            </w:r>
          </w:p>
        </w:tc>
        <w:tc>
          <w:tcPr>
            <w:tcW w:w="300" w:type="dxa"/>
            <w:vAlign w:val="bottom"/>
          </w:tcPr>
          <w:p>
            <w:pPr>
              <w:spacing w:after="0"/>
              <w:rPr>
                <w:sz w:val="12"/>
                <w:szCs w:val="12"/>
                <w:color w:val="auto"/>
              </w:rPr>
            </w:pP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(7,596)</w:t>
            </w:r>
          </w:p>
        </w:tc>
      </w:tr>
      <w:tr>
        <w:trPr>
          <w:trHeight w:val="27"/>
        </w:trPr>
        <w:tc>
          <w:tcPr>
            <w:tcW w:w="77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used in operating activities</w:t>
      </w:r>
    </w:p>
    <w:p>
      <w:pPr>
        <w:spacing w:after="0" w:line="78" w:lineRule="exact"/>
        <w:rPr>
          <w:sz w:val="20"/>
          <w:szCs w:val="20"/>
          <w:color w:val="auto"/>
        </w:rPr>
      </w:pPr>
    </w:p>
    <w:p>
      <w:pPr>
        <w:jc w:val="both"/>
        <w:ind w:right="140" w:firstLine="513"/>
        <w:spacing w:after="0" w:line="298" w:lineRule="auto"/>
        <w:rPr>
          <w:sz w:val="20"/>
          <w:szCs w:val="20"/>
          <w:color w:val="auto"/>
        </w:rPr>
      </w:pPr>
      <w:r>
        <w:rPr>
          <w:rFonts w:ascii="Arial" w:cs="Arial" w:eastAsia="Arial" w:hAnsi="Arial"/>
          <w:sz w:val="11"/>
          <w:szCs w:val="11"/>
          <w:color w:val="auto"/>
        </w:rPr>
        <w:t>During the six months ended June 30, 2020, operating activities used net cash of $12.2 million, which was primarily due to the net loss of $13.2 million, increased by the add back of non-cash income of $3.8 million for the change in fair value of stock warrants and contingent consideration, and decreased by the add back of non-cash expenses of $1.0 million for depreciation and amortization, $0.7 million of expenses paid with common stock or equity awards, and $0.1 million for non-cash lease expense. Additionally, the usage of cash during the six months ended June 30, 2020 was reduced by $3.0 million due to changes in operating assets and liabilities.</w:t>
      </w:r>
    </w:p>
    <w:p>
      <w:pPr>
        <w:spacing w:after="0" w:line="33" w:lineRule="exact"/>
        <w:rPr>
          <w:sz w:val="20"/>
          <w:szCs w:val="20"/>
          <w:color w:val="auto"/>
        </w:rPr>
      </w:pPr>
    </w:p>
    <w:p>
      <w:pPr>
        <w:jc w:val="both"/>
        <w:ind w:right="100" w:firstLine="513"/>
        <w:spacing w:after="0" w:line="298" w:lineRule="auto"/>
        <w:rPr>
          <w:sz w:val="20"/>
          <w:szCs w:val="20"/>
          <w:color w:val="auto"/>
        </w:rPr>
      </w:pPr>
      <w:r>
        <w:rPr>
          <w:rFonts w:ascii="Arial" w:cs="Arial" w:eastAsia="Arial" w:hAnsi="Arial"/>
          <w:sz w:val="11"/>
          <w:szCs w:val="11"/>
          <w:color w:val="auto"/>
        </w:rPr>
        <w:t>During the six months ended June 30, 2019, operating activities used net cash of $7.6 million, which was primarily due to the loss from continuing operations of $17.0 million, adjusted for non-cash expenses of $1.0 million for depreciation and amortization, $0.5 million of expenses paid with common stock or equity awards, $6.6 million for the change in fair value of stock warrants and contingent consideration, a $0.4 million operating loss on minority interest investment, and $0.2 million for non-cash lease expense. Additionally, the usage of cash during the six months ended June 30, 2019 was reduced by $0.9 million due to changes in operating assets and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used in investing activities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There were no investing activities during the six months ended June 30, 2020. Minimal cash was used for investing activities in the six months ended June 30, 2019 for the costs of acquiring property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provided by financing activities</w:t>
      </w:r>
    </w:p>
    <w:p>
      <w:pPr>
        <w:spacing w:after="0" w:line="78" w:lineRule="exact"/>
        <w:rPr>
          <w:sz w:val="20"/>
          <w:szCs w:val="20"/>
          <w:color w:val="auto"/>
        </w:rPr>
      </w:pPr>
    </w:p>
    <w:p>
      <w:pPr>
        <w:ind w:right="100" w:firstLine="513"/>
        <w:spacing w:after="0" w:line="263" w:lineRule="auto"/>
        <w:rPr>
          <w:sz w:val="20"/>
          <w:szCs w:val="20"/>
          <w:color w:val="auto"/>
        </w:rPr>
      </w:pPr>
      <w:r>
        <w:rPr>
          <w:rFonts w:ascii="Arial" w:cs="Arial" w:eastAsia="Arial" w:hAnsi="Arial"/>
          <w:sz w:val="12"/>
          <w:szCs w:val="12"/>
          <w:color w:val="auto"/>
        </w:rPr>
        <w:t>In June 2020, we obtained $54.0 million of cash from the sale of shares of our common stock in a public offering, net of underwriting discounts and other offering expenses. As of June 30, 2020, $0.3 million of offering expenses had been incurred, but remained unpaid. In addition, we received minimal cash from the issuance of common stock upon stock option exercises during the six months ended June 30, 2020. These cash inflows were minimally offset by cash payments made on our finance lease. There were no financing activities during the six months ended June 30, 2019.</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As of June 30, 2020, we had cash and cash equivalents of $62.5 million.</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believe that we have sufficient capital resources to sustain operations through at least the next twelve months from the date of this filing.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487" w:right="2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 do not have any off-balance sheet arrangements.</w:t>
      </w:r>
    </w:p>
    <w:p>
      <w:pPr>
        <w:spacing w:after="0" w:line="21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82" w:lineRule="exact"/>
        <w:rPr>
          <w:sz w:val="20"/>
          <w:szCs w:val="20"/>
          <w:color w:val="auto"/>
        </w:rPr>
      </w:pPr>
    </w:p>
    <w:p>
      <w:pPr>
        <w:ind w:right="160" w:firstLine="513"/>
        <w:spacing w:after="0" w:line="276" w:lineRule="auto"/>
        <w:rPr>
          <w:sz w:val="20"/>
          <w:szCs w:val="20"/>
          <w:color w:val="auto"/>
        </w:rPr>
      </w:pPr>
      <w:r>
        <w:rPr>
          <w:rFonts w:ascii="Arial" w:cs="Arial" w:eastAsia="Arial" w:hAnsi="Arial"/>
          <w:sz w:val="12"/>
          <w:szCs w:val="12"/>
          <w:color w:val="auto"/>
        </w:rPr>
        <w:t xml:space="preserve">There have not been any material changes to our exposure to market risk during the six months ended June 30, 2020. For additional information regarding market risk, refer to the </w:t>
      </w:r>
      <w:r>
        <w:rPr>
          <w:rFonts w:ascii="Arial" w:cs="Arial" w:eastAsia="Arial" w:hAnsi="Arial"/>
          <w:sz w:val="12"/>
          <w:szCs w:val="12"/>
          <w:i w:val="1"/>
          <w:iCs w:val="1"/>
          <w:color w:val="auto"/>
        </w:rPr>
        <w:t>Qualitative and Quantitative Disclosures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About Market Risk </w:t>
      </w:r>
      <w:r>
        <w:rPr>
          <w:rFonts w:ascii="Arial" w:cs="Arial" w:eastAsia="Arial" w:hAnsi="Arial"/>
          <w:sz w:val="12"/>
          <w:szCs w:val="12"/>
          <w:color w:val="auto"/>
        </w:rPr>
        <w:t>section of the Form 10-K.</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(a) Evaluation of Disclosure Controls and Procedures</w:t>
      </w:r>
    </w:p>
    <w:p>
      <w:pPr>
        <w:spacing w:after="0" w:line="82"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24" w:lineRule="exact"/>
        <w:rPr>
          <w:sz w:val="20"/>
          <w:szCs w:val="20"/>
          <w:color w:val="auto"/>
        </w:rPr>
      </w:pPr>
    </w:p>
    <w:p>
      <w:pPr>
        <w:ind w:right="60" w:firstLine="513"/>
        <w:spacing w:after="0" w:line="263" w:lineRule="auto"/>
        <w:rPr>
          <w:sz w:val="20"/>
          <w:szCs w:val="20"/>
          <w:color w:val="auto"/>
        </w:rPr>
      </w:pPr>
      <w:r>
        <w:rPr>
          <w:rFonts w:ascii="Arial" w:cs="Arial" w:eastAsia="Arial" w:hAnsi="Arial"/>
          <w:sz w:val="12"/>
          <w:szCs w:val="12"/>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2"/>
          <w:szCs w:val="12"/>
          <w:b w:val="1"/>
          <w:bCs w:val="1"/>
          <w:color w:val="auto"/>
        </w:rPr>
        <w:t>(b) Changes in Internal Control over Financial Reporting</w:t>
      </w:r>
    </w:p>
    <w:p>
      <w:pPr>
        <w:spacing w:after="0" w:line="82" w:lineRule="exact"/>
        <w:rPr>
          <w:sz w:val="20"/>
          <w:szCs w:val="20"/>
          <w:color w:val="auto"/>
        </w:rPr>
      </w:pPr>
    </w:p>
    <w:p>
      <w:pPr>
        <w:ind w:firstLine="513"/>
        <w:spacing w:after="0" w:line="276" w:lineRule="auto"/>
        <w:rPr>
          <w:sz w:val="20"/>
          <w:szCs w:val="20"/>
          <w:color w:val="auto"/>
        </w:rPr>
      </w:pPr>
      <w:r>
        <w:rPr>
          <w:rFonts w:ascii="Arial" w:cs="Arial" w:eastAsia="Arial" w:hAnsi="Arial"/>
          <w:sz w:val="12"/>
          <w:szCs w:val="12"/>
          <w:color w:val="auto"/>
        </w:rPr>
        <w:t>There have been no changes to our internal control over financial reporting that occurred during the second fiscal quarter ended June 30, 2020, that have materially affected, or are reasonably likely to materially affect, our internal control over financial reporting.</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2"/>
          <w:szCs w:val="12"/>
          <w:b w:val="1"/>
          <w:bCs w:val="1"/>
          <w:i w:val="1"/>
          <w:iCs w:val="1"/>
          <w:color w:val="auto"/>
        </w:rPr>
        <w:t>Inherent Limitations on Effectiveness of Controls</w:t>
      </w:r>
    </w:p>
    <w:p>
      <w:pPr>
        <w:spacing w:after="0" w:line="78" w:lineRule="exact"/>
        <w:rPr>
          <w:sz w:val="20"/>
          <w:szCs w:val="20"/>
          <w:color w:val="auto"/>
        </w:rPr>
      </w:pPr>
    </w:p>
    <w:p>
      <w:pPr>
        <w:ind w:right="20" w:firstLine="513"/>
        <w:spacing w:after="0" w:line="259" w:lineRule="auto"/>
        <w:rPr>
          <w:sz w:val="20"/>
          <w:szCs w:val="20"/>
          <w:color w:val="auto"/>
        </w:rPr>
      </w:pPr>
      <w:r>
        <w:rPr>
          <w:rFonts w:ascii="Arial" w:cs="Arial" w:eastAsia="Arial" w:hAnsi="Arial"/>
          <w:sz w:val="12"/>
          <w:szCs w:val="12"/>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20"/>
          </w:cols>
          <w:pgMar w:left="300" w:top="487"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82" w:lineRule="exact"/>
        <w:rPr>
          <w:sz w:val="20"/>
          <w:szCs w:val="20"/>
          <w:color w:val="auto"/>
        </w:rPr>
      </w:pPr>
    </w:p>
    <w:p>
      <w:pPr>
        <w:jc w:val="both"/>
        <w:ind w:right="260" w:firstLine="513"/>
        <w:spacing w:after="0" w:line="263" w:lineRule="auto"/>
        <w:rPr>
          <w:sz w:val="20"/>
          <w:szCs w:val="20"/>
          <w:color w:val="auto"/>
        </w:rPr>
      </w:pPr>
      <w:r>
        <w:rPr>
          <w:rFonts w:ascii="Arial" w:cs="Arial" w:eastAsia="Arial" w:hAnsi="Arial"/>
          <w:sz w:val="12"/>
          <w:szCs w:val="12"/>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190"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0"/>
          <w:szCs w:val="10"/>
          <w:b w:val="1"/>
          <w:bCs w:val="1"/>
          <w:color w:val="auto"/>
        </w:rPr>
        <w:t>Risk Factors</w:t>
      </w:r>
    </w:p>
    <w:p>
      <w:pPr>
        <w:spacing w:after="0" w:line="82" w:lineRule="exact"/>
        <w:rPr>
          <w:sz w:val="20"/>
          <w:szCs w:val="20"/>
          <w:color w:val="auto"/>
        </w:rPr>
      </w:pPr>
    </w:p>
    <w:p>
      <w:pPr>
        <w:jc w:val="both"/>
        <w:ind w:right="40" w:firstLine="513"/>
        <w:spacing w:after="0" w:line="263" w:lineRule="auto"/>
        <w:rPr>
          <w:sz w:val="20"/>
          <w:szCs w:val="20"/>
          <w:color w:val="auto"/>
        </w:rPr>
      </w:pPr>
      <w:r>
        <w:rPr>
          <w:rFonts w:ascii="Arial" w:cs="Arial" w:eastAsia="Arial" w:hAnsi="Arial"/>
          <w:sz w:val="12"/>
          <w:szCs w:val="12"/>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condition and capital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primarily a clinical-stage company with no approved products, which makes assessment of our future viability difficult.</w:t>
      </w:r>
    </w:p>
    <w:p>
      <w:pPr>
        <w:spacing w:after="0" w:line="6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significantly dependent upon the success of DCCR, our sole therapeutic product candidate.</w:t>
      </w:r>
    </w:p>
    <w:p>
      <w:pPr>
        <w:spacing w:after="0" w:line="7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50" w:lineRule="exact"/>
        <w:rPr>
          <w:sz w:val="20"/>
          <w:szCs w:val="20"/>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 a sufficiently broad label that would not unduly restrict patient access;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receipt of marketing approvals for DCCR in the U.S. and E.U.;</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building an infrastructure capable of supporting product sales, marketing, and distribution of DCCR in territories where we pursue commercialization directly;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establishing commercial manufacturing arrangements with third party manufacturers;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establishing commercial distribution agreements with third party distributors;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launching commercial sales of DCCR, if and when approved, whether alone or in collaboration with others;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acceptance of DCCR, if and when approved, by patients, the medical community, and third-party payers;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regulatory approval pathway that we pursue for DCCR in the United States;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effectively competing with other therapies;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continued acceptable safety profile of DCCR following approval;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and maintaining patent and trade secret protection and regulatory exclusivity;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protecting our rights in our intellectual property portfolio;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obtaining a commercially viable price for our products.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1"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color w:val="auto"/>
        </w:rPr>
        <w:t>If we do not achieve one or more of these factors in a timely manner or at all, we could experience significant delays or an inability to successfully commercialize DCCR, which would materially harm our business.</w:t>
      </w:r>
    </w:p>
    <w:p>
      <w:pPr>
        <w:spacing w:after="0" w:line="11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50"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have incurred significant operating losses since inception and continue to generate losses from operations and have an accumulated deficit of $171.0 million. At June 30, 2020, our cash balance was $62.5 million. We may need to raise additional capital, either through debt or equity financings to achieve our business plan objectives, including increased expenses related to additional resources being deployed to manage enrollment of patients and other activities related to our current ongoing clinical trial of DCCR.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41" w:lineRule="exact"/>
        <w:rPr>
          <w:sz w:val="20"/>
          <w:szCs w:val="20"/>
          <w:color w:val="auto"/>
        </w:rPr>
      </w:pPr>
    </w:p>
    <w:p>
      <w:pPr>
        <w:ind w:right="60"/>
        <w:spacing w:after="0" w:line="280" w:lineRule="auto"/>
        <w:rPr>
          <w:sz w:val="20"/>
          <w:szCs w:val="20"/>
          <w:color w:val="auto"/>
        </w:rPr>
      </w:pPr>
      <w:r>
        <w:rPr>
          <w:rFonts w:ascii="Arial" w:cs="Arial" w:eastAsia="Arial" w:hAnsi="Arial"/>
          <w:sz w:val="11"/>
          <w:szCs w:val="11"/>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4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43"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have generated limited product revenue and may never become profitable.</w:t>
      </w:r>
    </w:p>
    <w:p>
      <w:pPr>
        <w:spacing w:after="0" w:line="7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50" w:lineRule="exact"/>
        <w:rPr>
          <w:sz w:val="20"/>
          <w:szCs w:val="20"/>
          <w:color w:val="auto"/>
        </w:rPr>
      </w:pPr>
    </w:p>
    <w:p>
      <w:pPr>
        <w:ind w:left="1020" w:hanging="434"/>
        <w:spacing w:after="0"/>
        <w:tabs>
          <w:tab w:leader="none" w:pos="1020" w:val="left"/>
        </w:tabs>
        <w:numPr>
          <w:ilvl w:val="0"/>
          <w:numId w:val="9"/>
        </w:numPr>
        <w:rPr>
          <w:rFonts w:ascii="Arial" w:cs="Arial" w:eastAsia="Arial" w:hAnsi="Arial"/>
          <w:sz w:val="11"/>
          <w:szCs w:val="11"/>
          <w:color w:val="auto"/>
        </w:rPr>
      </w:pPr>
      <w:r>
        <w:rPr>
          <w:rFonts w:ascii="Arial" w:cs="Arial" w:eastAsia="Arial" w:hAnsi="Arial"/>
          <w:sz w:val="11"/>
          <w:szCs w:val="11"/>
          <w:color w:val="auto"/>
        </w:rPr>
        <w:t>develop a commercial organization capable of sales, marketing and distribution of any products for which we obtain marketing approval in markets where we intend to commercialize independently;</w:t>
      </w:r>
    </w:p>
    <w:p>
      <w:pPr>
        <w:spacing w:after="0" w:line="89" w:lineRule="exact"/>
        <w:rPr>
          <w:rFonts w:ascii="Arial" w:cs="Arial" w:eastAsia="Arial" w:hAnsi="Arial"/>
          <w:sz w:val="11"/>
          <w:szCs w:val="11"/>
          <w:color w:val="auto"/>
        </w:rPr>
      </w:pPr>
    </w:p>
    <w:p>
      <w:pPr>
        <w:ind w:left="1020" w:hanging="434"/>
        <w:spacing w:after="0"/>
        <w:tabs>
          <w:tab w:leader="none" w:pos="10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achieve market acceptance of our current and future products, if any;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3" w:name="page24"/>
    <w:bookmarkEnd w:id="23"/>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set a commercially viable price for our current and future products, if any;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establish and maintain supply and manufacturing relationships with reliable third parties, and ensure adequate and legally compliant manufacturing to maintain that supply;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obtain coverage and adequate reimbursement from third-party payors, including government and private payors;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find suitable global and U.S. distribution partners to help us market, sell and distribute our products in other markets;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complete and submit applications to, and obtain regulatory approval from, foreign regulatory authorities;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complete development activities successfully and on a timely basis;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establish, maintain and protect our intellectual property rights and avoid third-party patent interference or patent infringement claims;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attract, hire and retain qualified personnel.</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22"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90" w:lineRule="exact"/>
        <w:rPr>
          <w:sz w:val="20"/>
          <w:szCs w:val="20"/>
          <w:color w:val="auto"/>
        </w:rPr>
      </w:pPr>
    </w:p>
    <w:p>
      <w:pPr>
        <w:ind w:right="40"/>
        <w:spacing w:after="0" w:line="281" w:lineRule="auto"/>
        <w:rPr>
          <w:sz w:val="20"/>
          <w:szCs w:val="20"/>
          <w:color w:val="auto"/>
        </w:rPr>
      </w:pPr>
      <w:r>
        <w:rPr>
          <w:rFonts w:ascii="Arial" w:cs="Arial" w:eastAsia="Arial" w:hAnsi="Arial"/>
          <w:sz w:val="11"/>
          <w:szCs w:val="11"/>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43" w:lineRule="exact"/>
        <w:rPr>
          <w:sz w:val="20"/>
          <w:szCs w:val="20"/>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enroll patients in clinical trials and the timing of enrollment;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and risk of initiating sales and marketing activities;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timing and cost of, and level of investment in, research and development activities relating to our planned products, which will change from time to time;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of manufacturing our products may vary depending on FDA and other regulatory requirements, the quantity of production and the terms of our agreements with manufacturers;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expenditures that we will or may incur to acquire or develop additional planned products and technologies;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design, timing and outcomes of clinical studies;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changes in the competitive landscape of our industry, including consolidation among our competitors or potential partners;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delays in regulatory review or approval in the U.S. or globally, of any of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level of demand for our products may fluctuate significantly and be difficult to predict;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4" w:name="page25"/>
    <w:bookmarkEnd w:id="24"/>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risk/benefit profile, cost and reimbursement policies with respect to our future products, if approved, and existing and potential future drugs that compete with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competition from existing and potential future offerings that compete with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commercialize our products inside and outside of the U.S., either independently or working with third parties;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establish and maintain collaborations, licensing or other arrangements;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adequately support future growth;</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potential unforeseen business disruptions that increase our costs or expenses;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future accounting pronouncements or changes in our accounting policies;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changing and volatile global economic environment.</w:t>
      </w:r>
    </w:p>
    <w:p>
      <w:pPr>
        <w:spacing w:after="0" w:line="78" w:lineRule="exact"/>
        <w:rPr>
          <w:sz w:val="20"/>
          <w:szCs w:val="20"/>
          <w:color w:val="auto"/>
        </w:rPr>
      </w:pPr>
    </w:p>
    <w:p>
      <w:pPr>
        <w:ind w:right="60"/>
        <w:spacing w:after="0" w:line="326" w:lineRule="auto"/>
        <w:rPr>
          <w:sz w:val="20"/>
          <w:szCs w:val="20"/>
          <w:color w:val="auto"/>
        </w:rPr>
      </w:pPr>
      <w:r>
        <w:rPr>
          <w:rFonts w:ascii="Arial" w:cs="Arial" w:eastAsia="Arial" w:hAnsi="Arial"/>
          <w:sz w:val="10"/>
          <w:szCs w:val="1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engage in strategic transactions that could impact our liquidity, increase our expenses and present significant distractions to our management.</w:t>
      </w:r>
    </w:p>
    <w:p>
      <w:pPr>
        <w:spacing w:after="0" w:line="78"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39" w:lineRule="exact"/>
        <w:rPr>
          <w:sz w:val="20"/>
          <w:szCs w:val="20"/>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exposure to unknown and contingent liabilities;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disruption of our business and diversion of our management’s time and attention in order to develop acquired products, product candidates or technologies;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incurrence of substantial debt or dilutive issuances of equity securities to pay for acquisitions;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higher than expected acquisition and integration costs;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and likelihood of payment of milestones or royalties;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write-downs of assets or goodwill or impairment charges;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increased operating expenditures, including additional research, development and sales and marketing expenses;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increased amortization expenses;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difficulty and cost in combining the operations and personnel of any acquired businesses with our operations and personnel;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impairment of relationships with key suppliers or customers of any acquired businesses due to changes in management and ownership.</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enter into strategic transactions on a timely basis or on acceptable terms, which may impact our development and commercialization plans.</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5" w:name="page26"/>
    <w:bookmarkEnd w:id="25"/>
    <w:p>
      <w:pPr>
        <w:spacing w:after="0" w:line="289" w:lineRule="auto"/>
        <w:rPr>
          <w:sz w:val="20"/>
          <w:szCs w:val="20"/>
          <w:color w:val="auto"/>
        </w:rPr>
      </w:pPr>
      <w:r>
        <w:rPr>
          <w:rFonts w:ascii="Arial" w:cs="Arial" w:eastAsia="Arial" w:hAnsi="Arial"/>
          <w:sz w:val="11"/>
          <w:szCs w:val="11"/>
          <w:color w:val="auto"/>
        </w:rPr>
        <w:t>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development and commercialization of our products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commercializing our approved products</w:t>
      </w:r>
    </w:p>
    <w:p>
      <w:pPr>
        <w:spacing w:after="0" w:line="7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56" w:lineRule="exact"/>
        <w:rPr>
          <w:sz w:val="20"/>
          <w:szCs w:val="20"/>
          <w:color w:val="auto"/>
        </w:rPr>
      </w:pPr>
    </w:p>
    <w:p>
      <w:pPr>
        <w:ind w:left="1020" w:hanging="434"/>
        <w:spacing w:after="0"/>
        <w:tabs>
          <w:tab w:leader="none" w:pos="10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outcomes of clinical utility studies of such products in collaboration with key thought leaders to demonstrate our products’ value in informing important medical decisions such as treatment selection;</w:t>
      </w:r>
    </w:p>
    <w:p>
      <w:pPr>
        <w:spacing w:after="0" w:line="89" w:lineRule="exact"/>
        <w:rPr>
          <w:rFonts w:ascii="Arial" w:cs="Arial" w:eastAsia="Arial" w:hAnsi="Arial"/>
          <w:sz w:val="11"/>
          <w:szCs w:val="11"/>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success of our distribution partners;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whether healthcare providers believe such tests provide clinical utility;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whether the medical community accepts that such tests are sufficiently sensitive and specific to be meaningful in-patient care and treatment decisions;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whether hospital administrators, health insurers, government health programs and other payers will cover and pay for such tests and, if so, whether they will adequately reimburse us.</w:t>
      </w:r>
    </w:p>
    <w:p>
      <w:pPr>
        <w:spacing w:after="0" w:line="78" w:lineRule="exact"/>
        <w:rPr>
          <w:sz w:val="20"/>
          <w:szCs w:val="20"/>
          <w:color w:val="auto"/>
        </w:rPr>
      </w:pPr>
    </w:p>
    <w:p>
      <w:pPr>
        <w:jc w:val="both"/>
        <w:ind w:right="60"/>
        <w:spacing w:after="0" w:line="323" w:lineRule="auto"/>
        <w:rPr>
          <w:sz w:val="20"/>
          <w:szCs w:val="20"/>
          <w:color w:val="auto"/>
        </w:rPr>
      </w:pPr>
      <w:r>
        <w:rPr>
          <w:rFonts w:ascii="Arial" w:cs="Arial" w:eastAsia="Arial" w:hAnsi="Arial"/>
          <w:sz w:val="11"/>
          <w:szCs w:val="11"/>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56"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4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43" w:lineRule="exact"/>
        <w:rPr>
          <w:sz w:val="20"/>
          <w:szCs w:val="20"/>
          <w:color w:val="auto"/>
        </w:rPr>
      </w:pPr>
    </w:p>
    <w:p>
      <w:pPr>
        <w:jc w:val="both"/>
        <w:ind w:right="60"/>
        <w:spacing w:after="0" w:line="259" w:lineRule="auto"/>
        <w:rPr>
          <w:sz w:val="20"/>
          <w:szCs w:val="20"/>
          <w:color w:val="auto"/>
        </w:rPr>
      </w:pPr>
      <w:r>
        <w:rPr>
          <w:rFonts w:ascii="Arial" w:cs="Arial" w:eastAsia="Arial" w:hAnsi="Arial"/>
          <w:sz w:val="12"/>
          <w:szCs w:val="12"/>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color w:val="auto"/>
        </w:rPr>
        <w:t>Factors that may inhibit our efforts to commercialize DCCR on our own include:</w:t>
      </w:r>
    </w:p>
    <w:p>
      <w:pPr>
        <w:spacing w:after="0" w:line="78" w:lineRule="exact"/>
        <w:rPr>
          <w:sz w:val="20"/>
          <w:szCs w:val="20"/>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inability to recruit, train and retain adequate numbers of effective sales and marketing personnel;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inability of sales personnel to obtain access to or persuade adequate numbers of physicians to prescribe DCCR or any future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lack of complementary products to be offered by sales personnel, which may put us at a competitive disadvantage relative to companies with more extensive product lines;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unforeseen costs and expenses associated with creating an independent sales and marketing organization;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efforts by our competitors to commercialize products at or about the time when our product candidates would be coming to market.</w:t>
      </w:r>
    </w:p>
    <w:p>
      <w:pPr>
        <w:spacing w:after="0" w:line="78"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physicians decide not to order our products in significant numbers, we may be unable to generate sufficient revenue to sustain our business.</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products do not continue to perform as expected, our operating results, reputation and business will suffer.</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69"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4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90" w:lineRule="exact"/>
        <w:rPr>
          <w:sz w:val="20"/>
          <w:szCs w:val="20"/>
          <w:color w:val="auto"/>
        </w:rPr>
      </w:pPr>
    </w:p>
    <w:p>
      <w:pPr>
        <w:ind w:left="1020" w:hanging="434"/>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clinical studies may produce negative or inconclusive results, and we may decide, or regulators may require us, to conduct additional clinical studies or abandon product development programs;</w:t>
      </w:r>
    </w:p>
    <w:p>
      <w:pPr>
        <w:spacing w:after="0" w:line="78" w:lineRule="exact"/>
        <w:rPr>
          <w:rFonts w:ascii="Arial" w:cs="Arial" w:eastAsia="Arial" w:hAnsi="Arial"/>
          <w:sz w:val="12"/>
          <w:szCs w:val="12"/>
          <w:color w:val="auto"/>
        </w:rPr>
      </w:pPr>
    </w:p>
    <w:p>
      <w:pPr>
        <w:ind w:left="1020" w:right="180" w:hanging="434"/>
        <w:spacing w:after="0" w:line="276"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cost of clinical studies or the manufacturing of our planned products may be greater than we anticipate;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third-party contractors may fail to comply with regulatory requirements or meet their contractual obligations to us in a timely manner, or at all;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7" w:name="page28"/>
    <w:bookmarkEnd w:id="27"/>
    <w:p>
      <w:pPr>
        <w:ind w:left="1020" w:right="480" w:hanging="434"/>
        <w:spacing w:after="0" w:line="276" w:lineRule="auto"/>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regulators may not approve our proposed clinical development plans;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regulators or independent institutional review boards, or IRBs, may not authorize us or our investigators to commence a clinical study or conduct a clinical study at a prospective study site;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regulators or IRBs may require that we or our investigators suspend or terminate clinical research for various reasons, including noncompliance with regulatory requirements;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supply or quality of our planned products or other materials necessary to conduct clinical studies of our planned products may be insufficient or inadequate.</w:t>
      </w:r>
    </w:p>
    <w:p>
      <w:pPr>
        <w:spacing w:after="0" w:line="78"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43" w:lineRule="exact"/>
        <w:rPr>
          <w:sz w:val="20"/>
          <w:szCs w:val="20"/>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 delayed in obtaining marketing approval for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not obtain marketing approval at all;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obtain approval for indications that are not as broad as intended;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have the product removed from the market after obtaining marketing approval;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 subject to restrictions on how the product is distributed or used.</w:t>
      </w:r>
    </w:p>
    <w:p>
      <w:pPr>
        <w:spacing w:after="0" w:line="7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obtain regulatory approval for DCCR in the U.S. and E.U., our business would be harmed.</w:t>
      </w:r>
    </w:p>
    <w:p>
      <w:pPr>
        <w:spacing w:after="0" w:line="78" w:lineRule="exact"/>
        <w:rPr>
          <w:sz w:val="20"/>
          <w:szCs w:val="20"/>
          <w:color w:val="auto"/>
        </w:rPr>
      </w:pPr>
    </w:p>
    <w:p>
      <w:pPr>
        <w:ind w:right="20"/>
        <w:spacing w:after="0" w:line="320" w:lineRule="auto"/>
        <w:rPr>
          <w:sz w:val="20"/>
          <w:szCs w:val="20"/>
          <w:color w:val="auto"/>
        </w:rPr>
      </w:pPr>
      <w:r>
        <w:rPr>
          <w:rFonts w:ascii="Arial" w:cs="Arial" w:eastAsia="Arial" w:hAnsi="Arial"/>
          <w:sz w:val="10"/>
          <w:szCs w:val="10"/>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61" w:lineRule="exact"/>
        <w:rPr>
          <w:sz w:val="20"/>
          <w:szCs w:val="20"/>
          <w:color w:val="auto"/>
        </w:rPr>
      </w:pPr>
    </w:p>
    <w:p>
      <w:pPr>
        <w:ind w:right="480"/>
        <w:spacing w:after="0" w:line="276" w:lineRule="auto"/>
        <w:rPr>
          <w:sz w:val="20"/>
          <w:szCs w:val="20"/>
          <w:color w:val="auto"/>
        </w:rPr>
      </w:pPr>
      <w:r>
        <w:rPr>
          <w:rFonts w:ascii="Arial" w:cs="Arial" w:eastAsia="Arial" w:hAnsi="Arial"/>
          <w:sz w:val="12"/>
          <w:szCs w:val="12"/>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28" w:name="page29"/>
    <w:bookmarkEnd w:id="28"/>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generate sufficient nonclinical, toxicology, or other in vivo or in vitro data, or clinical safety data to support the initiation or continuation of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obtain regulatory approval, or feedback on trial design, to commence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identify, recruit and train suitable clinical investigators;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reach agreement on acceptable terms with prospective contract research organizations, or CROs, and clinical trial sites;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obtain and maintain institutional review board, or IRB, approval at each clinical trial site;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identify, recruit and enroll suitable patients to participate in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have a sufficient number of patients complete a trial and/or return for post-treatment follow-up;</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ensure clinical investigators observe trial protocol or continue to participate in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address any patient safety concerns that arise during the course of a trial;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address any conflicts or compliance with new or existing laws, rule, regulations or guidelines;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have a sufficient number of clinical trial sites to conduct the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timely manufacture sufficient quantities of product candidate suitable for use at the stage of clinical development;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raise sufficient capital to fund a trial.</w:t>
      </w:r>
    </w:p>
    <w:p>
      <w:pPr>
        <w:spacing w:after="0" w:line="78"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33" w:lineRule="exact"/>
        <w:rPr>
          <w:sz w:val="20"/>
          <w:szCs w:val="20"/>
          <w:color w:val="auto"/>
        </w:rPr>
      </w:pPr>
    </w:p>
    <w:p>
      <w:pPr>
        <w:jc w:val="both"/>
        <w:ind w:right="80"/>
        <w:spacing w:after="0" w:line="276" w:lineRule="auto"/>
        <w:rPr>
          <w:sz w:val="20"/>
          <w:szCs w:val="20"/>
          <w:color w:val="auto"/>
        </w:rPr>
      </w:pPr>
      <w:r>
        <w:rPr>
          <w:rFonts w:ascii="Arial" w:cs="Arial" w:eastAsia="Arial" w:hAnsi="Arial"/>
          <w:sz w:val="12"/>
          <w:szCs w:val="12"/>
          <w:color w:val="auto"/>
        </w:rPr>
        <w:t>There has recently been increased activity in the development of drugs to treat PWS. We are aware of eight other current or proposed clinical trials evaluating PWS therapies. If all of these clinical trials are ongoing concurrently, given the limited number of patients, it may hamper recruitment and enrollment of qualified patients for our current trial of DCCR in PWS.</w:t>
      </w:r>
    </w:p>
    <w:p>
      <w:pPr>
        <w:spacing w:after="0" w:line="43" w:lineRule="exact"/>
        <w:rPr>
          <w:sz w:val="20"/>
          <w:szCs w:val="20"/>
          <w:color w:val="auto"/>
        </w:rPr>
      </w:pPr>
    </w:p>
    <w:p>
      <w:pPr>
        <w:ind w:right="20"/>
        <w:spacing w:after="0" w:line="289" w:lineRule="auto"/>
        <w:rPr>
          <w:sz w:val="20"/>
          <w:szCs w:val="20"/>
          <w:color w:val="auto"/>
        </w:rPr>
      </w:pPr>
      <w:r>
        <w:rPr>
          <w:rFonts w:ascii="Arial" w:cs="Arial" w:eastAsia="Arial" w:hAnsi="Arial"/>
          <w:sz w:val="11"/>
          <w:szCs w:val="11"/>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88"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43" w:lineRule="exact"/>
        <w:rPr>
          <w:sz w:val="20"/>
          <w:szCs w:val="20"/>
          <w:color w:val="auto"/>
        </w:rPr>
      </w:pPr>
    </w:p>
    <w:p>
      <w:pPr>
        <w:ind w:right="240"/>
        <w:spacing w:after="0" w:line="289" w:lineRule="auto"/>
        <w:rPr>
          <w:sz w:val="20"/>
          <w:szCs w:val="20"/>
          <w:color w:val="auto"/>
        </w:rPr>
      </w:pPr>
      <w:r>
        <w:rPr>
          <w:rFonts w:ascii="Arial" w:cs="Arial" w:eastAsia="Arial" w:hAnsi="Arial"/>
          <w:sz w:val="11"/>
          <w:szCs w:val="11"/>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39" w:lineRule="exact"/>
        <w:rPr>
          <w:sz w:val="20"/>
          <w:szCs w:val="20"/>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inability to satisfactorily demonstrate that the product candidates are safe and effective for the requested indication;</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FDA’s disagreement with our trial protocol or the interpretation of data from preclinical studies or clinical trials;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29" w:name="page30"/>
    <w:bookmarkEnd w:id="29"/>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population studied in the clinical trial may not be sufficiently broad or representative to assess safety in the full population for which we seek approval;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inability to demonstrate that clinical or other benefits of our product candidates outweigh any safety or other perceived risks;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FDA’s determination that additional preclinical or clinical trials are required;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FDA’s non-approval of the formulation, labeling or the specifications of our product candidates;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FDA’s failure to accept the manufacturing processes or facilities of third-party manufacturers with which we contract;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potential for approval policies or regulations of the FDA to significantly change in a manner rendering our clinical data insufficient for approval.</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9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43" w:lineRule="exact"/>
        <w:rPr>
          <w:sz w:val="20"/>
          <w:szCs w:val="20"/>
          <w:color w:val="auto"/>
        </w:rPr>
      </w:pPr>
    </w:p>
    <w:p>
      <w:pPr>
        <w:jc w:val="both"/>
        <w:ind w:right="220"/>
        <w:spacing w:after="0" w:line="263" w:lineRule="auto"/>
        <w:rPr>
          <w:sz w:val="20"/>
          <w:szCs w:val="20"/>
          <w:color w:val="auto"/>
        </w:rPr>
      </w:pPr>
      <w:r>
        <w:rPr>
          <w:rFonts w:ascii="Arial" w:cs="Arial" w:eastAsia="Arial" w:hAnsi="Arial"/>
          <w:sz w:val="12"/>
          <w:szCs w:val="12"/>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50" w:lineRule="exact"/>
        <w:rPr>
          <w:sz w:val="20"/>
          <w:szCs w:val="20"/>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prevalence and severity of any side effects;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their effectiveness and potential advantages compared to alternative treatments;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price we charge for our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willingness of physicians to change their current treatment practices;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convenience and ease of administration compared to alternative treatments;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strength or effectiveness of marketing and distribution support or partners;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availability of third-party coverage or reimbursement.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market opportunity for DCCR is smaller than we believe it is, then our revenues may be adversely affected, and our business may suffer.</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43" w:lineRule="exact"/>
        <w:rPr>
          <w:sz w:val="20"/>
          <w:szCs w:val="20"/>
          <w:color w:val="auto"/>
        </w:rPr>
      </w:pPr>
    </w:p>
    <w:p>
      <w:pPr>
        <w:ind w:right="200"/>
        <w:spacing w:after="0" w:line="289" w:lineRule="auto"/>
        <w:rPr>
          <w:sz w:val="20"/>
          <w:szCs w:val="20"/>
          <w:color w:val="auto"/>
        </w:rPr>
      </w:pPr>
      <w:r>
        <w:rPr>
          <w:rFonts w:ascii="Arial" w:cs="Arial" w:eastAsia="Arial" w:hAnsi="Arial"/>
          <w:sz w:val="11"/>
          <w:szCs w:val="11"/>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75" w:lineRule="exact"/>
        <w:rPr>
          <w:sz w:val="20"/>
          <w:szCs w:val="20"/>
          <w:color w:val="auto"/>
        </w:rPr>
      </w:pPr>
    </w:p>
    <w:p>
      <w:pPr>
        <w:spacing w:after="0" w:line="379" w:lineRule="auto"/>
        <w:rPr>
          <w:sz w:val="20"/>
          <w:szCs w:val="20"/>
          <w:color w:val="auto"/>
        </w:rPr>
      </w:pPr>
      <w:r>
        <w:rPr>
          <w:rFonts w:ascii="Arial" w:cs="Arial" w:eastAsia="Arial" w:hAnsi="Arial"/>
          <w:sz w:val="10"/>
          <w:szCs w:val="10"/>
          <w:b w:val="1"/>
          <w:bCs w:val="1"/>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0" w:name="page31"/>
    <w:bookmarkEnd w:id="30"/>
    <w:p>
      <w:pPr>
        <w:jc w:val="both"/>
        <w:ind w:right="180"/>
        <w:spacing w:after="0" w:line="298" w:lineRule="auto"/>
        <w:rPr>
          <w:sz w:val="20"/>
          <w:szCs w:val="20"/>
          <w:color w:val="auto"/>
        </w:rPr>
      </w:pPr>
      <w:r>
        <w:rPr>
          <w:rFonts w:ascii="Arial" w:cs="Arial" w:eastAsia="Arial" w:hAnsi="Arial"/>
          <w:sz w:val="11"/>
          <w:szCs w:val="11"/>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01"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43"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We face significant competition in seeking appropriate strategic partners,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75" w:lineRule="exact"/>
        <w:rPr>
          <w:sz w:val="20"/>
          <w:szCs w:val="20"/>
          <w:color w:val="auto"/>
        </w:rPr>
      </w:pPr>
    </w:p>
    <w:p>
      <w:pPr>
        <w:ind w:right="620"/>
        <w:spacing w:after="0" w:line="276" w:lineRule="auto"/>
        <w:rPr>
          <w:sz w:val="20"/>
          <w:szCs w:val="20"/>
          <w:color w:val="auto"/>
        </w:rPr>
      </w:pPr>
      <w:r>
        <w:rPr>
          <w:rFonts w:ascii="Arial" w:cs="Arial" w:eastAsia="Arial" w:hAnsi="Arial"/>
          <w:sz w:val="12"/>
          <w:szCs w:val="12"/>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43"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33" w:lineRule="exact"/>
        <w:rPr>
          <w:sz w:val="20"/>
          <w:szCs w:val="20"/>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may be forced to recall such product and suspend the marketing of such product;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regulatory authorities may withdraw their approvals of such product;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regulatory authorities may require additional warnings on the label that could diminish the usage or otherwise limit the commercial success of such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FDA or other regulatory bodies may issue safety alerts, Dear Healthcare Provider letters, press releases or other communications containing warnings about such product;</w:t>
      </w:r>
    </w:p>
    <w:p>
      <w:pPr>
        <w:spacing w:after="0" w:line="78" w:lineRule="exact"/>
        <w:rPr>
          <w:rFonts w:ascii="Arial" w:cs="Arial" w:eastAsia="Arial" w:hAnsi="Arial"/>
          <w:sz w:val="12"/>
          <w:szCs w:val="12"/>
          <w:color w:val="auto"/>
        </w:rPr>
      </w:pPr>
    </w:p>
    <w:p>
      <w:pPr>
        <w:ind w:left="1020" w:right="20" w:hanging="434"/>
        <w:spacing w:after="0" w:line="276" w:lineRule="auto"/>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may be required to change the way the product is administered or conduct additional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subjects or patients;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may be subject to litigation or product liability claims;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Any of these events could prevent us from achieving or maintaining market acceptance of the particular planned product, if approved.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i w:val="1"/>
          <w:iCs w:val="1"/>
          <w:color w:val="auto"/>
        </w:rPr>
        <w:t>We face competition, which may result in others discovering, developing or commercializing products before we do, or more successfully than we do.</w:t>
      </w:r>
    </w:p>
    <w:p>
      <w:pPr>
        <w:spacing w:after="0" w:line="78" w:lineRule="exact"/>
        <w:rPr>
          <w:sz w:val="20"/>
          <w:szCs w:val="20"/>
          <w:color w:val="auto"/>
        </w:rPr>
      </w:pPr>
    </w:p>
    <w:p>
      <w:pPr>
        <w:ind w:right="100"/>
        <w:spacing w:after="0" w:line="289" w:lineRule="auto"/>
        <w:rPr>
          <w:sz w:val="20"/>
          <w:szCs w:val="20"/>
          <w:color w:val="auto"/>
        </w:rPr>
      </w:pPr>
      <w:r>
        <w:rPr>
          <w:rFonts w:ascii="Arial" w:cs="Arial" w:eastAsia="Arial" w:hAnsi="Arial"/>
          <w:sz w:val="11"/>
          <w:szCs w:val="11"/>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39" w:lineRule="exact"/>
        <w:rPr>
          <w:sz w:val="20"/>
          <w:szCs w:val="20"/>
          <w:color w:val="auto"/>
        </w:rPr>
      </w:pPr>
    </w:p>
    <w:p>
      <w:pPr>
        <w:ind w:right="320"/>
        <w:spacing w:after="0" w:line="323" w:lineRule="auto"/>
        <w:rPr>
          <w:sz w:val="20"/>
          <w:szCs w:val="20"/>
          <w:color w:val="auto"/>
        </w:rPr>
      </w:pPr>
      <w:r>
        <w:rPr>
          <w:rFonts w:ascii="Arial" w:cs="Arial" w:eastAsia="Arial" w:hAnsi="Arial"/>
          <w:sz w:val="11"/>
          <w:szCs w:val="11"/>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 rights may prove to be an inadequate barrier to competition.</w:t>
      </w:r>
    </w:p>
    <w:p>
      <w:pPr>
        <w:spacing w:after="0" w:line="78"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7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43" w:lineRule="exact"/>
        <w:rPr>
          <w:sz w:val="20"/>
          <w:szCs w:val="20"/>
          <w:color w:val="auto"/>
        </w:rPr>
      </w:pPr>
    </w:p>
    <w:p>
      <w:pPr>
        <w:ind w:right="60"/>
        <w:spacing w:after="0" w:line="289" w:lineRule="auto"/>
        <w:rPr>
          <w:sz w:val="20"/>
          <w:szCs w:val="20"/>
          <w:color w:val="auto"/>
        </w:rPr>
      </w:pPr>
      <w:r>
        <w:rPr>
          <w:rFonts w:ascii="Arial" w:cs="Arial" w:eastAsia="Arial" w:hAnsi="Arial"/>
          <w:sz w:val="11"/>
          <w:szCs w:val="11"/>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39"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41"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83" w:right="319" w:bottom="1440" w:gutter="0" w:footer="0" w:header="0"/>
        </w:sectPr>
      </w:pPr>
    </w:p>
    <w:bookmarkStart w:id="32" w:name="page33"/>
    <w:bookmarkEnd w:id="32"/>
    <w:p>
      <w:pPr>
        <w:spacing w:after="0" w:line="256" w:lineRule="auto"/>
        <w:rPr>
          <w:sz w:val="20"/>
          <w:szCs w:val="20"/>
          <w:color w:val="auto"/>
        </w:rPr>
      </w:pPr>
      <w:r>
        <w:rPr>
          <w:rFonts w:ascii="Arial" w:cs="Arial" w:eastAsia="Arial" w:hAnsi="Arial"/>
          <w:sz w:val="12"/>
          <w:szCs w:val="12"/>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to limit commercialization of any products that we may develop.</w:t>
      </w:r>
    </w:p>
    <w:p>
      <w:pPr>
        <w:spacing w:after="0" w:line="7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50" w:lineRule="exact"/>
        <w:rPr>
          <w:sz w:val="20"/>
          <w:szCs w:val="20"/>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decreased demand for any planned products that we may develop;</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withdrawal of patients from clinical studies or cancellation of studies;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 and distraction to our management team;</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substantial monetary awards to patients;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loss of revenue;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inability to commercialize any products that we may develop.</w:t>
      </w:r>
    </w:p>
    <w:p>
      <w:pPr>
        <w:spacing w:after="0" w:line="150"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loss of key members of our executive management team could adversely affect our business.</w:t>
      </w:r>
    </w:p>
    <w:p>
      <w:pPr>
        <w:spacing w:after="0" w:line="78"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Our success in implementing our business strategy depends largely on the skills, experience and performance of key members of our executive management team and others in key management positions, including Dr. Anish Bhatnagar, our Chief Executive Officer, James Mackaness,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 million “key person” life insurance policy on our Chief Executive Officer, Dr. Anish Bhatnagar, but do not otherwise maintain “key person” life insurance on any of our employees.</w:t>
      </w:r>
    </w:p>
    <w:p>
      <w:pPr>
        <w:spacing w:after="0" w:line="43"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 turnover creates uncertainties and could harm our business</w:t>
      </w:r>
    </w:p>
    <w:p>
      <w:pPr>
        <w:spacing w:after="0" w:line="78" w:lineRule="exact"/>
        <w:rPr>
          <w:sz w:val="20"/>
          <w:szCs w:val="20"/>
          <w:color w:val="auto"/>
        </w:rPr>
      </w:pPr>
    </w:p>
    <w:p>
      <w:pPr>
        <w:ind w:right="160"/>
        <w:spacing w:after="0" w:line="259" w:lineRule="auto"/>
        <w:rPr>
          <w:sz w:val="20"/>
          <w:szCs w:val="20"/>
          <w:color w:val="auto"/>
        </w:rPr>
      </w:pPr>
      <w:r>
        <w:rPr>
          <w:rFonts w:ascii="Arial" w:cs="Arial" w:eastAsia="Arial" w:hAnsi="Arial"/>
          <w:sz w:val="12"/>
          <w:szCs w:val="12"/>
          <w:color w:val="auto"/>
        </w:rPr>
        <w:t>We have experienced changes in our executive leadership in the past. David O’Toole, our Senior Vice President and Chief Financial Officer, resigned from employment effective September 11, 2017. Mr. Jonathan Wolter, a partner at FLG Partners, LLC, was retained as our interim Chief Financial Officer and on May 30, 2018, was appointed Chief Financial Officer. On November 14, 2019, we amended our agreement with FLG Partners LLC, to replace Mr. Jonathan Wolter with Mr. James Mackaness as Chief Financial Officer, after Mr. Wolter accepted a full-time position at another company and was therefore no longer available to continue his engagement with us. Patricia Hirano was appointed Vice President of Regulatory Affairs on January 1,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33" w:name="page34"/>
    <w:bookmarkEnd w:id="33"/>
    <w:p>
      <w:pPr>
        <w:ind w:right="100"/>
        <w:spacing w:after="0" w:line="259" w:lineRule="auto"/>
        <w:rPr>
          <w:sz w:val="20"/>
          <w:szCs w:val="20"/>
          <w:color w:val="auto"/>
        </w:rPr>
      </w:pPr>
      <w:r>
        <w:rPr>
          <w:rFonts w:ascii="Arial" w:cs="Arial" w:eastAsia="Arial" w:hAnsi="Arial"/>
          <w:sz w:val="12"/>
          <w:szCs w:val="12"/>
          <w:color w:val="auto"/>
        </w:rPr>
        <w:t>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52"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90" w:lineRule="exact"/>
        <w:rPr>
          <w:sz w:val="20"/>
          <w:szCs w:val="20"/>
          <w:color w:val="auto"/>
        </w:rPr>
      </w:pPr>
    </w:p>
    <w:p>
      <w:pPr>
        <w:ind w:right="360"/>
        <w:spacing w:after="0" w:line="298" w:lineRule="auto"/>
        <w:rPr>
          <w:sz w:val="20"/>
          <w:szCs w:val="20"/>
          <w:color w:val="auto"/>
        </w:rPr>
      </w:pPr>
      <w:r>
        <w:rPr>
          <w:rFonts w:ascii="Arial" w:cs="Arial" w:eastAsia="Arial" w:hAnsi="Arial"/>
          <w:sz w:val="11"/>
          <w:szCs w:val="11"/>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69"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43"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4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78"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43" w:lineRule="exact"/>
        <w:rPr>
          <w:sz w:val="20"/>
          <w:szCs w:val="20"/>
          <w:color w:val="auto"/>
        </w:rPr>
      </w:pPr>
    </w:p>
    <w:p>
      <w:pPr>
        <w:ind w:left="1020" w:hanging="434"/>
        <w:spacing w:after="0"/>
        <w:tabs>
          <w:tab w:leader="none" w:pos="10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multiple, conflicting and changing laws and regulations such as tax laws, export and import restrictions, employment laws, regulatory requirements and other governmental approvals, permits and licenses;</w:t>
      </w:r>
    </w:p>
    <w:p>
      <w:pPr>
        <w:spacing w:after="0" w:line="89" w:lineRule="exact"/>
        <w:rPr>
          <w:rFonts w:ascii="Arial" w:cs="Arial" w:eastAsia="Arial" w:hAnsi="Arial"/>
          <w:sz w:val="11"/>
          <w:szCs w:val="11"/>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potential failure by us or our distributors to obtain regulatory approvals for the sale or use of our current products and our planned future products in various countries;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difficulties in managing foreign operations;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complexities associated with managing government payer systems, multiple payer-reimbursement regimes or self-pay systems;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logistics and regulations associated with shipping products, including infrastructure conditions and transportation delays;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limits on our ability to penetrate international markets if our distributors do not execute successfully;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enforcing contracts and collecting accounts receivable, and exposure to foreign currency exchange rate fluctuations;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34" w:name="page35"/>
    <w:bookmarkEnd w:id="34"/>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reduced protection for intellectual property rights, or lack of them in certain jurisdictions, forcing more reliance on our trade secrets, if available;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natural disasters, political and economic instability, including wars, terrorism and political unrest, outbreak of disease, boycotts, curtailment of trade and other business restrictions; and</w:t>
      </w:r>
    </w:p>
    <w:p>
      <w:pPr>
        <w:spacing w:after="0" w:line="78" w:lineRule="exact"/>
        <w:rPr>
          <w:rFonts w:ascii="Arial" w:cs="Arial" w:eastAsia="Arial" w:hAnsi="Arial"/>
          <w:sz w:val="12"/>
          <w:szCs w:val="12"/>
          <w:color w:val="auto"/>
        </w:rPr>
      </w:pPr>
    </w:p>
    <w:p>
      <w:pPr>
        <w:ind w:left="1020" w:right="420" w:hanging="434"/>
        <w:spacing w:after="0" w:line="276" w:lineRule="auto"/>
        <w:tabs>
          <w:tab w:leader="none" w:pos="10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Intrusions into our computer systems could result in compromise of confidential information.</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43"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operation of our business</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43"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Collaborations involving our products are subject to numerous risks, which may include the following:</w:t>
      </w:r>
    </w:p>
    <w:p>
      <w:pPr>
        <w:spacing w:after="0" w:line="78" w:lineRule="exact"/>
        <w:rPr>
          <w:sz w:val="20"/>
          <w:szCs w:val="20"/>
          <w:color w:val="auto"/>
        </w:rPr>
      </w:pPr>
    </w:p>
    <w:p>
      <w:pPr>
        <w:ind w:left="1020" w:hanging="434"/>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any such collaborations;</w:t>
      </w:r>
    </w:p>
    <w:p>
      <w:pPr>
        <w:spacing w:after="0" w:line="78" w:lineRule="exact"/>
        <w:rPr>
          <w:rFonts w:ascii="Arial" w:cs="Arial" w:eastAsia="Arial" w:hAnsi="Arial"/>
          <w:sz w:val="12"/>
          <w:szCs w:val="12"/>
          <w:color w:val="auto"/>
        </w:rPr>
      </w:pPr>
    </w:p>
    <w:p>
      <w:pPr>
        <w:ind w:left="1020" w:right="360" w:hanging="434"/>
        <w:spacing w:after="0" w:line="323" w:lineRule="auto"/>
        <w:tabs>
          <w:tab w:leader="none" w:pos="10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19" w:lineRule="exact"/>
        <w:rPr>
          <w:rFonts w:ascii="Arial" w:cs="Arial" w:eastAsia="Arial" w:hAnsi="Arial"/>
          <w:sz w:val="11"/>
          <w:szCs w:val="11"/>
          <w:color w:val="auto"/>
        </w:rPr>
      </w:pPr>
    </w:p>
    <w:p>
      <w:pPr>
        <w:ind w:left="1020" w:right="360" w:hanging="434"/>
        <w:spacing w:after="0" w:line="276" w:lineRule="auto"/>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35" w:name="page36"/>
    <w:bookmarkEnd w:id="35"/>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collaborator with marketing and distribution rights to one or more products may not commit sufficient resources to their marketing and distribution;</w:t>
      </w:r>
    </w:p>
    <w:p>
      <w:pPr>
        <w:spacing w:after="0" w:line="78" w:lineRule="exact"/>
        <w:rPr>
          <w:rFonts w:ascii="Arial" w:cs="Arial" w:eastAsia="Arial" w:hAnsi="Arial"/>
          <w:sz w:val="12"/>
          <w:szCs w:val="12"/>
          <w:color w:val="auto"/>
        </w:rPr>
      </w:pPr>
    </w:p>
    <w:p>
      <w:pPr>
        <w:ind w:left="1020" w:right="60" w:hanging="434"/>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42" w:lineRule="exact"/>
        <w:rPr>
          <w:rFonts w:ascii="Arial" w:cs="Arial" w:eastAsia="Arial" w:hAnsi="Arial"/>
          <w:sz w:val="12"/>
          <w:szCs w:val="12"/>
          <w:color w:val="auto"/>
        </w:rPr>
      </w:pPr>
    </w:p>
    <w:p>
      <w:pPr>
        <w:ind w:left="1020" w:right="100" w:hanging="434"/>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may result in a need for additional capital to pursue further development or commercialization of the applicable products; and</w:t>
      </w:r>
    </w:p>
    <w:p>
      <w:pPr>
        <w:spacing w:after="0" w:line="78" w:lineRule="exact"/>
        <w:rPr>
          <w:rFonts w:ascii="Arial" w:cs="Arial" w:eastAsia="Arial" w:hAnsi="Arial"/>
          <w:sz w:val="12"/>
          <w:szCs w:val="12"/>
          <w:color w:val="auto"/>
        </w:rPr>
      </w:pPr>
    </w:p>
    <w:p>
      <w:pPr>
        <w:ind w:left="1020" w:right="440" w:hanging="434"/>
        <w:spacing w:after="0" w:line="276" w:lineRule="auto"/>
        <w:tabs>
          <w:tab w:leader="none" w:pos="10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Any termination or disruption of collaborations could result in delays in the development of products, increases in our costs to develop the products or the termination of development of a product.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7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of June 30, 2020, we had 10 employees and 17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41" w:lineRule="exact"/>
        <w:rPr>
          <w:sz w:val="20"/>
          <w:szCs w:val="20"/>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managing our clinical trials effectively, which we anticipate being conducted at numerous clinical sites;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identifying, recruiting, maintaining, motivating and integrating additional employees with the expertise and experience we will require;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managing our internal development efforts effectively while complying with our contractual obligations to licensors, licensees, contractors and other third parties;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managing additional relationships with various strategic partners, suppliers and other third parties;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improving our managerial, development, operational and finance reporting systems and procedures;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expanding our facilities.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Our failure to accomplish any of these tasks could prevent us from successfully growing. Any inability to manage growth could delay the execution of our business plans or disrupt our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intend to commercialize our products outside the U.S., we will be subject to additional risks.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 variety of risks associated with international operations could materially adversely affect our business, including:</w:t>
      </w:r>
    </w:p>
    <w:p>
      <w:pPr>
        <w:spacing w:after="0" w:line="78" w:lineRule="exact"/>
        <w:rPr>
          <w:sz w:val="20"/>
          <w:szCs w:val="20"/>
          <w:color w:val="auto"/>
        </w:rPr>
      </w:pPr>
    </w:p>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different regulatory requirements for drug approvals in foreign countries;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reduced protection for intellectual property rights;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unexpected changes in tariffs, trade barriers and regulatory requirements;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economic weakness, including inflation or political instability in particular foreign economies and markets;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compliance with tax, employment, immigration and labor laws for employees living or traveling abroad;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foreign taxes, including withholding of payroll taxes;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40"/>
          </w:cols>
          <w:pgMar w:left="300" w:top="347" w:right="359" w:bottom="1440" w:gutter="0" w:footer="0" w:header="0"/>
        </w:sectPr>
      </w:pPr>
    </w:p>
    <w:bookmarkStart w:id="36" w:name="page37"/>
    <w:bookmarkEnd w:id="36"/>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foreign currency fluctuations, which could result in increased operating expenses and reduced revenue, and other obligations incident to doing business in another country;</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workforce uncertainty in countries where labor unrest is more common than in the U.S.;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production shortages resulting from any events affecting raw material supply or manufacturing capabilities abroad;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business interruptions resulting from geopolitical actions, including war and terrorism, or natural disasters including earthquakes, typhoons, floods and fires.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90"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use biological and hazardous materials in a manner that causes injury, we could be liable for damages.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Public health epidemics, pandemics or outbreaks, including the recent novel coronavirus pandemic (COVID-19), could adversely affect our business.</w:t>
      </w:r>
    </w:p>
    <w:p>
      <w:pPr>
        <w:spacing w:after="0" w:line="150" w:lineRule="exact"/>
        <w:rPr>
          <w:sz w:val="20"/>
          <w:szCs w:val="20"/>
          <w:color w:val="auto"/>
        </w:rPr>
      </w:pPr>
    </w:p>
    <w:p>
      <w:pPr>
        <w:ind w:right="80"/>
        <w:spacing w:after="0" w:line="285" w:lineRule="auto"/>
        <w:rPr>
          <w:sz w:val="20"/>
          <w:szCs w:val="20"/>
          <w:color w:val="auto"/>
        </w:rPr>
      </w:pPr>
      <w:r>
        <w:rPr>
          <w:rFonts w:ascii="Arial" w:cs="Arial" w:eastAsia="Arial" w:hAnsi="Arial"/>
          <w:sz w:val="11"/>
          <w:szCs w:val="11"/>
          <w:color w:val="auto"/>
        </w:rPr>
        <w:t>In December 2019, the novel coronavirus (“COVID-19”) was identified in Wuhan, China. The virus continues to spread globally, has been declared a pandemic by the World Health Organization and has spread to over 100 countries, including the United States. The COVID-19 outbreak is significantly affecting our employees, patients, communities and business operations, as well as the U.S. economy and financial markets. The full extent to which the COVID-19 outbreak will impact our business, results of operations, financial condition and cash flows will depend on future developments that are highly uncertain and cannot be accurately predicted, including new information that may emerge concerning COVID-19 and the actions to contain it or treat its impact and the economic impact on local, regional, national and international markets. As the COVID-19 pandemic continues, our results of operations, financial condition and cash flows are likely to be materially adversely affected, particularly if the pandemic persists for a significant amount of time.</w:t>
      </w:r>
    </w:p>
    <w:p>
      <w:pPr>
        <w:spacing w:after="0" w:line="113"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COVID-19 or other public health epidemics, pandemics or outbreaks, and the resulting business or economic disruptions resulting therefrom, may adversely impact our business as well as our ability to raise capital.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122" w:lineRule="exact"/>
        <w:rPr>
          <w:sz w:val="20"/>
          <w:szCs w:val="20"/>
          <w:color w:val="auto"/>
        </w:rPr>
      </w:pPr>
    </w:p>
    <w:p>
      <w:pPr>
        <w:ind w:right="160"/>
        <w:spacing w:after="0" w:line="326" w:lineRule="auto"/>
        <w:rPr>
          <w:sz w:val="20"/>
          <w:szCs w:val="20"/>
          <w:color w:val="auto"/>
        </w:rPr>
      </w:pPr>
      <w:r>
        <w:rPr>
          <w:rFonts w:ascii="Arial" w:cs="Arial" w:eastAsia="Arial" w:hAnsi="Arial"/>
          <w:sz w:val="10"/>
          <w:szCs w:val="10"/>
          <w:color w:val="auto"/>
        </w:rPr>
        <w:t>While we cannot presently predict the scope and severity of any potential business shutdowns or disruptions, if we or any of our business partners, clinical trial sites, manufacturing sites and other third parties with whom we conduct business, were to experience shutdowns or other business disruptions, our ability to conduct our business in the manner and on the timelines presently planned could be materially and negatively impacted. While there has been no meaningful impact on the timelines for top line data for the Phase III program, there have been certain changes in the conduct of our clinical trials depending on institution-, state- and country-specific restrictions such as stay at home requirements. The changes are consistent with the FDA’s and MHRA’s guidance regarding the conduct of clinical trials during the COVID-19 public health emergency. However, the changes in the way the trial is being</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37" w:name="page38"/>
    <w:bookmarkEnd w:id="37"/>
    <w:p>
      <w:pPr>
        <w:ind w:right="140"/>
        <w:spacing w:after="0" w:line="276" w:lineRule="auto"/>
        <w:rPr>
          <w:sz w:val="20"/>
          <w:szCs w:val="20"/>
          <w:color w:val="auto"/>
        </w:rPr>
      </w:pPr>
      <w:r>
        <w:rPr>
          <w:rFonts w:ascii="Arial" w:cs="Arial" w:eastAsia="Arial" w:hAnsi="Arial"/>
          <w:sz w:val="12"/>
          <w:szCs w:val="12"/>
          <w:color w:val="auto"/>
        </w:rPr>
        <w:t>conducted may impact the quality and quantity of the overall data being collected (for example, certain study related procedures which need to be conducted at a clinical trial site may not be performed or be delayed) which may have implications for our future plans.</w:t>
      </w:r>
    </w:p>
    <w:p>
      <w:pPr>
        <w:spacing w:after="0" w:line="115"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Several measures are currently being implemented by the United States and other governments to address the current COVID-19 pandemic and its economic impacts. At this time, it is impossible to predict the success of these measures and whether or not they will have unforeseen negative consequences for our business. In addition, our results of operations, financial position and cash flows may be adversely affected by federal or state laws, regulations, orders, or other governmental or regulatory actions addressing the current COVID-19 pandemic or the U.S. healthcare system, which, if adopted, could result in direct or indirect restrictions to our business, results of operations, financial condition and cash flow. For example, the State of California issued Executive Order N-33-20 on March 4, 2020 (the “Executive Order”), which proclaimed a State of Emergency to exist in California as a result of the threat of COVID-19. The Executive Order mandated that all our employees work from home and not come into our corporate offices in Redwood City, California. We currently do not know when and how such regulations may be eased.</w:t>
      </w:r>
    </w:p>
    <w:p>
      <w:pPr>
        <w:spacing w:after="0" w:line="113"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The foregoing and other continued disruptions to our business as a result of COVID-19 could result in a material adverse effect on our business, results of operations, financial condition and cash flows. Furthermore, the COVID-19 pandemic could heighten the risks in certain of the other risk factors described herein.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1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41"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2"/>
          <w:szCs w:val="12"/>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9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Our success depends in large part on our ability to obtain and maintain patent and other intellectual property protection in the U.S. and in other countries with respect to our proprietary technology and products.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275" w:right="319" w:bottom="1440" w:gutter="0" w:footer="0" w:header="0"/>
        </w:sectPr>
      </w:pPr>
    </w:p>
    <w:bookmarkStart w:id="38" w:name="page39"/>
    <w:bookmarkEnd w:id="38"/>
    <w:p>
      <w:pPr>
        <w:spacing w:after="0" w:line="283" w:lineRule="auto"/>
        <w:rPr>
          <w:sz w:val="20"/>
          <w:szCs w:val="20"/>
          <w:color w:val="auto"/>
        </w:rPr>
      </w:pPr>
      <w:r>
        <w:rPr>
          <w:rFonts w:ascii="Arial" w:cs="Arial" w:eastAsia="Arial" w:hAnsi="Arial"/>
          <w:sz w:val="11"/>
          <w:szCs w:val="11"/>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41" w:lineRule="exact"/>
        <w:rPr>
          <w:sz w:val="20"/>
          <w:szCs w:val="20"/>
          <w:color w:val="auto"/>
        </w:rPr>
      </w:pPr>
    </w:p>
    <w:p>
      <w:pPr>
        <w:ind w:right="120"/>
        <w:spacing w:after="0" w:line="283" w:lineRule="auto"/>
        <w:rPr>
          <w:sz w:val="20"/>
          <w:szCs w:val="20"/>
          <w:color w:val="auto"/>
        </w:rPr>
      </w:pPr>
      <w:r>
        <w:rPr>
          <w:rFonts w:ascii="Arial" w:cs="Arial" w:eastAsia="Arial" w:hAnsi="Arial"/>
          <w:sz w:val="11"/>
          <w:szCs w:val="11"/>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4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scope, validity, enforceability, and commercial value of trademark rights are also uncertain. Pending and future trademark applications may not be successful. We do not currently have any trademark applications or registrations for drug name candidates.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legal proceedings to protect or enforce our intellectual property rights, which could be expensive, time-consuming, or unsuccessful.</w:t>
      </w:r>
    </w:p>
    <w:p>
      <w:pPr>
        <w:spacing w:after="0" w:line="78"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Competitors may infringe or otherwise violate the patents we rely on, or our other intellectual property rights including trademarks.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41"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58" w:lineRule="exact"/>
        <w:rPr>
          <w:sz w:val="20"/>
          <w:szCs w:val="20"/>
          <w:color w:val="auto"/>
        </w:rPr>
      </w:pPr>
    </w:p>
    <w:p>
      <w:pPr>
        <w:spacing w:after="0" w:line="326" w:lineRule="auto"/>
        <w:rPr>
          <w:sz w:val="20"/>
          <w:szCs w:val="20"/>
          <w:color w:val="auto"/>
        </w:rPr>
      </w:pPr>
      <w:r>
        <w:rPr>
          <w:rFonts w:ascii="Arial" w:cs="Arial" w:eastAsia="Arial" w:hAnsi="Arial"/>
          <w:sz w:val="10"/>
          <w:szCs w:val="10"/>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39" w:name="page40"/>
    <w:bookmarkEnd w:id="39"/>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1"/>
          <w:szCs w:val="11"/>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or enforce our intellectual property rights throughout the world.</w:t>
      </w:r>
    </w:p>
    <w:p>
      <w:pPr>
        <w:spacing w:after="0" w:line="78"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78"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3" w:lineRule="exact"/>
        <w:rPr>
          <w:sz w:val="20"/>
          <w:szCs w:val="20"/>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others may be able to make products that are similar to our current and planned products, but that are not covered by claims in our patents;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original filers of our patents that we developed or purchased might not have been the first to make the inventions covered by the claims contained in such patents;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we might not have been the first to file patent applications covering an invention;</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pending patent applications may not lead to issued patents;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issued patents may not provide us with any competitive advantages, or may be held invalid or unenforceable, as a result of legal challenges by our competitors;</w:t>
      </w:r>
    </w:p>
    <w:p>
      <w:pPr>
        <w:spacing w:after="0" w:line="78" w:lineRule="exact"/>
        <w:rPr>
          <w:rFonts w:ascii="Arial" w:cs="Arial" w:eastAsia="Arial" w:hAnsi="Arial"/>
          <w:sz w:val="12"/>
          <w:szCs w:val="12"/>
          <w:color w:val="auto"/>
        </w:rPr>
      </w:pPr>
    </w:p>
    <w:p>
      <w:pPr>
        <w:ind w:left="1020" w:hanging="434"/>
        <w:spacing w:after="0" w:line="276" w:lineRule="auto"/>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we may not develop or in-license additional proprietary technologies that are patentable;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Should any of these events occur, they could significantly harm our business, results of operations and prospects.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83" w:right="339" w:bottom="1440" w:gutter="0" w:footer="0" w:header="0"/>
        </w:sectPr>
      </w:pPr>
    </w:p>
    <w:bookmarkStart w:id="40" w:name="page41"/>
    <w:bookmarkEnd w:id="40"/>
    <w:p>
      <w:pPr>
        <w:spacing w:after="0" w:line="276" w:lineRule="auto"/>
        <w:rPr>
          <w:sz w:val="20"/>
          <w:szCs w:val="20"/>
          <w:color w:val="auto"/>
        </w:rPr>
      </w:pPr>
      <w:r>
        <w:rPr>
          <w:rFonts w:ascii="Arial" w:cs="Arial" w:eastAsia="Arial" w:hAnsi="Arial"/>
          <w:sz w:val="12"/>
          <w:szCs w:val="12"/>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Periodic maintenance fees, renewal fees, annuity fees and various other governmental fees on patents or applications will be due to be paid by us to the United States Patent and Trademark Office, or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14"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77"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43"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56"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regulatory approval process is expensive, time consuming and uncertain, and may prevent us from obtaining approvals for our planned products.</w:t>
      </w:r>
    </w:p>
    <w:p>
      <w:pPr>
        <w:spacing w:after="0" w:line="78"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52" w:lineRule="exact"/>
        <w:rPr>
          <w:sz w:val="20"/>
          <w:szCs w:val="20"/>
          <w:color w:val="auto"/>
        </w:rPr>
      </w:pPr>
    </w:p>
    <w:p>
      <w:pPr>
        <w:ind w:left="1040" w:hanging="445"/>
        <w:spacing w:after="0"/>
        <w:tabs>
          <w:tab w:leader="none" w:pos="10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warning letters;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civil or criminal penalties and fines;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injunctions;</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suspension or withdrawal of regulatory approval;</w:t>
      </w:r>
    </w:p>
    <w:p>
      <w:pPr>
        <w:spacing w:after="0" w:line="78" w:lineRule="exact"/>
        <w:rPr>
          <w:rFonts w:ascii="Arial" w:cs="Arial" w:eastAsia="Arial" w:hAnsi="Arial"/>
          <w:sz w:val="12"/>
          <w:szCs w:val="12"/>
          <w:color w:val="auto"/>
        </w:rPr>
      </w:pPr>
    </w:p>
    <w:p>
      <w:pPr>
        <w:ind w:left="1040" w:hanging="445"/>
        <w:spacing w:after="0"/>
        <w:tabs>
          <w:tab w:leader="none" w:pos="10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suspension of any ongoing clinical studies;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83" w:right="319" w:bottom="1440" w:gutter="0" w:footer="0" w:header="0"/>
        </w:sectPr>
      </w:pPr>
    </w:p>
    <w:bookmarkStart w:id="41" w:name="page42"/>
    <w:bookmarkEnd w:id="41"/>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voluntary or mandatory product recalls and publicity requirements;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refusal to accept or approve applications for marketing approval of new drugs or biologics or supplements to approved applications filed by us;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restrictions on operations, including costly new manufacturing requirements;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seizure or detention of our products or import bans.</w:t>
      </w:r>
    </w:p>
    <w:p>
      <w:pPr>
        <w:spacing w:after="0" w:line="78" w:lineRule="exact"/>
        <w:rPr>
          <w:sz w:val="20"/>
          <w:szCs w:val="20"/>
          <w:color w:val="auto"/>
        </w:rPr>
      </w:pPr>
    </w:p>
    <w:p>
      <w:pPr>
        <w:jc w:val="both"/>
        <w:ind w:right="20"/>
        <w:spacing w:after="0" w:line="326" w:lineRule="auto"/>
        <w:rPr>
          <w:sz w:val="20"/>
          <w:szCs w:val="20"/>
          <w:color w:val="auto"/>
        </w:rPr>
      </w:pPr>
      <w:r>
        <w:rPr>
          <w:rFonts w:ascii="Arial" w:cs="Arial" w:eastAsia="Arial" w:hAnsi="Arial"/>
          <w:sz w:val="10"/>
          <w:szCs w:val="10"/>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52" w:lineRule="exact"/>
        <w:rPr>
          <w:sz w:val="20"/>
          <w:szCs w:val="20"/>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planned product may not be deemed safe or effective;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FDA officials may not find the data from preclinical studies and clinical studies sufficient;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FDA might not approve our or our third-party manufacturer’s processes or facilities; or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FDA may change its approval policies or adopt new regulations.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If any planned products fail to demonstrate safety and effectiveness in clinical studies or do not gain regulatory approval, our business and results of operations will be materially and adversely harmed.</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Nonclinical Testing</w:t>
      </w:r>
    </w:p>
    <w:p>
      <w:pPr>
        <w:spacing w:after="0" w:line="78" w:lineRule="exact"/>
        <w:rPr>
          <w:sz w:val="20"/>
          <w:szCs w:val="20"/>
          <w:color w:val="auto"/>
        </w:rPr>
      </w:pPr>
    </w:p>
    <w:p>
      <w:pPr>
        <w:ind w:right="380"/>
        <w:spacing w:after="0" w:line="323" w:lineRule="auto"/>
        <w:rPr>
          <w:sz w:val="20"/>
          <w:szCs w:val="20"/>
          <w:color w:val="auto"/>
        </w:rPr>
      </w:pPr>
      <w:r>
        <w:rPr>
          <w:rFonts w:ascii="Arial" w:cs="Arial" w:eastAsia="Arial" w:hAnsi="Arial"/>
          <w:sz w:val="11"/>
          <w:szCs w:val="11"/>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Investigational New Drug Exemption Application (IND)</w:t>
      </w:r>
    </w:p>
    <w:p>
      <w:pPr>
        <w:spacing w:after="0" w:line="78" w:lineRule="exact"/>
        <w:rPr>
          <w:sz w:val="20"/>
          <w:szCs w:val="20"/>
          <w:color w:val="auto"/>
        </w:rPr>
      </w:pPr>
    </w:p>
    <w:p>
      <w:pPr>
        <w:jc w:val="both"/>
        <w:ind w:right="460"/>
        <w:spacing w:after="0" w:line="263" w:lineRule="auto"/>
        <w:rPr>
          <w:sz w:val="20"/>
          <w:szCs w:val="20"/>
          <w:color w:val="auto"/>
        </w:rPr>
      </w:pPr>
      <w:r>
        <w:rPr>
          <w:rFonts w:ascii="Arial" w:cs="Arial" w:eastAsia="Arial" w:hAnsi="Arial"/>
          <w:sz w:val="12"/>
          <w:szCs w:val="12"/>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Clinical Trials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These clinical trials involve three separate phases that often overlap, can take many years and are very expensive. These three phases, which are subject to considerable regulation, are as follows:</w:t>
      </w:r>
    </w:p>
    <w:p>
      <w:pPr>
        <w:spacing w:after="0" w:line="78" w:lineRule="exact"/>
        <w:rPr>
          <w:sz w:val="20"/>
          <w:szCs w:val="20"/>
          <w:color w:val="auto"/>
        </w:rPr>
      </w:pPr>
    </w:p>
    <w:p>
      <w:pPr>
        <w:ind w:left="1020" w:right="520" w:hanging="434"/>
        <w:spacing w:after="0" w:line="276" w:lineRule="auto"/>
        <w:tabs>
          <w:tab w:leader="none" w:pos="10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Phase I. The drug candidate is given to a small number of healthy human control subjects or patients suffering from the indicated disease, to test for safety, dose tolerance, pharmacokinetics, metabolism, distribution and excretion.</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2" w:name="page43"/>
    <w:bookmarkEnd w:id="42"/>
    <w:p>
      <w:pPr>
        <w:ind w:left="1020" w:right="120" w:hanging="434"/>
        <w:spacing w:after="0" w:line="276" w:lineRule="auto"/>
        <w:tabs>
          <w:tab w:leader="none" w:pos="10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Phase II.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I clinical trials to fail in the more rigorous Phase II clinical trials.</w:t>
      </w:r>
    </w:p>
    <w:p>
      <w:pPr>
        <w:spacing w:after="0" w:line="42" w:lineRule="exact"/>
        <w:rPr>
          <w:rFonts w:ascii="Arial" w:cs="Arial" w:eastAsia="Arial" w:hAnsi="Arial"/>
          <w:sz w:val="12"/>
          <w:szCs w:val="12"/>
          <w:color w:val="auto"/>
        </w:rPr>
      </w:pPr>
    </w:p>
    <w:p>
      <w:pPr>
        <w:ind w:left="1020" w:hanging="434"/>
        <w:spacing w:after="0" w:line="298" w:lineRule="auto"/>
        <w:tabs>
          <w:tab w:leader="none" w:pos="1020" w:val="left"/>
        </w:tabs>
        <w:numPr>
          <w:ilvl w:val="0"/>
          <w:numId w:val="37"/>
        </w:numPr>
        <w:rPr>
          <w:rFonts w:ascii="Arial" w:cs="Arial" w:eastAsia="Arial" w:hAnsi="Arial"/>
          <w:sz w:val="11"/>
          <w:szCs w:val="11"/>
          <w:color w:val="auto"/>
        </w:rPr>
      </w:pPr>
      <w:r>
        <w:rPr>
          <w:rFonts w:ascii="Arial" w:cs="Arial" w:eastAsia="Arial" w:hAnsi="Arial"/>
          <w:sz w:val="11"/>
          <w:szCs w:val="11"/>
          <w:color w:val="auto"/>
        </w:rPr>
        <w:t>Phase III. If a drug candidate appears to be effective and safe in Phase II clinical trials, Phase III clinical trials are commenced to confirm those results. Phase III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II clinical trials to fail in the more rigorous and extensive Phase III clinical trials.</w:t>
      </w:r>
    </w:p>
    <w:p>
      <w:pPr>
        <w:spacing w:after="0" w:line="33"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50"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2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FDA Approval Process</w:t>
      </w:r>
    </w:p>
    <w:p>
      <w:pPr>
        <w:spacing w:after="0" w:line="78"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FDA may also require Phase IV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52"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4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Once issued, the FDA may withdraw product approval if ongoing regulatory requirements are not met or if safety problems are identified after the product reaches the market. In addition, the FDA may require post-approval testing, including Phase IV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3" w:name="page44"/>
    <w:bookmarkEnd w:id="43"/>
    <w:p>
      <w:pPr>
        <w:ind w:right="40"/>
        <w:spacing w:after="0" w:line="276" w:lineRule="auto"/>
        <w:rPr>
          <w:sz w:val="20"/>
          <w:szCs w:val="20"/>
          <w:color w:val="auto"/>
        </w:rPr>
      </w:pPr>
      <w:r>
        <w:rPr>
          <w:rFonts w:ascii="Arial" w:cs="Arial" w:eastAsia="Arial" w:hAnsi="Arial"/>
          <w:sz w:val="12"/>
          <w:szCs w:val="12"/>
          <w:color w:val="auto"/>
        </w:rPr>
        <w:t>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43"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50" w:lineRule="exact"/>
        <w:rPr>
          <w:sz w:val="20"/>
          <w:szCs w:val="20"/>
          <w:color w:val="auto"/>
        </w:rPr>
      </w:pPr>
    </w:p>
    <w:p>
      <w:pPr>
        <w:ind w:right="20"/>
        <w:spacing w:after="0" w:line="326" w:lineRule="auto"/>
        <w:rPr>
          <w:sz w:val="20"/>
          <w:szCs w:val="20"/>
          <w:color w:val="auto"/>
        </w:rPr>
      </w:pPr>
      <w:r>
        <w:rPr>
          <w:rFonts w:ascii="Arial" w:cs="Arial" w:eastAsia="Arial" w:hAnsi="Arial"/>
          <w:sz w:val="10"/>
          <w:szCs w:val="10"/>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23" w:lineRule="exact"/>
        <w:rPr>
          <w:sz w:val="20"/>
          <w:szCs w:val="20"/>
          <w:color w:val="auto"/>
        </w:rPr>
      </w:pPr>
    </w:p>
    <w:p>
      <w:pPr>
        <w:ind w:right="180"/>
        <w:spacing w:after="0" w:line="375" w:lineRule="auto"/>
        <w:rPr>
          <w:sz w:val="20"/>
          <w:szCs w:val="20"/>
          <w:color w:val="auto"/>
        </w:rPr>
      </w:pPr>
      <w:r>
        <w:rPr>
          <w:rFonts w:ascii="Arial" w:cs="Arial" w:eastAsia="Arial" w:hAnsi="Arial"/>
          <w:sz w:val="10"/>
          <w:szCs w:val="10"/>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52"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50" w:lineRule="exact"/>
        <w:rPr>
          <w:sz w:val="20"/>
          <w:szCs w:val="20"/>
          <w:color w:val="auto"/>
        </w:rPr>
      </w:pPr>
    </w:p>
    <w:p>
      <w:pPr>
        <w:ind w:left="1020" w:hanging="434"/>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fines, warning letters or holds on post-approval clinical trials;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refusal of the FDA to approve pending applications or supplements to approved applications, or suspension or revocation of product approvals;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7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50"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4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4" w:name="page45"/>
    <w:bookmarkEnd w:id="44"/>
    <w:p>
      <w:pPr>
        <w:jc w:val="both"/>
        <w:spacing w:after="0" w:line="276" w:lineRule="auto"/>
        <w:rPr>
          <w:sz w:val="20"/>
          <w:szCs w:val="20"/>
          <w:color w:val="auto"/>
        </w:rPr>
      </w:pPr>
      <w:r>
        <w:rPr>
          <w:rFonts w:ascii="Arial" w:cs="Arial" w:eastAsia="Arial" w:hAnsi="Arial"/>
          <w:sz w:val="12"/>
          <w:szCs w:val="12"/>
          <w:color w:val="auto"/>
        </w:rPr>
        <w:t>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obtain marketing approvals in foreign jurisdictions will prevent us from marketing our products internationally.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We intend to seek distribution and marketing partners for our current products outside the U.S. and may market planned products in international markets.</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Healthcare reform measures could hinder or prevent our planned products’ commercial success.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56" w:lineRule="exact"/>
        <w:rPr>
          <w:sz w:val="20"/>
          <w:szCs w:val="20"/>
          <w:color w:val="auto"/>
        </w:rPr>
      </w:pPr>
    </w:p>
    <w:p>
      <w:pPr>
        <w:ind w:left="1020" w:hanging="434"/>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could result in the imposition of injunctions;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requires collection of rebates for drugs paid by Medicaid managed care organizations; and</w:t>
      </w:r>
    </w:p>
    <w:p>
      <w:pPr>
        <w:spacing w:after="0" w:line="78" w:lineRule="exact"/>
        <w:rPr>
          <w:rFonts w:ascii="Arial" w:cs="Arial" w:eastAsia="Arial" w:hAnsi="Arial"/>
          <w:sz w:val="12"/>
          <w:szCs w:val="12"/>
          <w:color w:val="auto"/>
        </w:rPr>
      </w:pPr>
    </w:p>
    <w:p>
      <w:pPr>
        <w:ind w:left="1020" w:hanging="434"/>
        <w:spacing w:after="0" w:line="276" w:lineRule="auto"/>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43"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 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United States may have on our business.</w:t>
      </w:r>
    </w:p>
    <w:p>
      <w:pPr>
        <w:spacing w:after="0" w:line="56" w:lineRule="exact"/>
        <w:rPr>
          <w:sz w:val="20"/>
          <w:szCs w:val="20"/>
          <w:color w:val="auto"/>
        </w:rPr>
      </w:pPr>
    </w:p>
    <w:p>
      <w:pPr>
        <w:spacing w:after="0" w:line="320" w:lineRule="auto"/>
        <w:rPr>
          <w:sz w:val="20"/>
          <w:szCs w:val="20"/>
          <w:color w:val="auto"/>
        </w:rPr>
      </w:pPr>
      <w:r>
        <w:rPr>
          <w:rFonts w:ascii="Arial" w:cs="Arial" w:eastAsia="Arial" w:hAnsi="Arial"/>
          <w:sz w:val="10"/>
          <w:szCs w:val="10"/>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auto"/>
        </w:rPr>
        <w:t>implementing sequestration, and in April 2013, the 2% Medicare reductions went into effect. We cannot predict whether any additional legislative changes will affect our business.</w:t>
      </w:r>
    </w:p>
    <w:p>
      <w:pPr>
        <w:spacing w:after="0" w:line="78"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20" w:lineRule="exact"/>
        <w:rPr>
          <w:sz w:val="20"/>
          <w:szCs w:val="20"/>
          <w:color w:val="auto"/>
        </w:rPr>
      </w:pPr>
    </w:p>
    <w:p>
      <w:pPr>
        <w:ind w:left="1020" w:hanging="434"/>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our ability to set a price that we believe is fair for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our ability to generate revenue and achieve or maintain profitability;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availability of capital.</w:t>
      </w:r>
    </w:p>
    <w:p>
      <w:pPr>
        <w:spacing w:after="0" w:line="78"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5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comply with healthcare regulations, we could face substantial penalties and our business, operations and financial condition could be adversely affected.</w:t>
      </w:r>
    </w:p>
    <w:p>
      <w:pPr>
        <w:spacing w:after="0" w:line="78"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50" w:lineRule="exact"/>
        <w:rPr>
          <w:sz w:val="20"/>
          <w:szCs w:val="20"/>
          <w:color w:val="auto"/>
        </w:rPr>
      </w:pPr>
    </w:p>
    <w:p>
      <w:pPr>
        <w:jc w:val="both"/>
        <w:ind w:left="1020" w:right="20" w:hanging="434"/>
        <w:spacing w:after="0" w:line="263" w:lineRule="auto"/>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50" w:lineRule="exact"/>
        <w:rPr>
          <w:rFonts w:ascii="Arial" w:cs="Arial" w:eastAsia="Arial" w:hAnsi="Arial"/>
          <w:sz w:val="12"/>
          <w:szCs w:val="12"/>
          <w:color w:val="auto"/>
        </w:rPr>
      </w:pPr>
    </w:p>
    <w:p>
      <w:pPr>
        <w:ind w:left="1020" w:right="260" w:hanging="434"/>
        <w:spacing w:after="0" w:line="276" w:lineRule="auto"/>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42" w:lineRule="exact"/>
        <w:rPr>
          <w:rFonts w:ascii="Arial" w:cs="Arial" w:eastAsia="Arial" w:hAnsi="Arial"/>
          <w:sz w:val="12"/>
          <w:szCs w:val="12"/>
          <w:color w:val="auto"/>
        </w:rPr>
      </w:pPr>
    </w:p>
    <w:p>
      <w:pPr>
        <w:ind w:left="1020" w:hanging="434"/>
        <w:spacing w:after="0" w:line="276" w:lineRule="auto"/>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42" w:lineRule="exact"/>
        <w:rPr>
          <w:rFonts w:ascii="Arial" w:cs="Arial" w:eastAsia="Arial" w:hAnsi="Arial"/>
          <w:sz w:val="12"/>
          <w:szCs w:val="12"/>
          <w:color w:val="auto"/>
        </w:rPr>
      </w:pPr>
    </w:p>
    <w:p>
      <w:pPr>
        <w:ind w:left="1020" w:hanging="434"/>
        <w:spacing w:after="0"/>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federal criminal laws that prohibit executing a scheme to defraud any healthcare benefit program or making false statements relating to healthcare matters;</w:t>
      </w:r>
    </w:p>
    <w:p>
      <w:pPr>
        <w:spacing w:after="0" w:line="78" w:lineRule="exact"/>
        <w:rPr>
          <w:rFonts w:ascii="Arial" w:cs="Arial" w:eastAsia="Arial" w:hAnsi="Arial"/>
          <w:sz w:val="12"/>
          <w:szCs w:val="12"/>
          <w:color w:val="auto"/>
        </w:rPr>
      </w:pPr>
    </w:p>
    <w:p>
      <w:pPr>
        <w:ind w:left="1020" w:right="140" w:hanging="434"/>
        <w:spacing w:after="0" w:line="276" w:lineRule="auto"/>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42" w:lineRule="exact"/>
        <w:rPr>
          <w:rFonts w:ascii="Arial" w:cs="Arial" w:eastAsia="Arial" w:hAnsi="Arial"/>
          <w:sz w:val="12"/>
          <w:szCs w:val="12"/>
          <w:color w:val="auto"/>
        </w:rPr>
      </w:pPr>
    </w:p>
    <w:p>
      <w:pPr>
        <w:ind w:left="1020" w:right="160" w:hanging="434"/>
        <w:spacing w:after="0" w:line="276" w:lineRule="auto"/>
        <w:tabs>
          <w:tab w:leader="none" w:pos="10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6" w:name="page47"/>
    <w:bookmarkEnd w:id="46"/>
    <w:p>
      <w:pPr>
        <w:ind w:left="1020" w:hanging="434"/>
        <w:spacing w:after="0"/>
        <w:tabs>
          <w:tab w:leader="none" w:pos="10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state law equivalents of each of the above federal laws, such as anti-kickback and false claims laws which may apply to items or services reimbursed by any third-party payer, including commercial insurers.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ownership of our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price may be volatile, and purchasers of our securities could incur substantial losses.</w:t>
      </w:r>
    </w:p>
    <w:p>
      <w:pPr>
        <w:spacing w:after="0" w:line="7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2019, through December 31, 2019, the high and low closing prices of our common stock ranged from $2.99 to $1.35. As a result of this volatility, investors may not be able to sell their common stock at or above the purchase price. The market price for our common stock may be influenced by many factors, including the following:</w:t>
      </w:r>
    </w:p>
    <w:p>
      <w:pPr>
        <w:spacing w:after="0" w:line="33" w:lineRule="exact"/>
        <w:rPr>
          <w:sz w:val="20"/>
          <w:szCs w:val="20"/>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results of DESTINY PWS, our ongoing Phase III trial of DCCR in Prader Willi Syndrome;</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ability to successfully commercialize, and realize significant revenues from sales of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success of competitive products or technologies;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results of other clinical studies of our products or those of our competitors;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regulatory or legal developments in the U.S. and other countries, especially changes in laws or regulations applicable to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introductions and announcements of new products by us, our commercialization partners, or our competitors, and the timing of these introductions or announcements;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actions taken by regulatory agencies with respect to our products, clinical studies, manufacturing process or sales and marketing terms;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variations in our financial results or those of companies that are perceived to be similar to us;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success of our efforts to acquire or in-license additional products or planned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developments concerning our collaborations, including but not limited to those with our sources of manufacturing supply and our commercialization partners;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developments concerning our ability to bring our manufacturing processes to scale in a cost-effective manner;</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acquisitions, strategic partnerships, joint ventures or capital commitments;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developments or disputes concerning patents or other proprietary rights, including patents, litigation matters and our ability to obtain patent protection for our products;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our ability or inability to raise additional capital and the terms on which we raise it;</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recruitment or departure of key personnel;</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market conditions in the pharmaceutical and biotechnology sectors;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actual or anticipated changes in earnings estimates or changes in stock market analyst recommendations regarding our common stock, other comparable companies or our industry generally;</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47" w:name="page48"/>
    <w:bookmarkEnd w:id="47"/>
    <w:p>
      <w:pPr>
        <w:ind w:left="1020" w:hanging="434"/>
        <w:spacing w:after="0"/>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trading volume of our common stock;</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sales of our common stock by us or our stockholders;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general economic, industry and market conditions; and</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other risks described in this “Risk Factors” section.</w:t>
      </w:r>
    </w:p>
    <w:p>
      <w:pPr>
        <w:spacing w:after="0" w:line="7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our common stock, or the perception that future sales may occur, may cause the market price of our common stock to decline, even if our business is doing well.</w:t>
      </w:r>
    </w:p>
    <w:p>
      <w:pPr>
        <w:spacing w:after="0" w:line="78"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43" w:lineRule="exact"/>
        <w:rPr>
          <w:sz w:val="20"/>
          <w:szCs w:val="20"/>
          <w:color w:val="auto"/>
        </w:rPr>
      </w:pPr>
    </w:p>
    <w:p>
      <w:pPr>
        <w:ind w:right="20"/>
        <w:spacing w:after="0" w:line="326" w:lineRule="auto"/>
        <w:rPr>
          <w:sz w:val="20"/>
          <w:szCs w:val="20"/>
          <w:color w:val="auto"/>
        </w:rPr>
      </w:pPr>
      <w:r>
        <w:rPr>
          <w:rFonts w:ascii="Arial" w:cs="Arial" w:eastAsia="Arial" w:hAnsi="Arial"/>
          <w:sz w:val="10"/>
          <w:szCs w:val="10"/>
          <w:color w:val="auto"/>
        </w:rPr>
        <w:t>On December 11, 2017, we entered into a Securities Purchase Agreement with certain purchasers, pursuant to which we sold and issued 8,141,116 immediately separable units at a price per unit of $1.84, for aggregate gross proceeds of $15.0 million. Each unit consisted of one share of our common stock and a warrant to purchase 0.74 shares of our common stock at an exercise price of $2.00 per share, for an aggregate of 8,141,116 shares of common stock and corresponding warrants to purchase an aggregate of 6,024,425 shares of common stock, together the shares of common stock are referred to as the 2017 Resale Shares. We also granted certain registration rights to these stockholders, pursuant to which, among other things, we prepared and filed a registration statement with the SEC to register for resale the 2017 Resale Shares. The registration statement was declared effective in February 2018.</w:t>
      </w:r>
    </w:p>
    <w:p>
      <w:pPr>
        <w:spacing w:after="0" w:line="23"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On December 19, 2018, we entered into a Securities Purchase Agreement with certain purchasers, pursuant to which we sold and issued 10,272,375 units at a price per unit of $1.61, for aggregate gross proceeds of $16.5 million. Each unit consisted of one share of our common stock and a warrant to purchase 0.05 shares of our common stock at an exercise price of $2.00 per share, for an aggregate of 10,272,375 shares of common stock and corresponding warrants to purchase an aggregate of 513,617 shares of common stock, together with the shares of common stock are referred to as the 2018 Resale Shares. We also granted certain registration rights to these stockholders, pursuant to which, among other things, we have prepared and filed a registration statement with the SEC to register for resale the 2018 Resale Shares. The registration statement was declared effective in April 2019.</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On October 25, 2019, we sold 12,841,667 shares of common stock in an underwritten public offering at a price of $1.20 per share for net proceeds of $14.5 million.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On June 26, 2020, we sold 34,848,484 shares of common stock in an underwritten public offering at a price of $1.65 per share for net proceeds of $53.7 million.</w:t>
      </w:r>
    </w:p>
    <w:p>
      <w:pPr>
        <w:spacing w:after="0" w:line="78" w:lineRule="exact"/>
        <w:rPr>
          <w:sz w:val="20"/>
          <w:szCs w:val="20"/>
          <w:color w:val="auto"/>
        </w:rPr>
      </w:pPr>
    </w:p>
    <w:p>
      <w:pPr>
        <w:jc w:val="both"/>
        <w:ind w:right="40"/>
        <w:spacing w:after="0" w:line="276" w:lineRule="auto"/>
        <w:rPr>
          <w:sz w:val="20"/>
          <w:szCs w:val="20"/>
          <w:color w:val="auto"/>
        </w:rPr>
      </w:pPr>
      <w:r>
        <w:rPr>
          <w:rFonts w:ascii="Arial" w:cs="Arial" w:eastAsia="Arial" w:hAnsi="Arial"/>
          <w:sz w:val="12"/>
          <w:szCs w:val="12"/>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79"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Abingworth LLP, Vivo Ventures, Nantahala Capital Management, LLC, Oracle Investment Management, Jack W. Schuler and their affiliates may have control over key decision making.</w:t>
      </w:r>
    </w:p>
    <w:p>
      <w:pPr>
        <w:spacing w:after="0" w:line="2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8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43"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80"/>
          </w:cols>
          <w:pgMar w:left="300" w:top="347" w:right="319" w:bottom="1440" w:gutter="0" w:footer="0" w:header="0"/>
        </w:sectPr>
      </w:pPr>
    </w:p>
    <w:bookmarkStart w:id="48" w:name="page49"/>
    <w:bookmarkEnd w:id="48"/>
    <w:p>
      <w:pPr>
        <w:ind w:right="20"/>
        <w:spacing w:after="0" w:line="256" w:lineRule="auto"/>
        <w:rPr>
          <w:sz w:val="20"/>
          <w:szCs w:val="20"/>
          <w:color w:val="auto"/>
        </w:rPr>
      </w:pPr>
      <w:r>
        <w:rPr>
          <w:rFonts w:ascii="Arial" w:cs="Arial" w:eastAsia="Arial" w:hAnsi="Arial"/>
          <w:sz w:val="12"/>
          <w:szCs w:val="12"/>
          <w:color w:val="auto"/>
        </w:rPr>
        <w:t>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56"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We currently do not have an internal audit group, and we will need to hire additional accounting and financial staff with appropriate public company experience and technical accounting knowledge.</w:t>
      </w:r>
    </w:p>
    <w:p>
      <w:pPr>
        <w:spacing w:after="0" w:line="33" w:lineRule="exact"/>
        <w:rPr>
          <w:sz w:val="20"/>
          <w:szCs w:val="20"/>
          <w:color w:val="auto"/>
        </w:rPr>
      </w:pPr>
    </w:p>
    <w:p>
      <w:pPr>
        <w:ind w:right="240"/>
        <w:spacing w:after="0" w:line="285" w:lineRule="auto"/>
        <w:rPr>
          <w:sz w:val="20"/>
          <w:szCs w:val="20"/>
          <w:color w:val="auto"/>
        </w:rPr>
      </w:pPr>
      <w:r>
        <w:rPr>
          <w:rFonts w:ascii="Arial" w:cs="Arial" w:eastAsia="Arial" w:hAnsi="Arial"/>
          <w:sz w:val="11"/>
          <w:szCs w:val="11"/>
          <w:color w:val="auto"/>
        </w:rPr>
        <w:t>If we are not able to comply with the requirements of Section 404 in a timely manner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 forwards and certain other tax attributes will be limited.</w:t>
      </w:r>
    </w:p>
    <w:p>
      <w:pPr>
        <w:spacing w:after="0" w:line="78"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our warrant holders exercise their warrants into shares of our common stock, our stockholders will be diluted.</w:t>
      </w:r>
    </w:p>
    <w:p>
      <w:pPr>
        <w:spacing w:after="0" w:line="7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79"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43" w:lineRule="exact"/>
        <w:rPr>
          <w:sz w:val="20"/>
          <w:szCs w:val="20"/>
          <w:color w:val="auto"/>
        </w:rPr>
      </w:pPr>
    </w:p>
    <w:p>
      <w:pPr>
        <w:spacing w:after="0" w:line="320" w:lineRule="auto"/>
        <w:rPr>
          <w:sz w:val="20"/>
          <w:szCs w:val="20"/>
          <w:color w:val="auto"/>
        </w:rPr>
      </w:pPr>
      <w:r>
        <w:rPr>
          <w:rFonts w:ascii="Arial" w:cs="Arial" w:eastAsia="Arial" w:hAnsi="Arial"/>
          <w:sz w:val="10"/>
          <w:szCs w:val="10"/>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Under certain circumstances we may be required to settle the value of the 2017 PIPE Warrants and 2018 PIPE Warrants in cash.</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If, at any time while the 2017 PIPE Warrants and 2018 PIPE Warrants, or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prior to the consummation of such Fundamental Transaction by making a cash payment in an amount equal to the Black Scholes Value of the remaining unexercised portion of such registered holder’s Warrants.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might not be able to maintain the listing of our securities on The NASDAQ Capital Market.</w:t>
      </w:r>
    </w:p>
    <w:p>
      <w:pPr>
        <w:spacing w:after="0" w:line="78"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have listed our common stock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Due to the speculative nature of warrants, there is no guarantee that it will ever be profitable for holders of the warrants to exercise the warrants.</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Holders of the 2017 PIPE Warrants are entitled to purchase one share of our common stock at an exercise price equal to $2.00 per share prior to at the earlier of (i) December 15, 2020 or (ii) 30 days following positive Phase III results for DCCR tablet in Prader-Willi syndrome. Holders of the 2018 PIPE Warrants are entitled to purchase one share of our common stock at an exercise price equal to $2.00 per share prior to the expiration of the five-year term on December 21, 2023.</w:t>
      </w:r>
    </w:p>
    <w:p>
      <w:pPr>
        <w:spacing w:after="0" w:line="5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Following the amendment of the Series D Common Stock Purchase Warrants, the holders may exercise their right to acquire common stock and pay an amended exercise price of $8.75 per share prior to the expiration of the five-year term on October 15, 2020. In certain circumstances, the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56" w:lineRule="exact"/>
        <w:rPr>
          <w:sz w:val="20"/>
          <w:szCs w:val="20"/>
          <w:color w:val="auto"/>
        </w:rPr>
      </w:pPr>
    </w:p>
    <w:p>
      <w:pPr>
        <w:ind w:left="1020" w:hanging="434"/>
        <w:spacing w:after="0"/>
        <w:tabs>
          <w:tab w:leader="none" w:pos="10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Board of Directors is divided into three classes with staggered three-year terms which may delay or prevent a change of our management or a change in control;</w:t>
      </w:r>
    </w:p>
    <w:p>
      <w:pPr>
        <w:spacing w:after="0" w:line="78" w:lineRule="exact"/>
        <w:rPr>
          <w:rFonts w:ascii="Arial" w:cs="Arial" w:eastAsia="Arial" w:hAnsi="Arial"/>
          <w:sz w:val="12"/>
          <w:szCs w:val="12"/>
          <w:color w:val="auto"/>
        </w:rPr>
      </w:pPr>
    </w:p>
    <w:p>
      <w:pPr>
        <w:ind w:left="1020" w:right="220" w:hanging="434"/>
        <w:spacing w:after="0" w:line="276" w:lineRule="auto"/>
        <w:tabs>
          <w:tab w:leader="none" w:pos="10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42" w:lineRule="exact"/>
        <w:rPr>
          <w:rFonts w:ascii="Arial" w:cs="Arial" w:eastAsia="Arial" w:hAnsi="Arial"/>
          <w:sz w:val="12"/>
          <w:szCs w:val="12"/>
          <w:color w:val="auto"/>
        </w:rPr>
      </w:pPr>
    </w:p>
    <w:p>
      <w:pPr>
        <w:ind w:left="1020" w:right="280" w:hanging="434"/>
        <w:spacing w:after="0" w:line="323" w:lineRule="auto"/>
        <w:tabs>
          <w:tab w:leader="none" w:pos="1020" w:val="left"/>
        </w:tabs>
        <w:numPr>
          <w:ilvl w:val="0"/>
          <w:numId w:val="45"/>
        </w:numPr>
        <w:rPr>
          <w:rFonts w:ascii="Arial" w:cs="Arial" w:eastAsia="Arial" w:hAnsi="Arial"/>
          <w:sz w:val="11"/>
          <w:szCs w:val="11"/>
          <w:color w:val="auto"/>
        </w:rPr>
      </w:pPr>
      <w:r>
        <w:rPr>
          <w:rFonts w:ascii="Arial" w:cs="Arial" w:eastAsia="Arial" w:hAnsi="Arial"/>
          <w:sz w:val="11"/>
          <w:szCs w:val="11"/>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8947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114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50" w:name="page51"/>
    <w:bookmarkEnd w:id="50"/>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certificate of incorporation prohibits cumulative voting in the election of directors, which limits the ability of minority stockholders to elect director candidates;</w:t>
      </w:r>
    </w:p>
    <w:p>
      <w:pPr>
        <w:spacing w:after="0" w:line="78" w:lineRule="exact"/>
        <w:rPr>
          <w:rFonts w:ascii="Arial" w:cs="Arial" w:eastAsia="Arial" w:hAnsi="Arial"/>
          <w:sz w:val="12"/>
          <w:szCs w:val="12"/>
          <w:color w:val="auto"/>
        </w:rPr>
      </w:pPr>
    </w:p>
    <w:p>
      <w:pPr>
        <w:ind w:left="1020" w:hanging="434"/>
        <w:spacing w:after="0"/>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amendments of our certificate of incorporation and bylaws require the approval of 66 2/3% of our outstanding voting securities;</w:t>
      </w:r>
    </w:p>
    <w:p>
      <w:pPr>
        <w:spacing w:after="0" w:line="78" w:lineRule="exact"/>
        <w:rPr>
          <w:rFonts w:ascii="Arial" w:cs="Arial" w:eastAsia="Arial" w:hAnsi="Arial"/>
          <w:sz w:val="12"/>
          <w:szCs w:val="12"/>
          <w:color w:val="auto"/>
        </w:rPr>
      </w:pPr>
    </w:p>
    <w:p>
      <w:pPr>
        <w:ind w:left="1020" w:right="300" w:hanging="434"/>
        <w:spacing w:after="0" w:line="263" w:lineRule="auto"/>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50" w:lineRule="exact"/>
        <w:rPr>
          <w:rFonts w:ascii="Arial" w:cs="Arial" w:eastAsia="Arial" w:hAnsi="Arial"/>
          <w:sz w:val="12"/>
          <w:szCs w:val="12"/>
          <w:color w:val="auto"/>
        </w:rPr>
      </w:pPr>
    </w:p>
    <w:p>
      <w:pPr>
        <w:ind w:left="1020" w:right="100" w:hanging="434"/>
        <w:spacing w:after="0" w:line="276" w:lineRule="auto"/>
        <w:tabs>
          <w:tab w:leader="none" w:pos="102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11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86"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43" w:lineRule="exact"/>
        <w:rPr>
          <w:sz w:val="20"/>
          <w:szCs w:val="20"/>
          <w:color w:val="auto"/>
        </w:rPr>
      </w:pPr>
    </w:p>
    <w:p>
      <w:pPr>
        <w:jc w:val="both"/>
        <w:ind w:right="140"/>
        <w:spacing w:after="0" w:line="340" w:lineRule="auto"/>
        <w:rPr>
          <w:sz w:val="20"/>
          <w:szCs w:val="20"/>
          <w:color w:val="auto"/>
        </w:rPr>
      </w:pPr>
      <w:r>
        <w:rPr>
          <w:rFonts w:ascii="Arial" w:cs="Arial" w:eastAsia="Arial" w:hAnsi="Arial"/>
          <w:sz w:val="10"/>
          <w:szCs w:val="10"/>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not paid dividends in the past and do not expect to pay dividends in the future, and, as a result, any return on investment may be limited to the value of our stock.</w:t>
      </w:r>
    </w:p>
    <w:p>
      <w:pPr>
        <w:spacing w:after="0" w:line="78" w:lineRule="exact"/>
        <w:rPr>
          <w:sz w:val="20"/>
          <w:szCs w:val="20"/>
          <w:color w:val="auto"/>
        </w:rPr>
      </w:pPr>
    </w:p>
    <w:p>
      <w:pPr>
        <w:jc w:val="both"/>
        <w:ind w:right="160"/>
        <w:spacing w:after="0" w:line="323" w:lineRule="auto"/>
        <w:rPr>
          <w:sz w:val="20"/>
          <w:szCs w:val="20"/>
          <w:color w:val="auto"/>
        </w:rPr>
      </w:pPr>
      <w:r>
        <w:rPr>
          <w:rFonts w:ascii="Arial" w:cs="Arial" w:eastAsia="Arial" w:hAnsi="Arial"/>
          <w:sz w:val="11"/>
          <w:szCs w:val="11"/>
          <w:color w:val="auto"/>
        </w:rPr>
        <w:t>We have never paid dividends and do not anticipate paying dividends in the foreseeable future. The payment of dividends will depend on our earnings, capital requirements, financial condition, prospects and other factors our board of directors may deem relevant. If we do not pay dividends, our stock may be less valuable because a return on your investment will only occur if our stock price appreciates and you sell our common stock thereafter.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20"/>
                <w:szCs w:val="20"/>
                <w:color w:val="auto"/>
              </w:rPr>
            </w:pPr>
            <w:r>
              <w:rPr>
                <w:rFonts w:ascii="Arial" w:cs="Arial" w:eastAsia="Arial" w:hAnsi="Arial"/>
                <w:sz w:val="12"/>
                <w:szCs w:val="12"/>
                <w:b w:val="1"/>
                <w:bCs w:val="1"/>
                <w:color w:val="auto"/>
              </w:rPr>
              <w:t>Item 2.</w:t>
            </w:r>
          </w:p>
        </w:tc>
        <w:tc>
          <w:tcPr>
            <w:tcW w:w="10900" w:type="dxa"/>
            <w:vAlign w:val="bottom"/>
          </w:tcPr>
          <w:p>
            <w:pPr>
              <w:ind w:left="580"/>
              <w:spacing w:after="0"/>
              <w:rPr>
                <w:sz w:val="20"/>
                <w:szCs w:val="20"/>
                <w:color w:val="auto"/>
              </w:rPr>
            </w:pPr>
            <w:r>
              <w:rPr>
                <w:rFonts w:ascii="Arial" w:cs="Arial" w:eastAsia="Arial" w:hAnsi="Arial"/>
                <w:sz w:val="12"/>
                <w:szCs w:val="12"/>
                <w:b w:val="1"/>
                <w:bCs w:val="1"/>
                <w:color w:val="auto"/>
              </w:rPr>
              <w:t>Unregistered Sales of Equity Securities and Use of Proceeds</w:t>
            </w:r>
          </w:p>
        </w:tc>
      </w:tr>
      <w:tr>
        <w:trPr>
          <w:trHeight w:val="216"/>
        </w:trPr>
        <w:tc>
          <w:tcPr>
            <w:tcW w:w="420" w:type="dxa"/>
            <w:vAlign w:val="bottom"/>
          </w:tcPr>
          <w:p>
            <w:pPr>
              <w:spacing w:after="0"/>
              <w:rPr>
                <w:sz w:val="18"/>
                <w:szCs w:val="18"/>
                <w:color w:val="auto"/>
              </w:rPr>
            </w:pPr>
          </w:p>
        </w:tc>
        <w:tc>
          <w:tcPr>
            <w:tcW w:w="10900" w:type="dxa"/>
            <w:vAlign w:val="bottom"/>
          </w:tcPr>
          <w:p>
            <w:pPr>
              <w:ind w:left="80"/>
              <w:spacing w:after="0"/>
              <w:rPr>
                <w:sz w:val="20"/>
                <w:szCs w:val="20"/>
                <w:color w:val="auto"/>
              </w:rPr>
            </w:pPr>
            <w:r>
              <w:rPr>
                <w:rFonts w:ascii="Arial" w:cs="Arial" w:eastAsia="Arial" w:hAnsi="Arial"/>
                <w:sz w:val="12"/>
                <w:szCs w:val="12"/>
                <w:color w:val="auto"/>
              </w:rPr>
              <w:t>None.</w:t>
            </w:r>
          </w:p>
        </w:tc>
      </w:tr>
      <w:tr>
        <w:trPr>
          <w:trHeight w:val="360"/>
        </w:trPr>
        <w:tc>
          <w:tcPr>
            <w:tcW w:w="420" w:type="dxa"/>
            <w:vAlign w:val="bottom"/>
          </w:tcPr>
          <w:p>
            <w:pPr>
              <w:spacing w:after="0"/>
              <w:rPr>
                <w:sz w:val="20"/>
                <w:szCs w:val="20"/>
                <w:color w:val="auto"/>
              </w:rPr>
            </w:pPr>
            <w:r>
              <w:rPr>
                <w:rFonts w:ascii="Arial" w:cs="Arial" w:eastAsia="Arial" w:hAnsi="Arial"/>
                <w:sz w:val="12"/>
                <w:szCs w:val="12"/>
                <w:b w:val="1"/>
                <w:bCs w:val="1"/>
                <w:color w:val="auto"/>
              </w:rPr>
              <w:t>Item 3.</w:t>
            </w:r>
          </w:p>
        </w:tc>
        <w:tc>
          <w:tcPr>
            <w:tcW w:w="10900" w:type="dxa"/>
            <w:vAlign w:val="bottom"/>
          </w:tcPr>
          <w:p>
            <w:pPr>
              <w:ind w:left="580"/>
              <w:spacing w:after="0"/>
              <w:rPr>
                <w:sz w:val="20"/>
                <w:szCs w:val="20"/>
                <w:color w:val="auto"/>
              </w:rPr>
            </w:pPr>
            <w:r>
              <w:rPr>
                <w:rFonts w:ascii="Arial" w:cs="Arial" w:eastAsia="Arial" w:hAnsi="Arial"/>
                <w:sz w:val="12"/>
                <w:szCs w:val="12"/>
                <w:b w:val="1"/>
                <w:bCs w:val="1"/>
                <w:color w:val="auto"/>
              </w:rPr>
              <w:t>Defaults Upon Senior Securities</w:t>
            </w:r>
          </w:p>
        </w:tc>
      </w:tr>
      <w:tr>
        <w:trPr>
          <w:trHeight w:val="216"/>
        </w:trPr>
        <w:tc>
          <w:tcPr>
            <w:tcW w:w="420" w:type="dxa"/>
            <w:vAlign w:val="bottom"/>
          </w:tcPr>
          <w:p>
            <w:pPr>
              <w:spacing w:after="0"/>
              <w:rPr>
                <w:sz w:val="18"/>
                <w:szCs w:val="18"/>
                <w:color w:val="auto"/>
              </w:rPr>
            </w:pPr>
          </w:p>
        </w:tc>
        <w:tc>
          <w:tcPr>
            <w:tcW w:w="10900" w:type="dxa"/>
            <w:vAlign w:val="bottom"/>
          </w:tcPr>
          <w:p>
            <w:pPr>
              <w:ind w:left="80"/>
              <w:spacing w:after="0"/>
              <w:rPr>
                <w:sz w:val="20"/>
                <w:szCs w:val="20"/>
                <w:color w:val="auto"/>
              </w:rPr>
            </w:pPr>
            <w:r>
              <w:rPr>
                <w:rFonts w:ascii="Arial" w:cs="Arial" w:eastAsia="Arial" w:hAnsi="Arial"/>
                <w:sz w:val="12"/>
                <w:szCs w:val="12"/>
                <w:color w:val="auto"/>
              </w:rPr>
              <w:t>None.</w:t>
            </w:r>
          </w:p>
        </w:tc>
      </w:tr>
      <w:tr>
        <w:trPr>
          <w:trHeight w:val="360"/>
        </w:trPr>
        <w:tc>
          <w:tcPr>
            <w:tcW w:w="420" w:type="dxa"/>
            <w:vAlign w:val="bottom"/>
          </w:tcPr>
          <w:p>
            <w:pPr>
              <w:spacing w:after="0"/>
              <w:rPr>
                <w:sz w:val="20"/>
                <w:szCs w:val="20"/>
                <w:color w:val="auto"/>
              </w:rPr>
            </w:pPr>
            <w:r>
              <w:rPr>
                <w:rFonts w:ascii="Arial" w:cs="Arial" w:eastAsia="Arial" w:hAnsi="Arial"/>
                <w:sz w:val="12"/>
                <w:szCs w:val="12"/>
                <w:b w:val="1"/>
                <w:bCs w:val="1"/>
                <w:color w:val="auto"/>
              </w:rPr>
              <w:t>Item 4.</w:t>
            </w:r>
          </w:p>
        </w:tc>
        <w:tc>
          <w:tcPr>
            <w:tcW w:w="10900" w:type="dxa"/>
            <w:vAlign w:val="bottom"/>
          </w:tcPr>
          <w:p>
            <w:pPr>
              <w:ind w:left="580"/>
              <w:spacing w:after="0"/>
              <w:rPr>
                <w:sz w:val="20"/>
                <w:szCs w:val="20"/>
                <w:color w:val="auto"/>
              </w:rPr>
            </w:pPr>
            <w:r>
              <w:rPr>
                <w:rFonts w:ascii="Arial" w:cs="Arial" w:eastAsia="Arial" w:hAnsi="Arial"/>
                <w:sz w:val="12"/>
                <w:szCs w:val="12"/>
                <w:b w:val="1"/>
                <w:bCs w:val="1"/>
                <w:color w:val="auto"/>
              </w:rPr>
              <w:t>Mine Safety Disclosures</w:t>
            </w:r>
          </w:p>
        </w:tc>
      </w:tr>
      <w:tr>
        <w:trPr>
          <w:trHeight w:val="216"/>
        </w:trPr>
        <w:tc>
          <w:tcPr>
            <w:tcW w:w="420" w:type="dxa"/>
            <w:vAlign w:val="bottom"/>
          </w:tcPr>
          <w:p>
            <w:pPr>
              <w:spacing w:after="0"/>
              <w:rPr>
                <w:sz w:val="18"/>
                <w:szCs w:val="18"/>
                <w:color w:val="auto"/>
              </w:rPr>
            </w:pPr>
          </w:p>
        </w:tc>
        <w:tc>
          <w:tcPr>
            <w:tcW w:w="10900" w:type="dxa"/>
            <w:vAlign w:val="bottom"/>
          </w:tcPr>
          <w:p>
            <w:pPr>
              <w:ind w:left="80"/>
              <w:spacing w:after="0"/>
              <w:rPr>
                <w:sz w:val="20"/>
                <w:szCs w:val="20"/>
                <w:color w:val="auto"/>
              </w:rPr>
            </w:pPr>
            <w:r>
              <w:rPr>
                <w:rFonts w:ascii="Arial" w:cs="Arial" w:eastAsia="Arial" w:hAnsi="Arial"/>
                <w:sz w:val="12"/>
                <w:szCs w:val="12"/>
                <w:color w:val="auto"/>
              </w:rPr>
              <w:t>Not applicable.</w:t>
            </w:r>
          </w:p>
        </w:tc>
      </w:tr>
      <w:tr>
        <w:trPr>
          <w:trHeight w:val="360"/>
        </w:trPr>
        <w:tc>
          <w:tcPr>
            <w:tcW w:w="420" w:type="dxa"/>
            <w:vAlign w:val="bottom"/>
          </w:tcPr>
          <w:p>
            <w:pPr>
              <w:spacing w:after="0"/>
              <w:rPr>
                <w:sz w:val="20"/>
                <w:szCs w:val="20"/>
                <w:color w:val="auto"/>
              </w:rPr>
            </w:pPr>
            <w:r>
              <w:rPr>
                <w:rFonts w:ascii="Arial" w:cs="Arial" w:eastAsia="Arial" w:hAnsi="Arial"/>
                <w:sz w:val="12"/>
                <w:szCs w:val="12"/>
                <w:b w:val="1"/>
                <w:bCs w:val="1"/>
                <w:color w:val="auto"/>
              </w:rPr>
              <w:t>Item 5.</w:t>
            </w:r>
          </w:p>
        </w:tc>
        <w:tc>
          <w:tcPr>
            <w:tcW w:w="10900" w:type="dxa"/>
            <w:vAlign w:val="bottom"/>
          </w:tcPr>
          <w:p>
            <w:pPr>
              <w:ind w:left="580"/>
              <w:spacing w:after="0"/>
              <w:rPr>
                <w:sz w:val="20"/>
                <w:szCs w:val="20"/>
                <w:color w:val="auto"/>
              </w:rPr>
            </w:pPr>
            <w:r>
              <w:rPr>
                <w:rFonts w:ascii="Arial" w:cs="Arial" w:eastAsia="Arial" w:hAnsi="Arial"/>
                <w:sz w:val="12"/>
                <w:szCs w:val="12"/>
                <w:b w:val="1"/>
                <w:bCs w:val="1"/>
                <w:color w:val="auto"/>
              </w:rPr>
              <w:t>Other Information</w:t>
            </w:r>
          </w:p>
        </w:tc>
      </w:tr>
      <w:tr>
        <w:trPr>
          <w:trHeight w:val="360"/>
        </w:trPr>
        <w:tc>
          <w:tcPr>
            <w:tcW w:w="420" w:type="dxa"/>
            <w:vAlign w:val="bottom"/>
          </w:tcPr>
          <w:p>
            <w:pPr>
              <w:spacing w:after="0"/>
              <w:rPr>
                <w:sz w:val="24"/>
                <w:szCs w:val="24"/>
                <w:color w:val="auto"/>
              </w:rPr>
            </w:pPr>
          </w:p>
        </w:tc>
        <w:tc>
          <w:tcPr>
            <w:tcW w:w="10900" w:type="dxa"/>
            <w:vAlign w:val="bottom"/>
          </w:tcPr>
          <w:p>
            <w:pPr>
              <w:ind w:left="80"/>
              <w:spacing w:after="0"/>
              <w:rPr>
                <w:sz w:val="20"/>
                <w:szCs w:val="20"/>
                <w:color w:val="auto"/>
              </w:rPr>
            </w:pPr>
            <w:r>
              <w:rPr>
                <w:rFonts w:ascii="Arial" w:cs="Arial" w:eastAsia="Arial" w:hAnsi="Arial"/>
                <w:sz w:val="12"/>
                <w:szCs w:val="12"/>
                <w:color w:val="auto"/>
              </w:rPr>
              <w:t>None.</w:t>
            </w:r>
          </w:p>
        </w:tc>
      </w:tr>
      <w:tr>
        <w:trPr>
          <w:trHeight w:val="360"/>
        </w:trPr>
        <w:tc>
          <w:tcPr>
            <w:tcW w:w="42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10900" w:type="dxa"/>
            <w:vAlign w:val="bottom"/>
          </w:tcPr>
          <w:p>
            <w:pPr>
              <w:ind w:left="580"/>
              <w:spacing w:after="0"/>
              <w:rPr>
                <w:sz w:val="20"/>
                <w:szCs w:val="20"/>
                <w:color w:val="auto"/>
              </w:rPr>
            </w:pPr>
            <w:r>
              <w:rPr>
                <w:rFonts w:ascii="Arial" w:cs="Arial" w:eastAsia="Arial" w:hAnsi="Arial"/>
                <w:sz w:val="12"/>
                <w:szCs w:val="12"/>
                <w:b w:val="1"/>
                <w:bCs w:val="1"/>
                <w:color w:val="auto"/>
              </w:rPr>
              <w:t>Exhibits</w:t>
            </w:r>
          </w:p>
        </w:tc>
      </w:tr>
      <w:tr>
        <w:trPr>
          <w:trHeight w:val="360"/>
        </w:trPr>
        <w:tc>
          <w:tcPr>
            <w:tcW w:w="420" w:type="dxa"/>
            <w:vAlign w:val="bottom"/>
          </w:tcPr>
          <w:p>
            <w:pPr>
              <w:spacing w:after="0"/>
              <w:rPr>
                <w:sz w:val="24"/>
                <w:szCs w:val="24"/>
                <w:color w:val="auto"/>
              </w:rPr>
            </w:pPr>
          </w:p>
        </w:tc>
        <w:tc>
          <w:tcPr>
            <w:tcW w:w="10900" w:type="dxa"/>
            <w:vAlign w:val="bottom"/>
          </w:tcPr>
          <w:p>
            <w:pPr>
              <w:ind w:left="80"/>
              <w:spacing w:after="0"/>
              <w:rPr>
                <w:sz w:val="20"/>
                <w:szCs w:val="20"/>
                <w:color w:val="auto"/>
              </w:rPr>
            </w:pPr>
            <w:r>
              <w:rPr>
                <w:rFonts w:ascii="Arial" w:cs="Arial" w:eastAsia="Arial" w:hAnsi="Arial"/>
                <w:sz w:val="12"/>
                <w:szCs w:val="12"/>
                <w:color w:val="auto"/>
              </w:rPr>
              <w:t>See the Exhibit Index on the page immediately preceding the exhibits for a list of exhibits filed as part of this Quarterly Report on Form 10-Q, which Exhibit Index is incorporated herein by reference.</w:t>
            </w:r>
          </w:p>
        </w:tc>
      </w:tr>
      <w:tr>
        <w:trPr>
          <w:trHeight w:val="288"/>
        </w:trPr>
        <w:tc>
          <w:tcPr>
            <w:tcW w:w="420" w:type="dxa"/>
            <w:vAlign w:val="bottom"/>
          </w:tcPr>
          <w:p>
            <w:pPr>
              <w:spacing w:after="0"/>
              <w:rPr>
                <w:sz w:val="24"/>
                <w:szCs w:val="24"/>
                <w:color w:val="auto"/>
              </w:rPr>
            </w:pPr>
          </w:p>
        </w:tc>
        <w:tc>
          <w:tcPr>
            <w:tcW w:w="10900" w:type="dxa"/>
            <w:vAlign w:val="bottom"/>
          </w:tcPr>
          <w:p>
            <w:pPr>
              <w:ind w:left="5160"/>
              <w:spacing w:after="0"/>
              <w:rPr>
                <w:sz w:val="20"/>
                <w:szCs w:val="20"/>
                <w:color w:val="auto"/>
              </w:rPr>
            </w:pPr>
            <w:r>
              <w:rPr>
                <w:rFonts w:ascii="Arial" w:cs="Arial" w:eastAsia="Arial" w:hAnsi="Arial"/>
                <w:sz w:val="12"/>
                <w:szCs w:val="12"/>
                <w:color w:val="auto"/>
              </w:rPr>
              <w:t>51</w:t>
            </w:r>
          </w:p>
        </w:tc>
      </w:tr>
      <w:tr>
        <w:trPr>
          <w:trHeight w:val="72"/>
        </w:trPr>
        <w:tc>
          <w:tcPr>
            <w:tcW w:w="420" w:type="dxa"/>
            <w:vAlign w:val="bottom"/>
            <w:tcBorders>
              <w:bottom w:val="single" w:sz="8" w:color="9A9A9A"/>
            </w:tcBorders>
          </w:tcPr>
          <w:p>
            <w:pPr>
              <w:spacing w:after="0"/>
              <w:rPr>
                <w:sz w:val="6"/>
                <w:szCs w:val="6"/>
                <w:color w:val="auto"/>
              </w:rPr>
            </w:pPr>
          </w:p>
        </w:tc>
        <w:tc>
          <w:tcPr>
            <w:tcW w:w="109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47" w:right="279" w:bottom="1440" w:gutter="0" w:footer="0" w:header="0"/>
        </w:sectPr>
      </w:pPr>
    </w:p>
    <w:bookmarkStart w:id="51" w:name="page52"/>
    <w:bookmarkEnd w:id="51"/>
    <w:p>
      <w:pPr>
        <w:jc w:val="center"/>
        <w:ind w:right="40"/>
        <w:spacing w:after="0"/>
        <w:rPr>
          <w:sz w:val="20"/>
          <w:szCs w:val="20"/>
          <w:color w:val="auto"/>
        </w:rPr>
      </w:pPr>
      <w:r>
        <w:rPr>
          <w:rFonts w:ascii="Arial" w:cs="Arial" w:eastAsia="Arial" w:hAnsi="Arial"/>
          <w:sz w:val="12"/>
          <w:szCs w:val="12"/>
          <w:b w:val="1"/>
          <w:bCs w:val="1"/>
          <w:color w:val="auto"/>
        </w:rPr>
        <w:t>EXHIBIT 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60" w:type="dxa"/>
            <w:vAlign w:val="bottom"/>
            <w:gridSpan w:val="2"/>
            <w:vMerge w:val="restart"/>
          </w:tcPr>
          <w:p>
            <w:pPr>
              <w:ind w:left="520"/>
              <w:spacing w:after="0"/>
              <w:rPr>
                <w:sz w:val="20"/>
                <w:szCs w:val="20"/>
                <w:color w:val="auto"/>
              </w:rPr>
            </w:pPr>
            <w:r>
              <w:rPr>
                <w:rFonts w:ascii="Arial" w:cs="Arial" w:eastAsia="Arial" w:hAnsi="Arial"/>
                <w:sz w:val="10"/>
                <w:szCs w:val="10"/>
                <w:b w:val="1"/>
                <w:bCs w:val="1"/>
                <w:color w:val="auto"/>
              </w:rPr>
              <w:t>Exhibit</w:t>
            </w:r>
          </w:p>
        </w:tc>
        <w:tc>
          <w:tcPr>
            <w:tcW w:w="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w w:val="88"/>
              </w:rPr>
              <w:t>Incorporated by Reference from</w:t>
            </w: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tcPr>
          <w:p>
            <w:pPr>
              <w:jc w:val="center"/>
              <w:ind w:right="120"/>
              <w:spacing w:after="0" w:line="74" w:lineRule="exact"/>
              <w:rPr>
                <w:sz w:val="20"/>
                <w:szCs w:val="20"/>
                <w:color w:val="auto"/>
              </w:rPr>
            </w:pPr>
            <w:r>
              <w:rPr>
                <w:rFonts w:ascii="Arial" w:cs="Arial" w:eastAsia="Arial" w:hAnsi="Arial"/>
                <w:sz w:val="8"/>
                <w:szCs w:val="8"/>
                <w:b w:val="1"/>
                <w:bCs w:val="1"/>
                <w:color w:val="auto"/>
              </w:rPr>
              <w:t>Registrant’s</w:t>
            </w:r>
          </w:p>
        </w:tc>
        <w:tc>
          <w:tcPr>
            <w:tcW w:w="2140" w:type="dxa"/>
            <w:vAlign w:val="bottom"/>
            <w:gridSpan w:val="3"/>
          </w:tcPr>
          <w:p>
            <w:pPr>
              <w:jc w:val="center"/>
              <w:ind w:right="440"/>
              <w:spacing w:after="0" w:line="74" w:lineRule="exact"/>
              <w:rPr>
                <w:sz w:val="20"/>
                <w:szCs w:val="20"/>
                <w:color w:val="auto"/>
              </w:rPr>
            </w:pPr>
            <w:r>
              <w:rPr>
                <w:rFonts w:ascii="Arial" w:cs="Arial" w:eastAsia="Arial" w:hAnsi="Arial"/>
                <w:sz w:val="8"/>
                <w:szCs w:val="8"/>
                <w:b w:val="1"/>
                <w:bCs w:val="1"/>
                <w:color w:val="auto"/>
              </w:rPr>
              <w:t>Date Filed</w:t>
            </w:r>
          </w:p>
        </w:tc>
        <w:tc>
          <w:tcPr>
            <w:tcW w:w="900" w:type="dxa"/>
            <w:vAlign w:val="bottom"/>
            <w:gridSpan w:val="2"/>
          </w:tcPr>
          <w:p>
            <w:pPr>
              <w:jc w:val="center"/>
              <w:ind w:right="480"/>
              <w:spacing w:after="0" w:line="74" w:lineRule="exact"/>
              <w:rPr>
                <w:sz w:val="20"/>
                <w:szCs w:val="20"/>
                <w:color w:val="auto"/>
              </w:rPr>
            </w:pPr>
            <w:r>
              <w:rPr>
                <w:rFonts w:ascii="Arial" w:cs="Arial" w:eastAsia="Arial" w:hAnsi="Arial"/>
                <w:sz w:val="8"/>
                <w:szCs w:val="8"/>
                <w:b w:val="1"/>
                <w:bCs w:val="1"/>
                <w:color w:val="auto"/>
              </w:rPr>
              <w:t>Exhibit</w:t>
            </w:r>
          </w:p>
        </w:tc>
        <w:tc>
          <w:tcPr>
            <w:tcW w:w="112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Filed</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360" w:type="dxa"/>
            <w:vAlign w:val="bottom"/>
            <w:tcBorders>
              <w:bottom w:val="single" w:sz="8" w:color="auto"/>
            </w:tcBorders>
          </w:tcPr>
          <w:p>
            <w:pPr>
              <w:ind w:left="500"/>
              <w:spacing w:after="0" w:line="114" w:lineRule="exact"/>
              <w:rPr>
                <w:sz w:val="20"/>
                <w:szCs w:val="20"/>
                <w:color w:val="auto"/>
              </w:rPr>
            </w:pPr>
            <w:r>
              <w:rPr>
                <w:rFonts w:ascii="Arial" w:cs="Arial" w:eastAsia="Arial" w:hAnsi="Arial"/>
                <w:sz w:val="10"/>
                <w:szCs w:val="10"/>
                <w:b w:val="1"/>
                <w:bCs w:val="1"/>
                <w:color w:val="auto"/>
              </w:rPr>
              <w:t>Number</w:t>
            </w: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gridSpan w:val="5"/>
          </w:tcPr>
          <w:p>
            <w:pPr>
              <w:ind w:left="1560"/>
              <w:spacing w:after="0" w:line="114" w:lineRule="exact"/>
              <w:rPr>
                <w:sz w:val="20"/>
                <w:szCs w:val="20"/>
                <w:color w:val="auto"/>
              </w:rPr>
            </w:pPr>
            <w:r>
              <w:rPr>
                <w:rFonts w:ascii="Arial" w:cs="Arial" w:eastAsia="Arial" w:hAnsi="Arial"/>
                <w:sz w:val="10"/>
                <w:szCs w:val="10"/>
                <w:b w:val="1"/>
                <w:bCs w:val="1"/>
                <w:color w:val="auto"/>
              </w:rPr>
              <w:t>Description of Document</w:t>
            </w:r>
          </w:p>
        </w:tc>
        <w:tc>
          <w:tcPr>
            <w:tcW w:w="120" w:type="dxa"/>
            <w:vAlign w:val="bottom"/>
          </w:tcPr>
          <w:p>
            <w:pPr>
              <w:spacing w:after="0"/>
              <w:rPr>
                <w:sz w:val="9"/>
                <w:szCs w:val="9"/>
                <w:color w:val="auto"/>
              </w:rPr>
            </w:pPr>
          </w:p>
        </w:tc>
        <w:tc>
          <w:tcPr>
            <w:tcW w:w="11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7"/>
              </w:rPr>
              <w:t>Form</w:t>
            </w:r>
          </w:p>
        </w:tc>
        <w:tc>
          <w:tcPr>
            <w:tcW w:w="120" w:type="dxa"/>
            <w:vAlign w:val="bottom"/>
          </w:tcPr>
          <w:p>
            <w:pPr>
              <w:spacing w:after="0"/>
              <w:rPr>
                <w:sz w:val="9"/>
                <w:szCs w:val="9"/>
                <w:color w:val="auto"/>
              </w:rPr>
            </w:pPr>
          </w:p>
        </w:tc>
        <w:tc>
          <w:tcPr>
            <w:tcW w:w="16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with the SEC</w:t>
            </w:r>
          </w:p>
        </w:tc>
        <w:tc>
          <w:tcPr>
            <w:tcW w:w="1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center"/>
              <w:ind w:right="315"/>
              <w:spacing w:after="0" w:line="114" w:lineRule="exact"/>
              <w:rPr>
                <w:sz w:val="20"/>
                <w:szCs w:val="20"/>
                <w:color w:val="auto"/>
              </w:rPr>
            </w:pPr>
            <w:r>
              <w:rPr>
                <w:rFonts w:ascii="Arial" w:cs="Arial" w:eastAsia="Arial" w:hAnsi="Arial"/>
                <w:sz w:val="10"/>
                <w:szCs w:val="10"/>
                <w:b w:val="1"/>
                <w:bCs w:val="1"/>
                <w:color w:val="auto"/>
                <w:w w:val="89"/>
              </w:rPr>
              <w:t>Number</w:t>
            </w:r>
          </w:p>
        </w:tc>
        <w:tc>
          <w:tcPr>
            <w:tcW w:w="120" w:type="dxa"/>
            <w:vAlign w:val="bottom"/>
          </w:tcPr>
          <w:p>
            <w:pPr>
              <w:spacing w:after="0"/>
              <w:rPr>
                <w:sz w:val="9"/>
                <w:szCs w:val="9"/>
                <w:color w:val="auto"/>
              </w:rPr>
            </w:pPr>
          </w:p>
        </w:tc>
        <w:tc>
          <w:tcPr>
            <w:tcW w:w="11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Herewith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360" w:type="dxa"/>
            <w:vAlign w:val="bottom"/>
          </w:tcPr>
          <w:p>
            <w:pPr>
              <w:ind w:left="180"/>
              <w:spacing w:after="0"/>
              <w:rPr>
                <w:sz w:val="20"/>
                <w:szCs w:val="20"/>
                <w:color w:val="auto"/>
              </w:rPr>
            </w:pPr>
            <w:r>
              <w:rPr>
                <w:rFonts w:ascii="Arial" w:cs="Arial" w:eastAsia="Arial" w:hAnsi="Arial"/>
                <w:sz w:val="12"/>
                <w:szCs w:val="12"/>
                <w:color w:val="auto"/>
              </w:rPr>
              <w:t>31.1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Borders>
              <w:bottom w:val="single" w:sz="8" w:color="0000EE"/>
            </w:tcBorders>
            <w:gridSpan w:val="3"/>
          </w:tcPr>
          <w:p>
            <w:pPr>
              <w:spacing w:after="0"/>
              <w:rPr>
                <w:rFonts w:ascii="Arial" w:cs="Arial" w:eastAsia="Arial" w:hAnsi="Arial"/>
                <w:sz w:val="12"/>
                <w:szCs w:val="12"/>
                <w:color w:val="0000EE"/>
                <w:w w:val="92"/>
              </w:rPr>
            </w:pPr>
            <w:hyperlink w:anchor="page54">
              <w:r>
                <w:rPr>
                  <w:rFonts w:ascii="Arial" w:cs="Arial" w:eastAsia="Arial" w:hAnsi="Arial"/>
                  <w:sz w:val="12"/>
                  <w:szCs w:val="12"/>
                  <w:color w:val="0000EE"/>
                  <w:w w:val="92"/>
                </w:rPr>
                <w:t>Certification of Principal Executive Officer Required Under Rule 13a-14(a) and 15d-</w:t>
              </w:r>
            </w:hyperlink>
          </w:p>
        </w:tc>
        <w:tc>
          <w:tcPr>
            <w:tcW w:w="220" w:type="dxa"/>
            <w:vAlign w:val="bottom"/>
            <w:gridSpan w:val="3"/>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0" w:type="dxa"/>
            <w:vAlign w:val="bottom"/>
            <w:tcBorders>
              <w:bottom w:val="single" w:sz="8" w:color="0000EE"/>
            </w:tcBorders>
          </w:tcPr>
          <w:p>
            <w:pPr>
              <w:spacing w:after="0" w:line="124" w:lineRule="exact"/>
              <w:rPr>
                <w:rFonts w:ascii="Arial" w:cs="Arial" w:eastAsia="Arial" w:hAnsi="Arial"/>
                <w:sz w:val="12"/>
                <w:szCs w:val="12"/>
                <w:color w:val="0000EE"/>
                <w:w w:val="89"/>
              </w:rPr>
            </w:pPr>
            <w:hyperlink w:anchor="page54">
              <w:r>
                <w:rPr>
                  <w:rFonts w:ascii="Arial" w:cs="Arial" w:eastAsia="Arial" w:hAnsi="Arial"/>
                  <w:sz w:val="12"/>
                  <w:szCs w:val="12"/>
                  <w:color w:val="0000EE"/>
                  <w:w w:val="89"/>
                </w:rPr>
                <w:t>14(a) of the Securities and Exchange Act of 1934, as amended</w:t>
              </w:r>
            </w:hyperlink>
          </w:p>
        </w:tc>
        <w:tc>
          <w:tcPr>
            <w:tcW w:w="1340" w:type="dxa"/>
            <w:vAlign w:val="bottom"/>
            <w:gridSpan w:val="5"/>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180"/>
              <w:spacing w:after="0"/>
              <w:rPr>
                <w:sz w:val="20"/>
                <w:szCs w:val="20"/>
                <w:color w:val="auto"/>
              </w:rPr>
            </w:pPr>
            <w:r>
              <w:rPr>
                <w:rFonts w:ascii="Arial" w:cs="Arial" w:eastAsia="Arial" w:hAnsi="Arial"/>
                <w:sz w:val="12"/>
                <w:szCs w:val="12"/>
                <w:color w:val="auto"/>
              </w:rPr>
              <w:t>31.2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6"/>
          </w:tcPr>
          <w:p>
            <w:pPr>
              <w:spacing w:after="0"/>
              <w:rPr>
                <w:rFonts w:ascii="Arial" w:cs="Arial" w:eastAsia="Arial" w:hAnsi="Arial"/>
                <w:sz w:val="12"/>
                <w:szCs w:val="12"/>
                <w:color w:val="0000EE"/>
                <w:w w:val="96"/>
              </w:rPr>
            </w:pPr>
            <w:hyperlink w:anchor="page55">
              <w:r>
                <w:rPr>
                  <w:rFonts w:ascii="Arial" w:cs="Arial" w:eastAsia="Arial" w:hAnsi="Arial"/>
                  <w:sz w:val="12"/>
                  <w:szCs w:val="12"/>
                  <w:color w:val="0000EE"/>
                  <w:w w:val="96"/>
                </w:rPr>
                <w:t>Certification of Principal Financial and Accounting Officer Required Under Rule 13a-</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Borders>
              <w:top w:val="single" w:sz="8" w:color="0000EE"/>
            </w:tcBorders>
            <w:gridSpan w:val="4"/>
          </w:tcPr>
          <w:p>
            <w:pPr>
              <w:spacing w:after="0"/>
              <w:rPr>
                <w:rFonts w:ascii="Arial" w:cs="Arial" w:eastAsia="Arial" w:hAnsi="Arial"/>
                <w:sz w:val="12"/>
                <w:szCs w:val="12"/>
                <w:u w:val="single" w:color="auto"/>
                <w:color w:val="0000EE"/>
                <w:w w:val="99"/>
              </w:rPr>
            </w:pPr>
            <w:hyperlink w:anchor="page55">
              <w:r>
                <w:rPr>
                  <w:rFonts w:ascii="Arial" w:cs="Arial" w:eastAsia="Arial" w:hAnsi="Arial"/>
                  <w:sz w:val="12"/>
                  <w:szCs w:val="12"/>
                  <w:u w:val="single" w:color="auto"/>
                  <w:color w:val="0000EE"/>
                  <w:w w:val="99"/>
                </w:rPr>
                <w:t>14(a) and 15d-14(a) of the Securities and Exchange Act of 1934, as amended</w:t>
              </w:r>
            </w:hyperlink>
          </w:p>
        </w:tc>
        <w:tc>
          <w:tcPr>
            <w:tcW w:w="2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180"/>
              <w:spacing w:after="0"/>
              <w:rPr>
                <w:sz w:val="20"/>
                <w:szCs w:val="20"/>
                <w:color w:val="auto"/>
              </w:rPr>
            </w:pPr>
            <w:r>
              <w:rPr>
                <w:rFonts w:ascii="Arial" w:cs="Arial" w:eastAsia="Arial" w:hAnsi="Arial"/>
                <w:sz w:val="12"/>
                <w:szCs w:val="12"/>
                <w:color w:val="auto"/>
              </w:rPr>
              <w:t>32.1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6"/>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Certification of Principal Executive Officer Required Under Rule 13a-14(b) of the</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tcBorders>
              <w:top w:val="single" w:sz="8" w:color="0000EE"/>
            </w:tcBorders>
            <w:gridSpan w:val="2"/>
          </w:tcPr>
          <w:p>
            <w:pPr>
              <w:spacing w:after="0"/>
              <w:rPr>
                <w:rFonts w:ascii="Arial" w:cs="Arial" w:eastAsia="Arial" w:hAnsi="Arial"/>
                <w:sz w:val="12"/>
                <w:szCs w:val="12"/>
                <w:u w:val="single" w:color="auto"/>
                <w:color w:val="0000EE"/>
              </w:rPr>
            </w:pPr>
            <w:hyperlink w:anchor="page56">
              <w:r>
                <w:rPr>
                  <w:rFonts w:ascii="Arial" w:cs="Arial" w:eastAsia="Arial" w:hAnsi="Arial"/>
                  <w:sz w:val="12"/>
                  <w:szCs w:val="12"/>
                  <w:u w:val="single" w:color="auto"/>
                  <w:color w:val="0000EE"/>
                </w:rPr>
                <w:t>Securities and Exchange Act of 1934, as amended, and 18 U.S.C. §1350</w:t>
              </w:r>
            </w:hyperlink>
          </w:p>
        </w:tc>
        <w:tc>
          <w:tcPr>
            <w:tcW w:w="400" w:type="dxa"/>
            <w:vAlign w:val="bottom"/>
            <w:gridSpan w:val="4"/>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360" w:type="dxa"/>
            <w:vAlign w:val="bottom"/>
          </w:tcPr>
          <w:p>
            <w:pPr>
              <w:ind w:left="180"/>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6"/>
          </w:tcPr>
          <w:p>
            <w:pPr>
              <w:spacing w:after="0"/>
              <w:rPr>
                <w:rFonts w:ascii="Arial" w:cs="Arial" w:eastAsia="Arial" w:hAnsi="Arial"/>
                <w:sz w:val="12"/>
                <w:szCs w:val="12"/>
                <w:color w:val="0000EE"/>
                <w:w w:val="96"/>
              </w:rPr>
            </w:pPr>
            <w:hyperlink w:anchor="page57">
              <w:r>
                <w:rPr>
                  <w:rFonts w:ascii="Arial" w:cs="Arial" w:eastAsia="Arial" w:hAnsi="Arial"/>
                  <w:sz w:val="12"/>
                  <w:szCs w:val="12"/>
                  <w:color w:val="0000EE"/>
                  <w:w w:val="96"/>
                </w:rPr>
                <w:t>Certification of Principal Financial and Accounting Officer Required Under Rule 13a-</w:t>
              </w:r>
            </w:hyperlink>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40" w:type="dxa"/>
            <w:vAlign w:val="bottom"/>
            <w:tcBorders>
              <w:top w:val="single" w:sz="8" w:color="0000EE"/>
            </w:tcBorders>
            <w:gridSpan w:val="4"/>
          </w:tcPr>
          <w:p>
            <w:pPr>
              <w:spacing w:after="0"/>
              <w:rPr>
                <w:rFonts w:ascii="Arial" w:cs="Arial" w:eastAsia="Arial" w:hAnsi="Arial"/>
                <w:sz w:val="12"/>
                <w:szCs w:val="12"/>
                <w:u w:val="single" w:color="auto"/>
                <w:color w:val="0000EE"/>
                <w:w w:val="90"/>
              </w:rPr>
            </w:pPr>
            <w:hyperlink w:anchor="page57">
              <w:r>
                <w:rPr>
                  <w:rFonts w:ascii="Arial" w:cs="Arial" w:eastAsia="Arial" w:hAnsi="Arial"/>
                  <w:sz w:val="12"/>
                  <w:szCs w:val="12"/>
                  <w:u w:val="single" w:color="auto"/>
                  <w:color w:val="0000EE"/>
                  <w:w w:val="90"/>
                </w:rPr>
                <w:t>14(b) of the Securities and Exchange Act of 1934, as amended, and 18 U.S.C. §1350</w:t>
              </w:r>
            </w:hyperlink>
          </w:p>
        </w:tc>
        <w:tc>
          <w:tcPr>
            <w:tcW w:w="20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Arial" w:cs="Arial" w:eastAsia="Arial" w:hAnsi="Arial"/>
                <w:sz w:val="12"/>
                <w:szCs w:val="12"/>
                <w:color w:val="auto"/>
              </w:rPr>
              <w:t>101.INS</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2"/>
                <w:szCs w:val="12"/>
                <w:color w:val="auto"/>
              </w:rPr>
              <w:t>XBRL Instance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Arial" w:cs="Arial" w:eastAsia="Arial" w:hAnsi="Arial"/>
                <w:sz w:val="12"/>
                <w:szCs w:val="12"/>
                <w:color w:val="auto"/>
              </w:rPr>
              <w:t>101.SCH</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2"/>
                <w:szCs w:val="12"/>
                <w:color w:val="auto"/>
              </w:rPr>
              <w:t>XBRL Taxonomy Extension Schema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Arial" w:cs="Arial" w:eastAsia="Arial" w:hAnsi="Arial"/>
                <w:sz w:val="12"/>
                <w:szCs w:val="12"/>
                <w:color w:val="auto"/>
              </w:rPr>
              <w:t>101.CAL</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Arial" w:cs="Arial" w:eastAsia="Arial" w:hAnsi="Arial"/>
                <w:sz w:val="12"/>
                <w:szCs w:val="12"/>
                <w:color w:val="auto"/>
              </w:rPr>
              <w:t>101.DEF</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Arial" w:cs="Arial" w:eastAsia="Arial" w:hAnsi="Arial"/>
                <w:sz w:val="12"/>
                <w:szCs w:val="12"/>
                <w:color w:val="auto"/>
              </w:rPr>
              <w:t>101.LAB</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2"/>
                <w:szCs w:val="12"/>
                <w:color w:val="auto"/>
              </w:rPr>
              <w:t>XBRL Taxonomy Extension Label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460" w:type="dxa"/>
            <w:vAlign w:val="bottom"/>
            <w:gridSpan w:val="2"/>
          </w:tcPr>
          <w:p>
            <w:pPr>
              <w:ind w:left="120"/>
              <w:spacing w:after="0"/>
              <w:rPr>
                <w:sz w:val="20"/>
                <w:szCs w:val="20"/>
                <w:color w:val="auto"/>
              </w:rPr>
            </w:pPr>
            <w:r>
              <w:rPr>
                <w:rFonts w:ascii="Arial" w:cs="Arial" w:eastAsia="Arial" w:hAnsi="Arial"/>
                <w:sz w:val="12"/>
                <w:szCs w:val="12"/>
                <w:color w:val="auto"/>
              </w:rPr>
              <w:t>101.PRE</w:t>
            </w:r>
          </w:p>
        </w:tc>
        <w:tc>
          <w:tcPr>
            <w:tcW w:w="8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6"/>
          </w:tcPr>
          <w:p>
            <w:pPr>
              <w:jc w:val="right"/>
              <w:ind w:right="60"/>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52" w:name="page53"/>
    <w:bookmarkEnd w:id="52"/>
    <w:p>
      <w:pPr>
        <w:ind w:left="52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tabs>
          <w:tab w:leader="none" w:pos="5060" w:val="left"/>
        </w:tabs>
        <w:rPr>
          <w:sz w:val="20"/>
          <w:szCs w:val="20"/>
          <w:color w:val="auto"/>
        </w:rPr>
      </w:pPr>
      <w:r>
        <w:rPr>
          <w:rFonts w:ascii="Arial" w:cs="Arial" w:eastAsia="Arial" w:hAnsi="Arial"/>
          <w:sz w:val="12"/>
          <w:szCs w:val="12"/>
          <w:color w:val="auto"/>
        </w:rPr>
        <w:t>Date: August 10, 2020</w:t>
      </w:r>
      <w:r>
        <w:rPr>
          <w:sz w:val="20"/>
          <w:szCs w:val="20"/>
          <w:color w:val="auto"/>
        </w:rPr>
        <w:tab/>
      </w:r>
      <w:r>
        <w:rPr>
          <w:rFonts w:ascii="Arial" w:cs="Arial" w:eastAsia="Arial" w:hAnsi="Arial"/>
          <w:sz w:val="12"/>
          <w:szCs w:val="12"/>
          <w:b w:val="1"/>
          <w:bCs w:val="1"/>
          <w:color w:val="auto"/>
        </w:rPr>
        <w:t>SOLENO THERAPEUTICS, INC.</w:t>
      </w:r>
    </w:p>
    <w:p>
      <w:pPr>
        <w:spacing w:after="0" w:line="154" w:lineRule="exact"/>
        <w:rPr>
          <w:sz w:val="20"/>
          <w:szCs w:val="20"/>
          <w:color w:val="auto"/>
        </w:rPr>
      </w:pPr>
    </w:p>
    <w:p>
      <w:pPr>
        <w:ind w:left="5080"/>
        <w:spacing w:after="0"/>
        <w:tabs>
          <w:tab w:leader="none" w:pos="5400" w:val="left"/>
        </w:tabs>
        <w:rPr>
          <w:sz w:val="20"/>
          <w:szCs w:val="20"/>
          <w:color w:val="auto"/>
        </w:rPr>
      </w:pPr>
      <w:r>
        <w:rPr>
          <w:rFonts w:ascii="Arial" w:cs="Arial" w:eastAsia="Arial" w:hAnsi="Arial"/>
          <w:sz w:val="12"/>
          <w:szCs w:val="12"/>
          <w:color w:val="auto"/>
        </w:rPr>
        <w:t>By:</w:t>
        <w:tab/>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9525</wp:posOffset>
            </wp:positionV>
            <wp:extent cx="373189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31895" cy="571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12"/>
          <w:szCs w:val="12"/>
          <w:color w:val="auto"/>
        </w:rPr>
        <w:t>James Mackaness</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(authorized officer and principal financial and</w:t>
      </w:r>
    </w:p>
    <w:p>
      <w:pPr>
        <w:spacing w:after="0" w:line="6"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accounting officer)</w:t>
      </w:r>
    </w:p>
    <w:p>
      <w:pPr>
        <w:spacing w:after="0" w:line="2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280"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CHIEF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RULES 13A-14(A) AND 15D-14(A)</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Anish Bhatnagar, M.D., certify that:</w:t>
      </w:r>
    </w:p>
    <w:p>
      <w:pPr>
        <w:spacing w:after="0" w:line="150" w:lineRule="exact"/>
        <w:rPr>
          <w:sz w:val="20"/>
          <w:szCs w:val="20"/>
          <w:color w:val="auto"/>
        </w:rPr>
      </w:pPr>
    </w:p>
    <w:p>
      <w:pPr>
        <w:ind w:left="128" w:hanging="128"/>
        <w:spacing w:after="0"/>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Soleno Therapeutics, Inc.;</w:t>
      </w:r>
    </w:p>
    <w:p>
      <w:pPr>
        <w:spacing w:after="0" w:line="150" w:lineRule="exact"/>
        <w:rPr>
          <w:rFonts w:ascii="Arial" w:cs="Arial" w:eastAsia="Arial" w:hAnsi="Arial"/>
          <w:sz w:val="12"/>
          <w:szCs w:val="12"/>
          <w:color w:val="auto"/>
        </w:rPr>
      </w:pPr>
    </w:p>
    <w:p>
      <w:pPr>
        <w:ind w:left="8" w:right="280" w:hanging="8"/>
        <w:spacing w:after="0" w:line="276" w:lineRule="auto"/>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200" w:hanging="8"/>
        <w:spacing w:after="0" w:line="276" w:lineRule="auto"/>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300" w:hanging="8"/>
        <w:spacing w:after="0" w:line="276" w:lineRule="auto"/>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508" w:right="420" w:firstLine="5"/>
        <w:spacing w:after="0" w:line="276" w:lineRule="auto"/>
        <w:tabs>
          <w:tab w:leader="none" w:pos="671"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508" w:right="160" w:firstLine="5"/>
        <w:spacing w:after="0" w:line="276" w:lineRule="auto"/>
        <w:tabs>
          <w:tab w:leader="none" w:pos="678" w:val="left"/>
        </w:tabs>
        <w:numPr>
          <w:ilvl w:val="1"/>
          <w:numId w:val="4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508" w:right="200" w:firstLine="5"/>
        <w:spacing w:after="0" w:line="276" w:lineRule="auto"/>
        <w:tabs>
          <w:tab w:leader="none" w:pos="671" w:val="left"/>
        </w:tabs>
        <w:numPr>
          <w:ilvl w:val="1"/>
          <w:numId w:val="4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508" w:right="240" w:firstLine="5"/>
        <w:spacing w:after="0" w:line="276" w:lineRule="auto"/>
        <w:tabs>
          <w:tab w:leader="none" w:pos="678" w:val="left"/>
        </w:tabs>
        <w:numPr>
          <w:ilvl w:val="1"/>
          <w:numId w:val="4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00" w:hanging="8"/>
        <w:spacing w:after="0" w:line="276" w:lineRule="auto"/>
        <w:tabs>
          <w:tab w:leader="none" w:pos="1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508" w:right="560" w:firstLine="5"/>
        <w:spacing w:after="0" w:line="276" w:lineRule="auto"/>
        <w:tabs>
          <w:tab w:leader="none" w:pos="671" w:val="left"/>
        </w:tabs>
        <w:numPr>
          <w:ilvl w:val="1"/>
          <w:numId w:val="4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688" w:hanging="175"/>
        <w:spacing w:after="0"/>
        <w:tabs>
          <w:tab w:leader="none" w:pos="688" w:val="left"/>
        </w:tabs>
        <w:numPr>
          <w:ilvl w:val="1"/>
          <w:numId w:val="4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10, 2020</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64592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Anish Bhatnagar</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President, Chief Executive Officer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8"/>
          </w:cols>
          <w:pgMar w:left="292" w:top="271" w:right="299" w:bottom="1440" w:gutter="0" w:footer="0" w:header="0"/>
        </w:sectPr>
      </w:pPr>
    </w:p>
    <w:bookmarkStart w:id="54" w:name="page55"/>
    <w:bookmarkEnd w:id="54"/>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THE CHIEF EXECUTIVE OFFICER</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RULES 13A-14(A) AND 15D-14(A)</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James Mackaness, certify that:</w:t>
      </w:r>
    </w:p>
    <w:p>
      <w:pPr>
        <w:spacing w:after="0" w:line="150" w:lineRule="exact"/>
        <w:rPr>
          <w:sz w:val="20"/>
          <w:szCs w:val="20"/>
          <w:color w:val="auto"/>
        </w:rPr>
      </w:pPr>
    </w:p>
    <w:p>
      <w:pPr>
        <w:ind w:left="128" w:hanging="128"/>
        <w:spacing w:after="0"/>
        <w:tabs>
          <w:tab w:leader="none" w:pos="128" w:val="left"/>
        </w:tabs>
        <w:numPr>
          <w:ilvl w:val="0"/>
          <w:numId w:val="4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Soleno Therapeutics, Inc.;</w:t>
      </w:r>
    </w:p>
    <w:p>
      <w:pPr>
        <w:spacing w:after="0" w:line="150" w:lineRule="exact"/>
        <w:rPr>
          <w:rFonts w:ascii="Arial" w:cs="Arial" w:eastAsia="Arial" w:hAnsi="Arial"/>
          <w:sz w:val="12"/>
          <w:szCs w:val="12"/>
          <w:color w:val="auto"/>
        </w:rPr>
      </w:pPr>
    </w:p>
    <w:p>
      <w:pPr>
        <w:ind w:left="8" w:right="280" w:hanging="8"/>
        <w:spacing w:after="0" w:line="276" w:lineRule="auto"/>
        <w:tabs>
          <w:tab w:leader="none" w:pos="128" w:val="left"/>
        </w:tabs>
        <w:numPr>
          <w:ilvl w:val="0"/>
          <w:numId w:val="4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200" w:hanging="8"/>
        <w:spacing w:after="0" w:line="276" w:lineRule="auto"/>
        <w:tabs>
          <w:tab w:leader="none" w:pos="128" w:val="left"/>
        </w:tabs>
        <w:numPr>
          <w:ilvl w:val="0"/>
          <w:numId w:val="4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300" w:hanging="8"/>
        <w:spacing w:after="0" w:line="276" w:lineRule="auto"/>
        <w:tabs>
          <w:tab w:leader="none" w:pos="128"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2" w:lineRule="exact"/>
        <w:rPr>
          <w:rFonts w:ascii="Arial" w:cs="Arial" w:eastAsia="Arial" w:hAnsi="Arial"/>
          <w:sz w:val="12"/>
          <w:szCs w:val="12"/>
          <w:color w:val="auto"/>
        </w:rPr>
      </w:pPr>
    </w:p>
    <w:p>
      <w:pPr>
        <w:ind w:left="508" w:right="420" w:firstLine="5"/>
        <w:spacing w:after="0" w:line="276" w:lineRule="auto"/>
        <w:tabs>
          <w:tab w:leader="none" w:pos="671" w:val="left"/>
        </w:tabs>
        <w:numPr>
          <w:ilvl w:val="1"/>
          <w:numId w:val="4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508" w:right="160" w:firstLine="5"/>
        <w:spacing w:after="0" w:line="276" w:lineRule="auto"/>
        <w:tabs>
          <w:tab w:leader="none" w:pos="678" w:val="left"/>
        </w:tabs>
        <w:numPr>
          <w:ilvl w:val="1"/>
          <w:numId w:val="4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508" w:right="200" w:firstLine="5"/>
        <w:spacing w:after="0" w:line="276" w:lineRule="auto"/>
        <w:tabs>
          <w:tab w:leader="none" w:pos="671" w:val="left"/>
        </w:tabs>
        <w:numPr>
          <w:ilvl w:val="1"/>
          <w:numId w:val="4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508" w:right="240" w:firstLine="5"/>
        <w:spacing w:after="0" w:line="276" w:lineRule="auto"/>
        <w:tabs>
          <w:tab w:leader="none" w:pos="678" w:val="left"/>
        </w:tabs>
        <w:numPr>
          <w:ilvl w:val="1"/>
          <w:numId w:val="4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00" w:hanging="8"/>
        <w:spacing w:after="0" w:line="276" w:lineRule="auto"/>
        <w:tabs>
          <w:tab w:leader="none" w:pos="128"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2"/>
          <w:szCs w:val="12"/>
          <w:color w:val="auto"/>
        </w:rPr>
      </w:pPr>
    </w:p>
    <w:p>
      <w:pPr>
        <w:ind w:left="508" w:right="560" w:firstLine="5"/>
        <w:spacing w:after="0" w:line="276" w:lineRule="auto"/>
        <w:tabs>
          <w:tab w:leader="none" w:pos="671" w:val="left"/>
        </w:tabs>
        <w:numPr>
          <w:ilvl w:val="1"/>
          <w:numId w:val="4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2"/>
          <w:szCs w:val="12"/>
          <w:color w:val="auto"/>
        </w:rPr>
      </w:pPr>
    </w:p>
    <w:p>
      <w:pPr>
        <w:ind w:left="688" w:hanging="175"/>
        <w:spacing w:after="0"/>
        <w:tabs>
          <w:tab w:leader="none" w:pos="688" w:val="left"/>
        </w:tabs>
        <w:numPr>
          <w:ilvl w:val="1"/>
          <w:numId w:val="4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10, 2020</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164592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James Mackaness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(principal financial and accounting officer)</w:t>
      </w:r>
    </w:p>
    <w:p>
      <w:pPr>
        <w:sectPr>
          <w:pgSz w:w="11900" w:h="16838" w:orient="portrait"/>
          <w:cols w:equalWidth="0" w:num="1">
            <w:col w:w="11308"/>
          </w:cols>
          <w:pgMar w:left="292" w:top="271"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420"/>
        <w:spacing w:after="0" w:line="323" w:lineRule="auto"/>
        <w:rPr>
          <w:sz w:val="20"/>
          <w:szCs w:val="20"/>
          <w:color w:val="auto"/>
        </w:rPr>
      </w:pPr>
      <w:r>
        <w:rPr>
          <w:rFonts w:ascii="Arial" w:cs="Arial" w:eastAsia="Arial" w:hAnsi="Arial"/>
          <w:sz w:val="11"/>
          <w:szCs w:val="11"/>
          <w:color w:val="auto"/>
        </w:rPr>
        <w:t>In connection with the Quarterly Report of Soleno Therapeutics, Inc. (the “Company”) on Form 10-Q for the fiscal quarter June 30, 2020,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20" w:lineRule="exact"/>
        <w:rPr>
          <w:sz w:val="20"/>
          <w:szCs w:val="20"/>
          <w:color w:val="auto"/>
        </w:rPr>
      </w:pPr>
    </w:p>
    <w:p>
      <w:pPr>
        <w:ind w:left="1520" w:hanging="511"/>
        <w:spacing w:after="0"/>
        <w:tabs>
          <w:tab w:leader="none" w:pos="15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520" w:hanging="511"/>
        <w:spacing w:after="0"/>
        <w:tabs>
          <w:tab w:leader="none" w:pos="15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information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 August 10,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64592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Anish Bhatnagar</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President,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ectPr>
          <w:pgSz w:w="11900" w:h="16838" w:orient="portrait"/>
          <w:cols w:equalWidth="0" w:num="1">
            <w:col w:w="11300"/>
          </w:cols>
          <w:pgMar w:left="300" w:top="271" w:right="29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 connection with the Quarterly Report of Soleno Therapeutics, Inc. (the “Company”) on Form 10-Q for the fiscal quarter ended June 30, 2020,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43" w:lineRule="exact"/>
        <w:rPr>
          <w:sz w:val="20"/>
          <w:szCs w:val="20"/>
          <w:color w:val="auto"/>
        </w:rPr>
      </w:pPr>
    </w:p>
    <w:p>
      <w:pPr>
        <w:ind w:left="1520" w:hanging="511"/>
        <w:spacing w:after="0"/>
        <w:tabs>
          <w:tab w:leader="none" w:pos="15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78" w:lineRule="exact"/>
        <w:rPr>
          <w:rFonts w:ascii="Arial" w:cs="Arial" w:eastAsia="Arial" w:hAnsi="Arial"/>
          <w:sz w:val="12"/>
          <w:szCs w:val="12"/>
          <w:color w:val="auto"/>
        </w:rPr>
      </w:pPr>
    </w:p>
    <w:p>
      <w:pPr>
        <w:ind w:left="1520" w:hanging="511"/>
        <w:spacing w:after="0"/>
        <w:tabs>
          <w:tab w:leader="none" w:pos="15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in the Report fairly presents, in all material respects, the financial condition and results of operations of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 August 10,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164592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James Mackaness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financial and accounting officer)</w:t>
      </w:r>
    </w:p>
    <w:sectPr>
      <w:pgSz w:w="11900" w:h="16838" w:orient="portrait"/>
      <w:cols w:equalWidth="0" w:num="1">
        <w:col w:w="11300"/>
      </w:cols>
      <w:pgMar w:left="300" w:top="2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2020-08-10T15:30:03Z</dcterms:created>
  <dcterms:modified xsi:type="dcterms:W3CDTF">2020-08-10T15:30:03Z</dcterms:modified>
</cp:coreProperties>
</file>