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060" w:type="dxa"/>
            <w:vAlign w:val="bottom"/>
            <w:gridSpan w:val="2"/>
            <w:vMerge w:val="restart"/>
          </w:tcPr>
          <w:p>
            <w:pPr>
              <w:spacing w:after="0"/>
              <w:rPr>
                <w:rFonts w:ascii="Arial" w:cs="Arial" w:eastAsia="Arial" w:hAnsi="Arial"/>
                <w:sz w:val="22"/>
                <w:szCs w:val="22"/>
                <w:color w:val="0000EE"/>
                <w:w w:val="95"/>
              </w:rPr>
            </w:pPr>
            <w:hyperlink r:id="rId12">
              <w:r>
                <w:rPr>
                  <w:rFonts w:ascii="Arial" w:cs="Arial" w:eastAsia="Arial" w:hAnsi="Arial"/>
                  <w:sz w:val="22"/>
                  <w:szCs w:val="22"/>
                  <w:color w:val="0000EE"/>
                  <w:w w:val="95"/>
                </w:rPr>
                <w:t>FEINBERG LARRY N</w:t>
              </w:r>
            </w:hyperlink>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SOLENO THERAPEUTICS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SLNO</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2060" w:type="dxa"/>
            <w:vAlign w:val="bottom"/>
            <w:tcBorders>
              <w:bottom w:val="single" w:sz="8" w:color="0000EE"/>
            </w:tcBorders>
            <w:gridSpan w:val="2"/>
            <w:vMerge w:val="continue"/>
          </w:tcPr>
          <w:p>
            <w:pPr>
              <w:spacing w:after="0"/>
              <w:rPr>
                <w:sz w:val="5"/>
                <w:szCs w:val="5"/>
                <w:color w:val="auto"/>
              </w:rPr>
            </w:pPr>
          </w:p>
        </w:tc>
        <w:tc>
          <w:tcPr>
            <w:tcW w:w="1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0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0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24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740" w:type="dxa"/>
            <w:vAlign w:val="bottom"/>
            <w:vMerge w:val="restart"/>
          </w:tcPr>
          <w:p>
            <w:pPr>
              <w:ind w:left="48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3080" w:type="dxa"/>
            <w:vAlign w:val="bottom"/>
            <w:gridSpan w:val="4"/>
            <w:vMerge w:val="restart"/>
          </w:tcPr>
          <w:p>
            <w:pPr>
              <w:ind w:left="160"/>
              <w:spacing w:after="0" w:line="189" w:lineRule="exact"/>
              <w:rPr>
                <w:sz w:val="20"/>
                <w:szCs w:val="20"/>
                <w:color w:val="auto"/>
              </w:rPr>
            </w:pPr>
            <w:r>
              <w:rPr>
                <w:rFonts w:ascii="Arial" w:cs="Arial" w:eastAsia="Arial" w:hAnsi="Arial"/>
                <w:sz w:val="18"/>
                <w:szCs w:val="18"/>
                <w:color w:val="0000FF"/>
              </w:rPr>
              <w:t>05/14/2018</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3080" w:type="dxa"/>
            <w:vAlign w:val="bottom"/>
            <w:gridSpan w:val="4"/>
            <w:vMerge w:val="continue"/>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200 GREENWICH AVENUE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73"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89"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GREENWICH</w:t>
            </w:r>
          </w:p>
        </w:tc>
        <w:tc>
          <w:tcPr>
            <w:tcW w:w="940" w:type="dxa"/>
            <w:vAlign w:val="bottom"/>
          </w:tcPr>
          <w:p>
            <w:pPr>
              <w:ind w:left="100"/>
              <w:spacing w:after="0"/>
              <w:rPr>
                <w:sz w:val="20"/>
                <w:szCs w:val="20"/>
                <w:color w:val="auto"/>
              </w:rPr>
            </w:pPr>
            <w:r>
              <w:rPr>
                <w:rFonts w:ascii="Arial" w:cs="Arial" w:eastAsia="Arial" w:hAnsi="Arial"/>
                <w:sz w:val="18"/>
                <w:szCs w:val="18"/>
                <w:color w:val="0000FF"/>
              </w:rPr>
              <w:t>CT</w:t>
            </w:r>
          </w:p>
        </w:tc>
        <w:tc>
          <w:tcPr>
            <w:tcW w:w="1680" w:type="dxa"/>
            <w:vAlign w:val="bottom"/>
          </w:tcPr>
          <w:p>
            <w:pPr>
              <w:ind w:left="420"/>
              <w:spacing w:after="0"/>
              <w:rPr>
                <w:sz w:val="20"/>
                <w:szCs w:val="20"/>
                <w:color w:val="auto"/>
              </w:rPr>
            </w:pPr>
            <w:r>
              <w:rPr>
                <w:rFonts w:ascii="Arial" w:cs="Arial" w:eastAsia="Arial" w:hAnsi="Arial"/>
                <w:sz w:val="18"/>
                <w:szCs w:val="18"/>
                <w:color w:val="0000FF"/>
              </w:rPr>
              <w:t>06830</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480" w:type="dxa"/>
            <w:vAlign w:val="bottom"/>
            <w:gridSpan w:val="2"/>
          </w:tcPr>
          <w:p>
            <w:pPr>
              <w:ind w:left="3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gridSpan w:val="2"/>
          </w:tcPr>
          <w:p>
            <w:pPr>
              <w:ind w:left="3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4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2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48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05/14/2018</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0000FF"/>
                <w:w w:val="87"/>
              </w:rPr>
              <w:t>40,100</w:t>
            </w:r>
          </w:p>
        </w:tc>
        <w:tc>
          <w:tcPr>
            <w:tcW w:w="500" w:type="dxa"/>
            <w:vAlign w:val="bottom"/>
            <w:vMerge w:val="restart"/>
          </w:tcPr>
          <w:p>
            <w:pPr>
              <w:ind w:left="140"/>
              <w:spacing w:after="0"/>
              <w:rPr>
                <w:sz w:val="20"/>
                <w:szCs w:val="20"/>
                <w:color w:val="auto"/>
              </w:rPr>
            </w:pPr>
            <w:r>
              <w:rPr>
                <w:rFonts w:ascii="Arial" w:cs="Arial" w:eastAsia="Arial" w:hAnsi="Arial"/>
                <w:sz w:val="18"/>
                <w:szCs w:val="18"/>
                <w:color w:val="0000FF"/>
              </w:rPr>
              <w:t>A</w:t>
            </w:r>
          </w:p>
        </w:tc>
        <w:tc>
          <w:tcPr>
            <w:tcW w:w="660" w:type="dxa"/>
            <w:vAlign w:val="bottom"/>
            <w:vMerge w:val="restart"/>
          </w:tcPr>
          <w:p>
            <w:pPr>
              <w:ind w:left="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1.7916</w:t>
            </w:r>
          </w:p>
        </w:tc>
        <w:tc>
          <w:tcPr>
            <w:tcW w:w="2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1,668,323</w:t>
            </w:r>
          </w:p>
        </w:tc>
        <w:tc>
          <w:tcPr>
            <w:tcW w:w="400" w:type="dxa"/>
            <w:vAlign w:val="bottom"/>
          </w:tcPr>
          <w:p>
            <w:pPr>
              <w:spacing w:after="0"/>
              <w:rPr>
                <w:sz w:val="22"/>
                <w:szCs w:val="22"/>
                <w:color w:val="auto"/>
              </w:rPr>
            </w:pPr>
          </w:p>
        </w:tc>
        <w:tc>
          <w:tcPr>
            <w:tcW w:w="52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340" w:type="dxa"/>
            <w:vAlign w:val="bottom"/>
          </w:tcPr>
          <w:p>
            <w:pPr>
              <w:ind w:left="60"/>
              <w:spacing w:after="0"/>
              <w:rPr>
                <w:sz w:val="20"/>
                <w:szCs w:val="20"/>
                <w:color w:val="auto"/>
              </w:rPr>
            </w:pPr>
            <w:r>
              <w:rPr>
                <w:rFonts w:ascii="Arial" w:cs="Arial" w:eastAsia="Arial" w:hAnsi="Arial"/>
                <w:sz w:val="18"/>
                <w:szCs w:val="18"/>
                <w:color w:val="0000FF"/>
                <w:w w:val="81"/>
              </w:rPr>
              <w:t>See</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120" w:type="dxa"/>
            <w:vAlign w:val="bottom"/>
            <w:gridSpan w:val="3"/>
            <w:vMerge w:val="restart"/>
          </w:tcPr>
          <w:p>
            <w:pPr>
              <w:ind w:left="60"/>
              <w:spacing w:after="0" w:line="278" w:lineRule="exact"/>
              <w:rPr>
                <w:sz w:val="20"/>
                <w:szCs w:val="20"/>
                <w:color w:val="auto"/>
              </w:rPr>
            </w:pPr>
            <w:r>
              <w:rPr>
                <w:rFonts w:ascii="Arial" w:cs="Arial" w:eastAsia="Arial" w:hAnsi="Arial"/>
                <w:sz w:val="32"/>
                <w:szCs w:val="32"/>
                <w:color w:val="0000FF"/>
                <w:w w:val="88"/>
                <w:vertAlign w:val="subscript"/>
              </w:rPr>
              <w:t>footnote</w:t>
            </w:r>
            <w:r>
              <w:rPr>
                <w:rFonts w:ascii="Arial" w:cs="Arial" w:eastAsia="Arial" w:hAnsi="Arial"/>
                <w:sz w:val="11"/>
                <w:szCs w:val="11"/>
                <w:color w:val="008000"/>
                <w:w w:val="88"/>
              </w:rPr>
              <w:t>(1)(4)(5)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tcBorders>
              <w:top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480" w:type="dxa"/>
            <w:vAlign w:val="bottom"/>
            <w:tcBorders>
              <w:top w:val="single" w:sz="8" w:color="2C2C2C"/>
            </w:tcBorders>
            <w:gridSpan w:val="2"/>
            <w:vMerge w:val="restart"/>
          </w:tcPr>
          <w:p>
            <w:pPr>
              <w:jc w:val="right"/>
              <w:ind w:right="159"/>
              <w:spacing w:after="0"/>
              <w:rPr>
                <w:sz w:val="20"/>
                <w:szCs w:val="20"/>
                <w:color w:val="auto"/>
              </w:rPr>
            </w:pPr>
            <w:r>
              <w:rPr>
                <w:rFonts w:ascii="Arial" w:cs="Arial" w:eastAsia="Arial" w:hAnsi="Arial"/>
                <w:sz w:val="18"/>
                <w:szCs w:val="18"/>
                <w:color w:val="0000FF"/>
              </w:rPr>
              <w:t>05/14/2018</w:t>
            </w:r>
          </w:p>
        </w:tc>
        <w:tc>
          <w:tcPr>
            <w:tcW w:w="2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vMerge w:val="restart"/>
          </w:tcPr>
          <w:p>
            <w:pPr>
              <w:ind w:left="140"/>
              <w:spacing w:after="0"/>
              <w:rPr>
                <w:sz w:val="20"/>
                <w:szCs w:val="20"/>
                <w:color w:val="auto"/>
              </w:rPr>
            </w:pPr>
            <w:r>
              <w:rPr>
                <w:rFonts w:ascii="Arial" w:cs="Arial" w:eastAsia="Arial" w:hAnsi="Arial"/>
                <w:sz w:val="14"/>
                <w:szCs w:val="14"/>
                <w:color w:val="0000FF"/>
              </w:rPr>
              <w:t>P</w:t>
            </w:r>
          </w:p>
        </w:tc>
        <w:tc>
          <w:tcPr>
            <w:tcW w:w="8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4"/>
              </w:rPr>
              <w:t>8,426</w:t>
            </w:r>
          </w:p>
        </w:tc>
        <w:tc>
          <w:tcPr>
            <w:tcW w:w="500" w:type="dxa"/>
            <w:vAlign w:val="bottom"/>
            <w:tcBorders>
              <w:top w:val="single" w:sz="8" w:color="2C2C2C"/>
            </w:tcBorders>
            <w:vMerge w:val="restart"/>
          </w:tcPr>
          <w:p>
            <w:pPr>
              <w:ind w:left="140"/>
              <w:spacing w:after="0"/>
              <w:rPr>
                <w:sz w:val="20"/>
                <w:szCs w:val="20"/>
                <w:color w:val="auto"/>
              </w:rPr>
            </w:pPr>
            <w:r>
              <w:rPr>
                <w:rFonts w:ascii="Arial" w:cs="Arial" w:eastAsia="Arial" w:hAnsi="Arial"/>
                <w:sz w:val="18"/>
                <w:szCs w:val="18"/>
                <w:color w:val="0000FF"/>
              </w:rPr>
              <w:t>A</w:t>
            </w:r>
          </w:p>
        </w:tc>
        <w:tc>
          <w:tcPr>
            <w:tcW w:w="66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1.7916</w:t>
            </w:r>
          </w:p>
        </w:tc>
        <w:tc>
          <w:tcPr>
            <w:tcW w:w="2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0000FF"/>
                <w:w w:val="86"/>
              </w:rPr>
              <w:t>551,167</w:t>
            </w:r>
          </w:p>
        </w:tc>
        <w:tc>
          <w:tcPr>
            <w:tcW w:w="40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w w:val="81"/>
              </w:rPr>
              <w:t>See</w:t>
            </w:r>
          </w:p>
        </w:tc>
        <w:tc>
          <w:tcPr>
            <w:tcW w:w="7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120" w:type="dxa"/>
            <w:vAlign w:val="bottom"/>
            <w:gridSpan w:val="3"/>
            <w:vMerge w:val="restart"/>
          </w:tcPr>
          <w:p>
            <w:pPr>
              <w:ind w:left="60"/>
              <w:spacing w:after="0" w:line="278" w:lineRule="exact"/>
              <w:rPr>
                <w:sz w:val="20"/>
                <w:szCs w:val="20"/>
                <w:color w:val="auto"/>
              </w:rPr>
            </w:pPr>
            <w:r>
              <w:rPr>
                <w:rFonts w:ascii="Arial" w:cs="Arial" w:eastAsia="Arial" w:hAnsi="Arial"/>
                <w:sz w:val="32"/>
                <w:szCs w:val="32"/>
                <w:color w:val="0000FF"/>
                <w:w w:val="88"/>
                <w:vertAlign w:val="subscript"/>
              </w:rPr>
              <w:t>footnote</w:t>
            </w:r>
            <w:r>
              <w:rPr>
                <w:rFonts w:ascii="Arial" w:cs="Arial" w:eastAsia="Arial" w:hAnsi="Arial"/>
                <w:sz w:val="11"/>
                <w:szCs w:val="11"/>
                <w:color w:val="008000"/>
                <w:w w:val="88"/>
              </w:rPr>
              <w:t>(2)(4)(5)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tcBorders>
              <w:top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480" w:type="dxa"/>
            <w:vAlign w:val="bottom"/>
            <w:tcBorders>
              <w:top w:val="single" w:sz="8" w:color="2C2C2C"/>
            </w:tcBorders>
            <w:gridSpan w:val="2"/>
            <w:vMerge w:val="restart"/>
          </w:tcPr>
          <w:p>
            <w:pPr>
              <w:jc w:val="right"/>
              <w:ind w:right="159"/>
              <w:spacing w:after="0"/>
              <w:rPr>
                <w:sz w:val="20"/>
                <w:szCs w:val="20"/>
                <w:color w:val="auto"/>
              </w:rPr>
            </w:pPr>
            <w:r>
              <w:rPr>
                <w:rFonts w:ascii="Arial" w:cs="Arial" w:eastAsia="Arial" w:hAnsi="Arial"/>
                <w:sz w:val="18"/>
                <w:szCs w:val="18"/>
                <w:color w:val="0000FF"/>
              </w:rPr>
              <w:t>05/15/2018</w:t>
            </w:r>
          </w:p>
        </w:tc>
        <w:tc>
          <w:tcPr>
            <w:tcW w:w="2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vMerge w:val="restart"/>
          </w:tcPr>
          <w:p>
            <w:pPr>
              <w:ind w:left="140"/>
              <w:spacing w:after="0"/>
              <w:rPr>
                <w:sz w:val="20"/>
                <w:szCs w:val="20"/>
                <w:color w:val="auto"/>
              </w:rPr>
            </w:pPr>
            <w:r>
              <w:rPr>
                <w:rFonts w:ascii="Arial" w:cs="Arial" w:eastAsia="Arial" w:hAnsi="Arial"/>
                <w:sz w:val="14"/>
                <w:szCs w:val="14"/>
                <w:color w:val="0000FF"/>
              </w:rPr>
              <w:t>P</w:t>
            </w:r>
          </w:p>
        </w:tc>
        <w:tc>
          <w:tcPr>
            <w:tcW w:w="8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4"/>
              </w:rPr>
              <w:t>1,218</w:t>
            </w:r>
          </w:p>
        </w:tc>
        <w:tc>
          <w:tcPr>
            <w:tcW w:w="500" w:type="dxa"/>
            <w:vAlign w:val="bottom"/>
            <w:tcBorders>
              <w:top w:val="single" w:sz="8" w:color="2C2C2C"/>
            </w:tcBorders>
            <w:vMerge w:val="restart"/>
          </w:tcPr>
          <w:p>
            <w:pPr>
              <w:ind w:left="140"/>
              <w:spacing w:after="0"/>
              <w:rPr>
                <w:sz w:val="20"/>
                <w:szCs w:val="20"/>
                <w:color w:val="auto"/>
              </w:rPr>
            </w:pPr>
            <w:r>
              <w:rPr>
                <w:rFonts w:ascii="Arial" w:cs="Arial" w:eastAsia="Arial" w:hAnsi="Arial"/>
                <w:sz w:val="18"/>
                <w:szCs w:val="18"/>
                <w:color w:val="0000FF"/>
              </w:rPr>
              <w:t>A</w:t>
            </w:r>
          </w:p>
        </w:tc>
        <w:tc>
          <w:tcPr>
            <w:tcW w:w="66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1.9276</w:t>
            </w:r>
          </w:p>
        </w:tc>
        <w:tc>
          <w:tcPr>
            <w:tcW w:w="2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0000FF"/>
                <w:w w:val="89"/>
              </w:rPr>
              <w:t>1,669,541</w:t>
            </w:r>
          </w:p>
        </w:tc>
        <w:tc>
          <w:tcPr>
            <w:tcW w:w="40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w w:val="81"/>
              </w:rPr>
              <w:t>See</w:t>
            </w:r>
          </w:p>
        </w:tc>
        <w:tc>
          <w:tcPr>
            <w:tcW w:w="7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120" w:type="dxa"/>
            <w:vAlign w:val="bottom"/>
            <w:gridSpan w:val="3"/>
            <w:vMerge w:val="restart"/>
          </w:tcPr>
          <w:p>
            <w:pPr>
              <w:ind w:left="60"/>
              <w:spacing w:after="0" w:line="278" w:lineRule="exact"/>
              <w:rPr>
                <w:sz w:val="20"/>
                <w:szCs w:val="20"/>
                <w:color w:val="auto"/>
              </w:rPr>
            </w:pPr>
            <w:r>
              <w:rPr>
                <w:rFonts w:ascii="Arial" w:cs="Arial" w:eastAsia="Arial" w:hAnsi="Arial"/>
                <w:sz w:val="32"/>
                <w:szCs w:val="32"/>
                <w:color w:val="0000FF"/>
                <w:w w:val="88"/>
                <w:vertAlign w:val="subscript"/>
              </w:rPr>
              <w:t>footnote</w:t>
            </w:r>
            <w:r>
              <w:rPr>
                <w:rFonts w:ascii="Arial" w:cs="Arial" w:eastAsia="Arial" w:hAnsi="Arial"/>
                <w:sz w:val="11"/>
                <w:szCs w:val="11"/>
                <w:color w:val="008000"/>
                <w:w w:val="88"/>
              </w:rPr>
              <w:t>(1)(4)(5)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tcBorders>
              <w:top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480" w:type="dxa"/>
            <w:vAlign w:val="bottom"/>
            <w:tcBorders>
              <w:top w:val="single" w:sz="8" w:color="2C2C2C"/>
            </w:tcBorders>
            <w:gridSpan w:val="2"/>
            <w:vMerge w:val="restart"/>
          </w:tcPr>
          <w:p>
            <w:pPr>
              <w:jc w:val="right"/>
              <w:ind w:right="159"/>
              <w:spacing w:after="0"/>
              <w:rPr>
                <w:sz w:val="20"/>
                <w:szCs w:val="20"/>
                <w:color w:val="auto"/>
              </w:rPr>
            </w:pPr>
            <w:r>
              <w:rPr>
                <w:rFonts w:ascii="Arial" w:cs="Arial" w:eastAsia="Arial" w:hAnsi="Arial"/>
                <w:sz w:val="18"/>
                <w:szCs w:val="18"/>
                <w:color w:val="0000FF"/>
              </w:rPr>
              <w:t>05/15/2018</w:t>
            </w:r>
          </w:p>
        </w:tc>
        <w:tc>
          <w:tcPr>
            <w:tcW w:w="2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vMerge w:val="restart"/>
          </w:tcPr>
          <w:p>
            <w:pPr>
              <w:ind w:left="140"/>
              <w:spacing w:after="0"/>
              <w:rPr>
                <w:sz w:val="20"/>
                <w:szCs w:val="20"/>
                <w:color w:val="auto"/>
              </w:rPr>
            </w:pPr>
            <w:r>
              <w:rPr>
                <w:rFonts w:ascii="Arial" w:cs="Arial" w:eastAsia="Arial" w:hAnsi="Arial"/>
                <w:sz w:val="14"/>
                <w:szCs w:val="14"/>
                <w:color w:val="0000FF"/>
              </w:rPr>
              <w:t>P</w:t>
            </w:r>
          </w:p>
        </w:tc>
        <w:tc>
          <w:tcPr>
            <w:tcW w:w="8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6"/>
              </w:rPr>
              <w:t>256</w:t>
            </w:r>
          </w:p>
        </w:tc>
        <w:tc>
          <w:tcPr>
            <w:tcW w:w="500" w:type="dxa"/>
            <w:vAlign w:val="bottom"/>
            <w:tcBorders>
              <w:top w:val="single" w:sz="8" w:color="2C2C2C"/>
            </w:tcBorders>
            <w:vMerge w:val="restart"/>
          </w:tcPr>
          <w:p>
            <w:pPr>
              <w:ind w:left="140"/>
              <w:spacing w:after="0"/>
              <w:rPr>
                <w:sz w:val="20"/>
                <w:szCs w:val="20"/>
                <w:color w:val="auto"/>
              </w:rPr>
            </w:pPr>
            <w:r>
              <w:rPr>
                <w:rFonts w:ascii="Arial" w:cs="Arial" w:eastAsia="Arial" w:hAnsi="Arial"/>
                <w:sz w:val="18"/>
                <w:szCs w:val="18"/>
                <w:color w:val="0000FF"/>
              </w:rPr>
              <w:t>A</w:t>
            </w:r>
          </w:p>
        </w:tc>
        <w:tc>
          <w:tcPr>
            <w:tcW w:w="66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1.9276</w:t>
            </w:r>
          </w:p>
        </w:tc>
        <w:tc>
          <w:tcPr>
            <w:tcW w:w="2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0000FF"/>
                <w:w w:val="86"/>
              </w:rPr>
              <w:t>551,423</w:t>
            </w:r>
          </w:p>
        </w:tc>
        <w:tc>
          <w:tcPr>
            <w:tcW w:w="40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w w:val="81"/>
              </w:rPr>
              <w:t>See</w:t>
            </w:r>
          </w:p>
        </w:tc>
        <w:tc>
          <w:tcPr>
            <w:tcW w:w="7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120" w:type="dxa"/>
            <w:vAlign w:val="bottom"/>
            <w:gridSpan w:val="3"/>
            <w:vMerge w:val="restart"/>
          </w:tcPr>
          <w:p>
            <w:pPr>
              <w:ind w:left="60"/>
              <w:spacing w:after="0" w:line="278" w:lineRule="exact"/>
              <w:rPr>
                <w:sz w:val="20"/>
                <w:szCs w:val="20"/>
                <w:color w:val="auto"/>
              </w:rPr>
            </w:pPr>
            <w:r>
              <w:rPr>
                <w:rFonts w:ascii="Arial" w:cs="Arial" w:eastAsia="Arial" w:hAnsi="Arial"/>
                <w:sz w:val="32"/>
                <w:szCs w:val="32"/>
                <w:color w:val="0000FF"/>
                <w:w w:val="88"/>
                <w:vertAlign w:val="subscript"/>
              </w:rPr>
              <w:t>footnote</w:t>
            </w:r>
            <w:r>
              <w:rPr>
                <w:rFonts w:ascii="Arial" w:cs="Arial" w:eastAsia="Arial" w:hAnsi="Arial"/>
                <w:sz w:val="11"/>
                <w:szCs w:val="11"/>
                <w:color w:val="008000"/>
                <w:w w:val="88"/>
              </w:rPr>
              <w:t>(2)(4)(5)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tcBorders>
              <w:top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1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0000FF"/>
                <w:w w:val="86"/>
              </w:rPr>
              <w:t>217,096</w:t>
            </w:r>
          </w:p>
        </w:tc>
        <w:tc>
          <w:tcPr>
            <w:tcW w:w="40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w w:val="81"/>
              </w:rPr>
              <w:t>See</w:t>
            </w:r>
          </w:p>
        </w:tc>
        <w:tc>
          <w:tcPr>
            <w:tcW w:w="7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120" w:type="dxa"/>
            <w:vAlign w:val="bottom"/>
            <w:gridSpan w:val="3"/>
            <w:vMerge w:val="restart"/>
          </w:tcPr>
          <w:p>
            <w:pPr>
              <w:ind w:left="60"/>
              <w:spacing w:after="0" w:line="278" w:lineRule="exact"/>
              <w:rPr>
                <w:sz w:val="20"/>
                <w:szCs w:val="20"/>
                <w:color w:val="auto"/>
              </w:rPr>
            </w:pPr>
            <w:r>
              <w:rPr>
                <w:rFonts w:ascii="Arial" w:cs="Arial" w:eastAsia="Arial" w:hAnsi="Arial"/>
                <w:sz w:val="32"/>
                <w:szCs w:val="32"/>
                <w:color w:val="0000FF"/>
                <w:w w:val="88"/>
                <w:vertAlign w:val="subscript"/>
              </w:rPr>
              <w:t>footnote</w:t>
            </w:r>
            <w:r>
              <w:rPr>
                <w:rFonts w:ascii="Arial" w:cs="Arial" w:eastAsia="Arial" w:hAnsi="Arial"/>
                <w:sz w:val="11"/>
                <w:szCs w:val="11"/>
                <w:color w:val="008000"/>
                <w:w w:val="88"/>
              </w:rPr>
              <w:t>(3)(4)(5)</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gridSpan w:val="2"/>
            <w:vMerge w:val="continue"/>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5"/>
          </w:tcPr>
          <w:p>
            <w:pPr>
              <w:ind w:left="1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4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20" w:type="dxa"/>
            <w:vAlign w:val="bottom"/>
            <w:gridSpan w:val="13"/>
          </w:tcPr>
          <w:p>
            <w:pPr>
              <w:ind w:left="5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59"/>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39"/>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400" w:type="dxa"/>
            <w:vAlign w:val="bottom"/>
          </w:tcPr>
          <w:p>
            <w:pPr>
              <w:spacing w:after="0"/>
              <w:rPr>
                <w:sz w:val="11"/>
                <w:szCs w:val="11"/>
                <w:color w:val="auto"/>
              </w:rPr>
            </w:pP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3"/>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4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11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FEINBERG LARRY N</w:t>
              </w:r>
            </w:hyperlink>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00" w:type="dxa"/>
            <w:vAlign w:val="bottom"/>
          </w:tcPr>
          <w:p>
            <w:pPr>
              <w:ind w:left="280"/>
              <w:spacing w:after="0"/>
              <w:rPr>
                <w:sz w:val="20"/>
                <w:szCs w:val="20"/>
                <w:color w:val="auto"/>
              </w:rPr>
            </w:pPr>
            <w:r>
              <w:rPr>
                <w:rFonts w:ascii="Arial" w:cs="Arial" w:eastAsia="Arial" w:hAnsi="Arial"/>
                <w:sz w:val="14"/>
                <w:szCs w:val="14"/>
                <w:color w:val="auto"/>
              </w:rPr>
              <w:t>(Middle)</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5"/>
          </w:tcPr>
          <w:p>
            <w:pPr>
              <w:spacing w:after="0"/>
              <w:rPr>
                <w:sz w:val="20"/>
                <w:szCs w:val="20"/>
                <w:color w:val="auto"/>
              </w:rPr>
            </w:pPr>
            <w:r>
              <w:rPr>
                <w:rFonts w:ascii="Arial" w:cs="Arial" w:eastAsia="Arial" w:hAnsi="Arial"/>
                <w:sz w:val="18"/>
                <w:szCs w:val="18"/>
                <w:color w:val="0000FF"/>
              </w:rPr>
              <w:t>200 GREENWICH AVENUE</w:t>
            </w: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GREENWICH</w:t>
            </w:r>
          </w:p>
        </w:tc>
        <w:tc>
          <w:tcPr>
            <w:tcW w:w="1200" w:type="dxa"/>
            <w:vAlign w:val="bottom"/>
            <w:gridSpan w:val="3"/>
          </w:tcPr>
          <w:p>
            <w:pPr>
              <w:ind w:left="20"/>
              <w:spacing w:after="0"/>
              <w:rPr>
                <w:sz w:val="20"/>
                <w:szCs w:val="20"/>
                <w:color w:val="auto"/>
              </w:rPr>
            </w:pPr>
            <w:r>
              <w:rPr>
                <w:rFonts w:ascii="Arial" w:cs="Arial" w:eastAsia="Arial" w:hAnsi="Arial"/>
                <w:sz w:val="18"/>
                <w:szCs w:val="18"/>
                <w:color w:val="0000FF"/>
              </w:rPr>
              <w:t>CT</w:t>
            </w:r>
          </w:p>
        </w:tc>
        <w:tc>
          <w:tcPr>
            <w:tcW w:w="1100" w:type="dxa"/>
            <w:vAlign w:val="bottom"/>
          </w:tcPr>
          <w:p>
            <w:pPr>
              <w:ind w:left="280"/>
              <w:spacing w:after="0"/>
              <w:rPr>
                <w:sz w:val="20"/>
                <w:szCs w:val="20"/>
                <w:color w:val="auto"/>
              </w:rPr>
            </w:pPr>
            <w:r>
              <w:rPr>
                <w:rFonts w:ascii="Arial" w:cs="Arial" w:eastAsia="Arial" w:hAnsi="Arial"/>
                <w:sz w:val="18"/>
                <w:szCs w:val="18"/>
                <w:color w:val="0000FF"/>
              </w:rPr>
              <w:t>06830</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00" w:type="dxa"/>
            <w:vAlign w:val="bottom"/>
          </w:tcPr>
          <w:p>
            <w:pPr>
              <w:ind w:left="280"/>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ORACLE PARTNERS LP</w:t>
              </w:r>
            </w:hyperlink>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00" w:type="dxa"/>
            <w:vAlign w:val="bottom"/>
          </w:tcPr>
          <w:p>
            <w:pPr>
              <w:ind w:left="280"/>
              <w:spacing w:after="0"/>
              <w:rPr>
                <w:sz w:val="20"/>
                <w:szCs w:val="20"/>
                <w:color w:val="auto"/>
              </w:rPr>
            </w:pPr>
            <w:r>
              <w:rPr>
                <w:rFonts w:ascii="Arial" w:cs="Arial" w:eastAsia="Arial" w:hAnsi="Arial"/>
                <w:sz w:val="14"/>
                <w:szCs w:val="14"/>
                <w:color w:val="auto"/>
              </w:rPr>
              <w:t>(Middle)</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ORACLE INVESTMENT MANAGEMENT, INC.</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200 GREENWICH AVENUE</w:t>
      </w:r>
    </w:p>
    <w:p>
      <w:pPr>
        <w:sectPr>
          <w:pgSz w:w="11900" w:h="16838" w:orient="portrait"/>
          <w:cols w:equalWidth="0" w:num="1">
            <w:col w:w="11420"/>
          </w:cols>
          <w:pgMar w:left="240" w:top="226" w:right="239" w:bottom="0" w:gutter="0" w:footer="0" w:header="0"/>
          <w:type w:val="continuous"/>
        </w:sectPr>
      </w:pPr>
    </w:p>
    <w:p>
      <w:pPr>
        <w:spacing w:after="0" w:line="300"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222"/>
        </w:trPr>
        <w:tc>
          <w:tcPr>
            <w:tcW w:w="1260" w:type="dxa"/>
            <w:vAlign w:val="bottom"/>
          </w:tcPr>
          <w:p>
            <w:pPr>
              <w:spacing w:after="0"/>
              <w:rPr>
                <w:sz w:val="20"/>
                <w:szCs w:val="20"/>
                <w:color w:val="auto"/>
              </w:rPr>
            </w:pPr>
            <w:r>
              <w:rPr>
                <w:rFonts w:ascii="Arial" w:cs="Arial" w:eastAsia="Arial" w:hAnsi="Arial"/>
                <w:sz w:val="18"/>
                <w:szCs w:val="18"/>
                <w:color w:val="0000FF"/>
              </w:rPr>
              <w:t>GREENWICH</w:t>
            </w:r>
          </w:p>
        </w:tc>
        <w:tc>
          <w:tcPr>
            <w:tcW w:w="1140" w:type="dxa"/>
            <w:vAlign w:val="bottom"/>
          </w:tcPr>
          <w:p>
            <w:pPr>
              <w:ind w:left="200"/>
              <w:spacing w:after="0"/>
              <w:rPr>
                <w:sz w:val="20"/>
                <w:szCs w:val="20"/>
                <w:color w:val="auto"/>
              </w:rPr>
            </w:pPr>
            <w:r>
              <w:rPr>
                <w:rFonts w:ascii="Arial" w:cs="Arial" w:eastAsia="Arial" w:hAnsi="Arial"/>
                <w:sz w:val="18"/>
                <w:szCs w:val="18"/>
                <w:color w:val="0000FF"/>
              </w:rPr>
              <w:t>CT</w:t>
            </w:r>
          </w:p>
        </w:tc>
        <w:tc>
          <w:tcPr>
            <w:tcW w:w="1940" w:type="dxa"/>
            <w:vAlign w:val="bottom"/>
          </w:tcPr>
          <w:p>
            <w:pPr>
              <w:ind w:left="520"/>
              <w:spacing w:after="0"/>
              <w:rPr>
                <w:sz w:val="20"/>
                <w:szCs w:val="20"/>
                <w:color w:val="auto"/>
              </w:rPr>
            </w:pPr>
            <w:r>
              <w:rPr>
                <w:rFonts w:ascii="Arial" w:cs="Arial" w:eastAsia="Arial" w:hAnsi="Arial"/>
                <w:sz w:val="18"/>
                <w:szCs w:val="18"/>
                <w:color w:val="0000FF"/>
              </w:rPr>
              <w:t>06830</w:t>
            </w:r>
          </w:p>
        </w:tc>
      </w:tr>
      <w:tr>
        <w:trPr>
          <w:trHeight w:val="158"/>
        </w:trPr>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20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-445135</wp:posOffset>
            </wp:positionV>
            <wp:extent cx="2924175" cy="527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52705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are owned by Oracle Partners, LP. ("Partners").</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are owned by Oracle Ten Fund, L.P. ("Ten Fund").</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are owned by Oracle Institutional Partners, L.P. ("Institutional Partners").</w:t>
      </w:r>
    </w:p>
    <w:p>
      <w:pPr>
        <w:spacing w:after="0" w:line="41" w:lineRule="exact"/>
        <w:rPr>
          <w:rFonts w:ascii="Arial" w:cs="Arial" w:eastAsia="Arial" w:hAnsi="Arial"/>
          <w:sz w:val="14"/>
          <w:szCs w:val="14"/>
          <w:color w:val="008000"/>
        </w:rPr>
      </w:pPr>
    </w:p>
    <w:p>
      <w:pPr>
        <w:ind w:firstLine="9"/>
        <w:spacing w:after="0" w:line="228"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Larry N. Feinberg serves as the managing member of Oracle Associates, LLC, the general partner of Partners, Institutional Partners and Ten Fund, and accordingly, may be deemed to be the indirect beneficial owner of the shares beneficially owned by Partners, Institutional Partners and Ten Fund. Mr. Feinberg is the sole shareholder, director and president of Oracle Investment Management, Inc., which serves as investment manager to Partners, Institutional Partners and Ten Fund, and accordingly, may be deemed to be the beneficial owner of the shares beneficially owned by Partners, Institutional Partners and Ten Fund. Each of the Reporting Persons identified in this statement disclaims beneficial ownership of the securities described in this statement, except to the extent of their individual respective pecuniary interest in such securities.</w:t>
      </w:r>
    </w:p>
    <w:p>
      <w:pPr>
        <w:spacing w:after="0" w:line="32" w:lineRule="exact"/>
        <w:rPr>
          <w:rFonts w:ascii="Arial" w:cs="Arial" w:eastAsia="Arial" w:hAnsi="Arial"/>
          <w:sz w:val="14"/>
          <w:szCs w:val="14"/>
          <w:color w:val="008000"/>
        </w:rPr>
      </w:pPr>
    </w:p>
    <w:p>
      <w:pPr>
        <w:ind w:right="24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filing of this statement shall not be deemed an admission that any of the Reporting Persons identified in this statement are, for purposes of Section 16 of the Exchange Act or otherwise, the beneficial owner of any securities specified in this statement other than those directly beneficially owned by them.</w:t>
      </w:r>
    </w:p>
    <w:p>
      <w:pPr>
        <w:spacing w:after="0" w:line="37"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180" w:type="dxa"/>
            <w:vAlign w:val="bottom"/>
            <w:gridSpan w:val="6"/>
          </w:tcPr>
          <w:p>
            <w:pPr>
              <w:spacing w:after="0"/>
              <w:rPr>
                <w:sz w:val="20"/>
                <w:szCs w:val="20"/>
                <w:color w:val="auto"/>
              </w:rPr>
            </w:pPr>
            <w:r>
              <w:rPr>
                <w:rFonts w:ascii="Arial" w:cs="Arial" w:eastAsia="Arial" w:hAnsi="Arial"/>
                <w:sz w:val="18"/>
                <w:szCs w:val="18"/>
                <w:color w:val="0000FF"/>
              </w:rPr>
              <w:t>/s/ Larry N. Feinberg</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05/16/2018</w:t>
            </w:r>
          </w:p>
        </w:tc>
      </w:tr>
      <w:tr>
        <w:trPr>
          <w:trHeight w:val="20"/>
        </w:trPr>
        <w:tc>
          <w:tcPr>
            <w:tcW w:w="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50"/>
        </w:trPr>
        <w:tc>
          <w:tcPr>
            <w:tcW w:w="20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90"/>
              </w:rPr>
              <w:t>ORACLE PARTNERS, L.P.,</w:t>
            </w:r>
          </w:p>
        </w:tc>
        <w:tc>
          <w:tcPr>
            <w:tcW w:w="14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96"/>
        </w:trPr>
        <w:tc>
          <w:tcPr>
            <w:tcW w:w="204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0000FF"/>
                <w:w w:val="90"/>
              </w:rPr>
              <w:t>By: Oracle Associates, LLC,</w:t>
            </w:r>
          </w:p>
        </w:tc>
        <w:tc>
          <w:tcPr>
            <w:tcW w:w="1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2180" w:type="dxa"/>
            <w:vAlign w:val="bottom"/>
            <w:gridSpan w:val="6"/>
          </w:tcPr>
          <w:p>
            <w:pPr>
              <w:spacing w:after="0" w:line="196" w:lineRule="exact"/>
              <w:rPr>
                <w:sz w:val="20"/>
                <w:szCs w:val="20"/>
                <w:color w:val="auto"/>
              </w:rPr>
            </w:pPr>
            <w:r>
              <w:rPr>
                <w:rFonts w:ascii="Arial" w:cs="Arial" w:eastAsia="Arial" w:hAnsi="Arial"/>
                <w:sz w:val="18"/>
                <w:szCs w:val="18"/>
                <w:color w:val="0000FF"/>
              </w:rPr>
              <w:t>its General Partner, By: /s/</w:t>
            </w:r>
          </w:p>
        </w:tc>
        <w:tc>
          <w:tcPr>
            <w:tcW w:w="920" w:type="dxa"/>
            <w:vAlign w:val="bottom"/>
            <w:gridSpan w:val="2"/>
          </w:tcPr>
          <w:p>
            <w:pPr>
              <w:ind w:left="120"/>
              <w:spacing w:after="0" w:line="196" w:lineRule="exact"/>
              <w:rPr>
                <w:sz w:val="20"/>
                <w:szCs w:val="20"/>
                <w:color w:val="auto"/>
              </w:rPr>
            </w:pPr>
            <w:r>
              <w:rPr>
                <w:rFonts w:ascii="Arial" w:cs="Arial" w:eastAsia="Arial" w:hAnsi="Arial"/>
                <w:sz w:val="18"/>
                <w:szCs w:val="18"/>
                <w:color w:val="0000FF"/>
                <w:w w:val="86"/>
              </w:rPr>
              <w:t>05/16/2018</w:t>
            </w:r>
          </w:p>
        </w:tc>
      </w:tr>
      <w:tr>
        <w:trPr>
          <w:trHeight w:val="20"/>
        </w:trPr>
        <w:tc>
          <w:tcPr>
            <w:tcW w:w="600" w:type="dxa"/>
            <w:vAlign w:val="bottom"/>
            <w:shd w:val="clear" w:color="auto" w:fill="000000"/>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196"/>
        </w:trPr>
        <w:tc>
          <w:tcPr>
            <w:tcW w:w="208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0000FF"/>
                <w:w w:val="89"/>
              </w:rPr>
              <w:t>Larry N. Feinberg, Managing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2180" w:type="dxa"/>
            <w:vAlign w:val="bottom"/>
            <w:gridSpan w:val="6"/>
          </w:tcPr>
          <w:p>
            <w:pPr>
              <w:spacing w:after="0" w:line="196" w:lineRule="exact"/>
              <w:rPr>
                <w:sz w:val="20"/>
                <w:szCs w:val="20"/>
                <w:color w:val="auto"/>
              </w:rPr>
            </w:pPr>
            <w:r>
              <w:rPr>
                <w:rFonts w:ascii="Arial" w:cs="Arial" w:eastAsia="Arial" w:hAnsi="Arial"/>
                <w:sz w:val="18"/>
                <w:szCs w:val="18"/>
                <w:color w:val="0000FF"/>
              </w:rPr>
              <w:t>Member</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236"/>
        </w:trPr>
        <w:tc>
          <w:tcPr>
            <w:tcW w:w="2180" w:type="dxa"/>
            <w:vAlign w:val="bottom"/>
            <w:gridSpan w:val="6"/>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3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0926475" TargetMode="External"/><Relationship Id="rId13" Type="http://schemas.openxmlformats.org/officeDocument/2006/relationships/hyperlink" Target="http://www.sec.gov/cgi-bin/browse-edgar?action=getcompany&amp;CIK=0001484565" TargetMode="External"/><Relationship Id="rId14" Type="http://schemas.openxmlformats.org/officeDocument/2006/relationships/hyperlink" Target="http://www.sec.gov/cgi-bin/browse-edgar?action=getcompany&amp;CIK=00009419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2019-12-07T17:47:00Z</dcterms:created>
  <dcterms:modified xsi:type="dcterms:W3CDTF">2019-12-07T17:47:00Z</dcterms:modified>
</cp:coreProperties>
</file>