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00" w:right="260" w:hanging="492"/>
        <w:spacing w:after="0" w:line="237"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00" w:right="240" w:hanging="492"/>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980" w:type="dxa"/>
            <w:vAlign w:val="bottom"/>
          </w:tcPr>
          <w:p>
            <w:pPr>
              <w:jc w:val="center"/>
              <w:ind w:left="158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7"/>
                <w:szCs w:val="17"/>
                <w:b w:val="1"/>
                <w:bCs w:val="1"/>
                <w:color w:val="auto"/>
                <w:w w:val="99"/>
              </w:rPr>
              <w:t>77-0523891</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8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80" w:type="dxa"/>
            <w:vAlign w:val="bottom"/>
          </w:tcPr>
          <w:p>
            <w:pPr>
              <w:jc w:val="center"/>
              <w:ind w:left="15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4"/>
        </w:trPr>
        <w:tc>
          <w:tcPr>
            <w:tcW w:w="3980" w:type="dxa"/>
            <w:vAlign w:val="bottom"/>
          </w:tcPr>
          <w:p>
            <w:pPr>
              <w:spacing w:after="0"/>
              <w:rPr>
                <w:sz w:val="22"/>
                <w:szCs w:val="22"/>
                <w:color w:val="auto"/>
              </w:rPr>
            </w:pPr>
          </w:p>
        </w:tc>
        <w:tc>
          <w:tcPr>
            <w:tcW w:w="338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203 Redwood Shores Parkway, Suite 500</w:t>
            </w:r>
          </w:p>
        </w:tc>
        <w:tc>
          <w:tcPr>
            <w:tcW w:w="3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gridSpan w:val="4"/>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w w:val="99"/>
              </w:rPr>
              <w:t>Redwood City, California</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3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80" w:type="dxa"/>
            <w:vAlign w:val="bottom"/>
          </w:tcPr>
          <w:p>
            <w:pPr>
              <w:spacing w:after="0"/>
              <w:rPr>
                <w:sz w:val="19"/>
                <w:szCs w:val="19"/>
                <w:color w:val="auto"/>
              </w:rPr>
            </w:pPr>
          </w:p>
        </w:tc>
        <w:tc>
          <w:tcPr>
            <w:tcW w:w="2560" w:type="dxa"/>
            <w:vAlign w:val="bottom"/>
            <w:gridSpan w:val="3"/>
          </w:tcPr>
          <w:p>
            <w:pPr>
              <w:jc w:val="right"/>
              <w:ind w:right="625"/>
              <w:spacing w:after="0"/>
              <w:rPr>
                <w:sz w:val="20"/>
                <w:szCs w:val="20"/>
                <w:color w:val="auto"/>
              </w:rPr>
            </w:pPr>
            <w:r>
              <w:rPr>
                <w:rFonts w:ascii="Times New Roman" w:cs="Times New Roman" w:eastAsia="Times New Roman" w:hAnsi="Times New Roman"/>
                <w:sz w:val="17"/>
                <w:szCs w:val="17"/>
                <w:b w:val="1"/>
                <w:bCs w:val="1"/>
                <w:color w:val="auto"/>
              </w:rPr>
              <w:t>94065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80" w:type="dxa"/>
            <w:vAlign w:val="bottom"/>
          </w:tcPr>
          <w:p>
            <w:pPr>
              <w:spacing w:after="0"/>
              <w:rPr>
                <w:sz w:val="19"/>
                <w:szCs w:val="19"/>
                <w:color w:val="auto"/>
              </w:rPr>
            </w:pPr>
          </w:p>
        </w:tc>
        <w:tc>
          <w:tcPr>
            <w:tcW w:w="2560" w:type="dxa"/>
            <w:vAlign w:val="bottom"/>
            <w:gridSpan w:val="3"/>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(650) 213-8444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33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98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5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3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jc w:val="center"/>
              <w:ind w:right="74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SLNO</w:t>
            </w:r>
          </w:p>
        </w:tc>
        <w:tc>
          <w:tcPr>
            <w:tcW w:w="820" w:type="dxa"/>
            <w:vAlign w:val="bottom"/>
            <w:tcBorders>
              <w:bottom w:val="single" w:sz="8" w:color="auto"/>
            </w:tcBorders>
            <w:gridSpan w:val="2"/>
          </w:tcPr>
          <w:p>
            <w:pPr>
              <w:spacing w:after="0"/>
              <w:rPr>
                <w:sz w:val="18"/>
                <w:szCs w:val="18"/>
                <w:color w:val="auto"/>
              </w:rPr>
            </w:pPr>
          </w:p>
        </w:tc>
        <w:tc>
          <w:tcPr>
            <w:tcW w:w="3900" w:type="dxa"/>
            <w:vAlign w:val="bottom"/>
            <w:tcBorders>
              <w:bottom w:val="single" w:sz="8" w:color="auto"/>
              <w:right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color w:val="auto"/>
                <w:w w:val="99"/>
              </w:rPr>
              <w:t>NASDAQ</w:t>
            </w:r>
          </w:p>
        </w:tc>
        <w:tc>
          <w:tcPr>
            <w:tcW w:w="0" w:type="dxa"/>
            <w:vAlign w:val="bottom"/>
          </w:tcPr>
          <w:p>
            <w:pPr>
              <w:spacing w:after="0"/>
              <w:rPr>
                <w:sz w:val="1"/>
                <w:szCs w:val="1"/>
                <w:color w:val="auto"/>
              </w:rPr>
            </w:pPr>
          </w:p>
        </w:tc>
      </w:tr>
    </w:tbl>
    <w:p>
      <w:pPr>
        <w:spacing w:after="0" w:line="50" w:lineRule="exact"/>
        <w:rPr>
          <w:sz w:val="24"/>
          <w:szCs w:val="24"/>
          <w:color w:val="auto"/>
        </w:rPr>
      </w:pPr>
    </w:p>
    <w:p>
      <w:pPr>
        <w:ind w:right="140" w:firstLine="51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2" w:lineRule="exact"/>
        <w:rPr>
          <w:sz w:val="24"/>
          <w:szCs w:val="24"/>
          <w:color w:val="auto"/>
        </w:rPr>
      </w:pPr>
    </w:p>
    <w:p>
      <w:pPr>
        <w:ind w:right="360" w:firstLine="51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right="480" w:firstLine="51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6" w:lineRule="exact"/>
        <w:rPr>
          <w:sz w:val="24"/>
          <w:szCs w:val="24"/>
          <w:color w:val="auto"/>
        </w:rPr>
      </w:pPr>
    </w:p>
    <w:p>
      <w:pPr>
        <w:ind w:right="120" w:firstLine="51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0" w:lineRule="exact"/>
        <w:rPr>
          <w:sz w:val="24"/>
          <w:szCs w:val="24"/>
          <w:color w:val="auto"/>
        </w:rPr>
      </w:pPr>
    </w:p>
    <w:p>
      <w:pPr>
        <w:jc w:val="both"/>
        <w:ind w:left="520" w:right="308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4, 2022, there were 121,518,816 shares of the registrant’s Common Stock, par value $0.001 per share, outstanding</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2"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I—FINANCIAL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9200" w:type="dxa"/>
            <w:vAlign w:val="bottom"/>
            <w:gridSpan w:val="23"/>
            <w:vMerge w:val="continue"/>
          </w:tcPr>
          <w:p>
            <w:pPr>
              <w:spacing w:after="0"/>
              <w:rPr>
                <w:sz w:val="16"/>
                <w:szCs w:val="16"/>
                <w:color w:val="auto"/>
              </w:rPr>
            </w:pPr>
          </w:p>
        </w:tc>
        <w:tc>
          <w:tcPr>
            <w:tcW w:w="2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w:t>
            </w:r>
          </w:p>
        </w:tc>
        <w:tc>
          <w:tcPr>
            <w:tcW w:w="660" w:type="dxa"/>
            <w:vAlign w:val="bottom"/>
            <w:tcBorders>
              <w:top w:val="single" w:sz="8" w:color="0000EE"/>
            </w:tcBorders>
            <w:gridSpan w:val="4"/>
          </w:tcPr>
          <w:p>
            <w:pPr>
              <w:spacing w:after="0"/>
              <w:rPr>
                <w:sz w:val="17"/>
                <w:szCs w:val="17"/>
                <w:color w:val="auto"/>
              </w:rPr>
            </w:pPr>
          </w:p>
        </w:tc>
        <w:tc>
          <w:tcPr>
            <w:tcW w:w="6040" w:type="dxa"/>
            <w:vAlign w:val="bottom"/>
            <w:gridSpan w:val="1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(unaudited)</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1120" w:type="dxa"/>
            <w:vAlign w:val="bottom"/>
            <w:tcBorders>
              <w:top w:val="single" w:sz="8" w:color="0000EE"/>
            </w:tcBorders>
          </w:tcPr>
          <w:p>
            <w:pPr>
              <w:spacing w:after="0"/>
              <w:rPr>
                <w:sz w:val="17"/>
                <w:szCs w:val="17"/>
                <w:color w:val="auto"/>
              </w:rPr>
            </w:pPr>
          </w:p>
        </w:tc>
        <w:tc>
          <w:tcPr>
            <w:tcW w:w="194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374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46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7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384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Controls and Procedures</w:t>
            </w:r>
          </w:p>
        </w:tc>
        <w:tc>
          <w:tcPr>
            <w:tcW w:w="6420" w:type="dxa"/>
            <w:vAlign w:val="bottom"/>
            <w:gridSpan w:val="1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II—OTHER INFORMATION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 Legal Proceedings</w:t>
            </w:r>
          </w:p>
        </w:tc>
        <w:tc>
          <w:tcPr>
            <w:tcW w:w="6340" w:type="dxa"/>
            <w:vAlign w:val="bottom"/>
            <w:gridSpan w:val="11"/>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6880" w:type="dxa"/>
            <w:vAlign w:val="bottom"/>
            <w:gridSpan w:val="1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2020" w:type="dxa"/>
            <w:vAlign w:val="bottom"/>
            <w:tcBorders>
              <w:top w:val="single" w:sz="8" w:color="0000EE"/>
            </w:tcBorders>
            <w:gridSpan w:val="2"/>
          </w:tcPr>
          <w:p>
            <w:pPr>
              <w:spacing w:after="0"/>
              <w:rPr>
                <w:sz w:val="17"/>
                <w:szCs w:val="17"/>
                <w:color w:val="auto"/>
              </w:rPr>
            </w:pPr>
          </w:p>
        </w:tc>
        <w:tc>
          <w:tcPr>
            <w:tcW w:w="3860" w:type="dxa"/>
            <w:vAlign w:val="bottom"/>
            <w:gridSpan w:val="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440" w:type="dxa"/>
            <w:vAlign w:val="bottom"/>
            <w:gridSpan w:val="1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2"/>
          </w:tcPr>
          <w:p>
            <w:pPr>
              <w:spacing w:after="0"/>
              <w:rPr>
                <w:sz w:val="17"/>
                <w:szCs w:val="17"/>
                <w:color w:val="auto"/>
              </w:rPr>
            </w:pPr>
          </w:p>
        </w:tc>
        <w:tc>
          <w:tcPr>
            <w:tcW w:w="6900" w:type="dxa"/>
            <w:vAlign w:val="bottom"/>
            <w:gridSpan w:val="1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EXHIBIT INDEX</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7800" w:type="dxa"/>
            <w:vAlign w:val="bottom"/>
            <w:gridSpan w:val="19"/>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712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40" w:type="dxa"/>
            <w:vAlign w:val="bottom"/>
          </w:tcPr>
          <w:p>
            <w:pPr>
              <w:spacing w:after="0"/>
              <w:rPr>
                <w:sz w:val="24"/>
                <w:szCs w:val="24"/>
                <w:color w:val="auto"/>
              </w:rPr>
            </w:pPr>
          </w:p>
        </w:tc>
        <w:tc>
          <w:tcPr>
            <w:tcW w:w="712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Soleno Therapeutics, Inc.</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712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7120" w:type="dxa"/>
            <w:vAlign w:val="bottom"/>
          </w:tcPr>
          <w:p>
            <w:pPr>
              <w:jc w:val="center"/>
              <w:ind w:left="275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4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 w:type="dxa"/>
            <w:vAlign w:val="bottom"/>
            <w:tcBorders>
              <w:bottom w:val="single" w:sz="8" w:color="CFF0FC"/>
            </w:tcBorders>
          </w:tcPr>
          <w:p>
            <w:pPr>
              <w:spacing w:after="0"/>
              <w:rPr>
                <w:sz w:val="15"/>
                <w:szCs w:val="15"/>
                <w:color w:val="auto"/>
              </w:rPr>
            </w:pPr>
          </w:p>
        </w:tc>
        <w:tc>
          <w:tcPr>
            <w:tcW w:w="7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shd w:val="clear" w:color="auto" w:fill="CFF0FC"/>
          </w:tcPr>
          <w:p>
            <w:pPr>
              <w:spacing w:after="0"/>
              <w:rPr>
                <w:sz w:val="19"/>
                <w:szCs w:val="19"/>
                <w:color w:val="auto"/>
              </w:rPr>
            </w:pPr>
          </w:p>
        </w:tc>
        <w:tc>
          <w:tcPr>
            <w:tcW w:w="7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80" w:type="dxa"/>
            <w:vAlign w:val="bottom"/>
          </w:tcPr>
          <w:p>
            <w:pPr>
              <w:spacing w:after="0"/>
              <w:rPr>
                <w:sz w:val="19"/>
                <w:szCs w:val="19"/>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$0.001 par value, 250,000,000 shares authorized,</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120,088,816 and 79,864,310 shares issued and outstanding at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(225,804)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(213,355)</w:t>
            </w: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3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120,088,816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79,747,506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100,165,432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79,721,290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214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1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January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79,864,310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279,757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withholding payments for net share-settled equity</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awards</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 of common stock and pre-funded warrants in public</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offering, net of costs of $1,034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Balances at March 31, 2022</w:t>
            </w: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120,088,816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(219,079)</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30,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120,088,816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450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500" w:type="dxa"/>
            <w:vAlign w:val="bottom"/>
          </w:tcPr>
          <w:p>
            <w:pPr>
              <w:spacing w:after="0"/>
              <w:rPr>
                <w:sz w:val="13"/>
                <w:szCs w:val="13"/>
                <w:color w:val="auto"/>
              </w:rPr>
            </w:pPr>
          </w:p>
        </w:tc>
        <w:tc>
          <w:tcPr>
            <w:tcW w:w="11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79,615,692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(182,445)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r>
      <w:tr>
        <w:trPr>
          <w:trHeight w:val="211"/>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167,060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withholding payments for net share-settled equity</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awards</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(59,072)</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(8,954)</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2021</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79,723,680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37,568</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FF0FC"/>
          </w:tcPr>
          <w:p>
            <w:pPr>
              <w:spacing w:after="0"/>
              <w:rPr>
                <w:sz w:val="19"/>
                <w:szCs w:val="19"/>
                <w:color w:val="auto"/>
              </w:rPr>
            </w:pPr>
          </w:p>
        </w:tc>
      </w:tr>
      <w:tr>
        <w:trPr>
          <w:trHeight w:val="211"/>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(10,988)</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30, 2021</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79,759,225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(202,387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27,437</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(12,449)</w:t>
            </w:r>
          </w:p>
        </w:tc>
        <w:tc>
          <w:tcPr>
            <w:tcW w:w="10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stock warrants</w:t>
            </w: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non-cash reconciling items</w:t>
            </w: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(10,982)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(15,501)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common stock and pre-funded warrants, net of costs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payments for net share-settled equity awards</w:t>
            </w: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paid on finance lease liabilities</w:t>
            </w: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(15,628)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financing costs included in accounts payable</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229" w:lineRule="exact"/>
        <w:rPr>
          <w:sz w:val="20"/>
          <w:szCs w:val="20"/>
          <w:color w:val="auto"/>
        </w:rPr>
      </w:pPr>
    </w:p>
    <w:p>
      <w:pPr>
        <w:ind w:right="160" w:firstLine="714"/>
        <w:spacing w:after="0" w:line="289" w:lineRule="auto"/>
        <w:rPr>
          <w:sz w:val="20"/>
          <w:szCs w:val="20"/>
          <w:color w:val="auto"/>
        </w:rPr>
      </w:pPr>
      <w:r>
        <w:rPr>
          <w:rFonts w:ascii="Times New Roman" w:cs="Times New Roman" w:eastAsia="Times New Roman" w:hAnsi="Times New Roman"/>
          <w:sz w:val="17"/>
          <w:szCs w:val="17"/>
          <w:color w:val="auto"/>
        </w:rPr>
        <w:t>Soleno Therapeutics, Inc. (the Company or Soleno) is focused on the development and commercialization of novel therapeutics for the treatment of rare diseases. Its lead candidate is Diazoxide Choline Extended Release tablets (DCCR), a once-daily oral tablet for the treatment of Prader-Willi Syndrome (PWS). DCCR has received orphan designation for the treatment of PWS in the United States (U.S.) as well as in the European Union (E.U.).</w:t>
      </w:r>
    </w:p>
    <w:p>
      <w:pPr>
        <w:spacing w:after="0" w:line="50" w:lineRule="exact"/>
        <w:rPr>
          <w:sz w:val="20"/>
          <w:szCs w:val="20"/>
          <w:color w:val="auto"/>
        </w:rPr>
      </w:pPr>
    </w:p>
    <w:p>
      <w:pPr>
        <w:ind w:right="20" w:firstLine="719"/>
        <w:spacing w:after="0" w:line="255" w:lineRule="auto"/>
        <w:rPr>
          <w:sz w:val="20"/>
          <w:szCs w:val="20"/>
          <w:color w:val="auto"/>
        </w:rPr>
      </w:pPr>
      <w:r>
        <w:rPr>
          <w:rFonts w:ascii="Times New Roman" w:cs="Times New Roman" w:eastAsia="Times New Roman" w:hAnsi="Times New Roman"/>
          <w:sz w:val="18"/>
          <w:szCs w:val="18"/>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Going Concern and Management’s Plans</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 had a net loss of $12.4 million during the six months ended June 30, 2022 and has an accumulated deficit of $225.8 million at June 30, 2022 resulting from having incurred losses since its inception. The Company had $24.1 million of cash and cash equivalents on hand at June 30, 2022 and used $11.0 million of cash in its operating activities during the six months ended June 30, 2022. The Company has financed its operations principally through issuances of equity securities. In March 2022, the Company completed a public offering of 40,000,000 shares of its common stock and, for certain investors, in lieu of common stock, pre-funded warrants to purchase 20,000,000 shares of common stock at an exercise price of $0.01 per share, and raised $13.8 million in net proceeds after deducting the underwriting discount and other estimated offering costs. Each share of common stock or pre-funded warrant was sold together with one immediately exercisable common warrant to purchase one share of common stock.</w:t>
      </w:r>
    </w:p>
    <w:p>
      <w:pPr>
        <w:spacing w:after="0" w:line="6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72"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spacing w:after="0" w:line="8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during the six months ended June 30, 2022 as compared to the significant accounting policies described in Note 3 of the “Notes to Consolidated Financial Statements” in the Company’s Annual Report on Form 10-K for the year ended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six months ended June 30, 2022, are not necessarily indicative of the results that may be expected for any other interim period or for the fiscal year ending December 31, 2022. For further information, refer to the financial statements and footnotes included in the Company’s annual financial statements for the fiscal year ended December 31, 2021, which are included in the Company’s annual report on Form 10-K filed with the SEC on March 31,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10"/>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54"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there have been no recently adopted accounting standards and no new, or existing recently issued, accounting pronouncements that are of significance, or potential significance, that impact the Company’s condensed consolidated interim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cash, cash equivalents and accounts payable, approximate fair value due to the short-term nature of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9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44" w:lineRule="exact"/>
        <w:rPr>
          <w:rFonts w:ascii="Times New Roman" w:cs="Times New Roman" w:eastAsia="Times New Roman" w:hAnsi="Times New Roman"/>
          <w:sz w:val="18"/>
          <w:szCs w:val="18"/>
          <w:color w:val="auto"/>
        </w:rPr>
      </w:pPr>
    </w:p>
    <w:p>
      <w:pPr>
        <w:ind w:left="880" w:right="80" w:hanging="373"/>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144"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 w:name="page9"/>
    <w:bookmarkEnd w:id="8"/>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2022</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20" w:type="dxa"/>
            <w:vAlign w:val="bottom"/>
            <w:shd w:val="clear" w:color="auto" w:fill="CFF0FC"/>
          </w:tcPr>
          <w:p>
            <w:pPr>
              <w:spacing w:after="0"/>
              <w:rPr>
                <w:sz w:val="19"/>
                <w:szCs w:val="19"/>
                <w:color w:val="auto"/>
              </w:rPr>
            </w:pPr>
          </w:p>
        </w:tc>
      </w:tr>
      <w:tr>
        <w:trPr>
          <w:trHeight w:val="205"/>
        </w:trPr>
        <w:tc>
          <w:tcPr>
            <w:tcW w:w="52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common stock warrant and contingent</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consideration liability</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20" w:type="dxa"/>
            <w:vAlign w:val="bottom"/>
            <w:shd w:val="clear" w:color="auto" w:fill="CFF0FC"/>
          </w:tcPr>
          <w:p>
            <w:pPr>
              <w:spacing w:after="0"/>
              <w:rPr>
                <w:sz w:val="19"/>
                <w:szCs w:val="19"/>
                <w:color w:val="auto"/>
              </w:rPr>
            </w:pPr>
          </w:p>
        </w:tc>
      </w:tr>
      <w:tr>
        <w:trPr>
          <w:trHeight w:val="205"/>
        </w:trPr>
        <w:tc>
          <w:tcPr>
            <w:tcW w:w="52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common stock warrant and contingent</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consideration liability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p>
    <w:p>
      <w:pPr>
        <w:spacing w:after="0" w:line="68"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Based on the terms of the Company’s completed merger with Essentialis on March 7, 2017, the Company was obligated to make cash earnout payments of up to a maximum of $30.0 million to the former Essentialis stockholders. On December 28, 2021, in connection with the dissolution of two of the former Essentialis stockholders, the two former stockholders entered into an agreement with the Company which assigned the right, title and interest to all their future earnout payments to the Company. As a result of the assignment, as of December 31, 2021, and going forward, the maximum cash earnout payments are $21.2 million. The fair value of the Essentialis purchase price contingent liability is estimated using scenario-based methods based upon the Company’s analysis of the likelihood of obtaining specified approvals from the U.S. Food and Drug Administration (FDA) as well as the likelihood and anticipated timing of reaching cumulative revenue milestones. The Level 3 estimates are based, in part, on subjective assumptions. In determining the likelihood of obtaining FDA approval, the analysis relied on published research relating to clinical development success rates. Based on management’s assessment, a 72% probability of achieving each milestone was determined to be reasonable as of each of June 30, 2022 and December 31, 2021. During the periods presented, the Company has not changed the manner in which it values its Essentialis purchase price contingent liability.</w:t>
      </w:r>
    </w:p>
    <w:p>
      <w:pPr>
        <w:spacing w:after="0" w:line="86"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of the fair value hierarchy as of the end of the reporting period. There were no transfers between levels within the hierarchy during the periods presented.</w:t>
      </w:r>
    </w:p>
    <w:p>
      <w:pPr>
        <w:spacing w:after="0" w:line="54"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liabilities for the six months ended June 30, 2022 and 2021 (dollars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2018 PIPE Warrants</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2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300" w:type="dxa"/>
            <w:vAlign w:val="bottom"/>
          </w:tcPr>
          <w:p>
            <w:pPr>
              <w:spacing w:after="0"/>
              <w:rPr>
                <w:sz w:val="19"/>
                <w:szCs w:val="19"/>
                <w:color w:val="auto"/>
              </w:rPr>
            </w:pPr>
          </w:p>
        </w:tc>
        <w:tc>
          <w:tcPr>
            <w:tcW w:w="1240" w:type="dxa"/>
            <w:vAlign w:val="bottom"/>
            <w:tcBorders>
              <w:top w:val="single" w:sz="8" w:color="auto"/>
            </w:tcBorders>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40" w:type="dxa"/>
            <w:vAlign w:val="bottom"/>
          </w:tcPr>
          <w:p>
            <w:pPr>
              <w:spacing w:after="0"/>
              <w:rPr>
                <w:sz w:val="24"/>
                <w:szCs w:val="24"/>
                <w:color w:val="auto"/>
              </w:rPr>
            </w:pPr>
          </w:p>
        </w:tc>
        <w:tc>
          <w:tcPr>
            <w:tcW w:w="32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2018 PIPE Warrants</w:t>
            </w:r>
          </w:p>
        </w:tc>
        <w:tc>
          <w:tcPr>
            <w:tcW w:w="4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2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40" w:type="dxa"/>
            <w:vAlign w:val="bottom"/>
          </w:tcPr>
          <w:p>
            <w:pPr>
              <w:spacing w:after="0"/>
              <w:rPr>
                <w:sz w:val="24"/>
                <w:szCs w:val="24"/>
                <w:color w:val="auto"/>
              </w:rPr>
            </w:pPr>
          </w:p>
        </w:tc>
        <w:tc>
          <w:tcPr>
            <w:tcW w:w="1680" w:type="dxa"/>
            <w:vAlign w:val="bottom"/>
          </w:tcPr>
          <w:p>
            <w:pPr>
              <w:jc w:val="right"/>
              <w:ind w:right="1377"/>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5. Warrant Liabilities</w:t>
      </w:r>
    </w:p>
    <w:p>
      <w:pPr>
        <w:spacing w:after="0" w:line="121"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18"/>
          <w:szCs w:val="18"/>
          <w:i w:val="1"/>
          <w:iCs w:val="1"/>
          <w:color w:val="auto"/>
        </w:rPr>
        <w:t>ASC 815 Derivatives and Hedging.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2018 PIPE Offering</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2018 PIPE Warrants were issued on December 19, 2018 in the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w:t>
      </w:r>
    </w:p>
    <w:p>
      <w:pPr>
        <w:spacing w:after="0" w:line="68"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68" w:lineRule="exact"/>
        <w:rPr>
          <w:sz w:val="20"/>
          <w:szCs w:val="20"/>
          <w:color w:val="auto"/>
        </w:rPr>
      </w:pPr>
    </w:p>
    <w:p>
      <w:pPr>
        <w:ind w:right="120" w:firstLine="510"/>
        <w:spacing w:after="0" w:line="312" w:lineRule="auto"/>
        <w:rPr>
          <w:sz w:val="20"/>
          <w:szCs w:val="20"/>
          <w:color w:val="auto"/>
        </w:rPr>
      </w:pPr>
      <w:r>
        <w:rPr>
          <w:rFonts w:ascii="Times New Roman" w:cs="Times New Roman" w:eastAsia="Times New Roman" w:hAnsi="Times New Roman"/>
          <w:sz w:val="17"/>
          <w:szCs w:val="17"/>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32"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 and comprehensive loss.</w:t>
      </w:r>
    </w:p>
    <w:p>
      <w:pPr>
        <w:spacing w:after="0" w:line="68"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the fair value of the 2018 PIPE Warrants was estimated at approximately $2,000. The approximate $2,000 and $56,000 million decrease in the fair value of the liability for the 2018 PIPE Warrants during the three months ended June 30, 2022 and 2021, respectively, was recorded as other income in the condensed consolidated statements of operations and comprehensive loss.</w:t>
      </w:r>
    </w:p>
    <w:p>
      <w:pPr>
        <w:spacing w:after="0" w:line="68"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Company has calculated the fair value of the 2018 PIPE Warrants using a Black-Scholes pricing model. The following summarizes certain key assumptions used in estimating the fair value.</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4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0.72%</w:t>
            </w:r>
          </w:p>
        </w:tc>
      </w:tr>
    </w:tbl>
    <w:p>
      <w:pPr>
        <w:spacing w:after="0" w:line="220" w:lineRule="exact"/>
        <w:rPr>
          <w:sz w:val="20"/>
          <w:szCs w:val="20"/>
          <w:color w:val="auto"/>
        </w:rPr>
      </w:pPr>
    </w:p>
    <w:p>
      <w:pPr>
        <w:ind w:right="740" w:firstLine="510"/>
        <w:spacing w:after="0" w:line="282" w:lineRule="auto"/>
        <w:rPr>
          <w:sz w:val="20"/>
          <w:szCs w:val="20"/>
          <w:color w:val="auto"/>
        </w:rPr>
      </w:pPr>
      <w:r>
        <w:rPr>
          <w:rFonts w:ascii="Times New Roman" w:cs="Times New Roman" w:eastAsia="Times New Roman" w:hAnsi="Times New Roman"/>
          <w:sz w:val="18"/>
          <w:szCs w:val="18"/>
          <w:color w:val="auto"/>
        </w:rPr>
        <w:t>The Black-Scholes 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Company calculates the estimated volatility rate based its historical volatility over the expected life of the warrants.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Contractual term: </w:t>
      </w:r>
      <w:r>
        <w:rPr>
          <w:rFonts w:ascii="Times New Roman" w:cs="Times New Roman" w:eastAsia="Times New Roman" w:hAnsi="Times New Roman"/>
          <w:sz w:val="18"/>
          <w:szCs w:val="18"/>
          <w:color w:val="auto"/>
        </w:rPr>
        <w:t>The expected life of the warrants, which is based on the contractual term of the warrants.</w:t>
      </w:r>
    </w:p>
    <w:p>
      <w:pPr>
        <w:spacing w:after="0" w:line="144" w:lineRule="exact"/>
        <w:rPr>
          <w:rFonts w:ascii="Times New Roman" w:cs="Times New Roman" w:eastAsia="Times New Roman" w:hAnsi="Times New Roman"/>
          <w:sz w:val="18"/>
          <w:szCs w:val="18"/>
          <w:color w:val="auto"/>
        </w:rPr>
      </w:pPr>
    </w:p>
    <w:p>
      <w:pPr>
        <w:ind w:left="880" w:right="100" w:hanging="373"/>
        <w:spacing w:after="0" w:line="284"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never declared or paid any cash dividends and does not currently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U.S. Treasury rate for similar periods as the expected life of the warrants.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Company’s operating lease for its headquarters facility office space in Redwood City, California, terminated in May 2021. In April 2021, the Company executed a non-cancellable operating lease agreement for the same 6,368 square feet of space, which began in June 2021 and expires in May 2023. The lease that expired in May 2021 also provided the Company with the right to use office furniture in the space and allowed the purchase of this furniture at the end of the lease term for $1, which it did. The Company has accounted for both leases of office space as operating leases. The office furniture included in the lease that expired in May 2021 was accounted for as a finance lease based on its relative standalone price as compared to the office space.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 w:name="page11"/>
    <w:bookmarkEnd w:id="10"/>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current lease was recognized at inception with a right-of-use asset equal to $0.6 million and a liability for $0.5 million. The short-term liability was equal to $0.3 million as of both June 30, 2022 and December 31, 2021, and the long-term liability was equal to $0 and $0.2 million, as of June 30, 2022 and December 31, 2021, respectively. The weighted average discount rate was 9% over a remaining term of 11 months. The discount rate was determined based on estimates of the Company’s incremental borrowing rate, as the discount rate implicit in the lease cannot be readily determined.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future maturities of the Company’s operating lease liabilities as of June 30, 2022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3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370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37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70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5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during the three and six months ended June 30, 2022 and 2021 were as follows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3"/>
                <w:szCs w:val="13"/>
                <w:color w:val="auto"/>
              </w:rPr>
            </w:pPr>
          </w:p>
        </w:tc>
        <w:tc>
          <w:tcPr>
            <w:tcW w:w="1140" w:type="dxa"/>
            <w:vAlign w:val="bottom"/>
            <w:gridSpan w:val="2"/>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cost</w:t>
            </w:r>
          </w:p>
        </w:tc>
        <w:tc>
          <w:tcPr>
            <w:tcW w:w="214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gridSpan w:val="2"/>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Variable lease cost</w:t>
            </w:r>
          </w:p>
        </w:tc>
        <w:tc>
          <w:tcPr>
            <w:tcW w:w="1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Short-term lease cost</w:t>
            </w:r>
          </w:p>
        </w:tc>
        <w:tc>
          <w:tcPr>
            <w:tcW w:w="1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14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31, 2022, the Company sold 40,000,000 shares of its common stock at a public offering price of $0.25, and for certain investors, in lieu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pre-funded warrants (the 2022 pre-funded warrants) to purchase 20,000,000 shares of its common stock at a public offering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$0.24 per pre-funded warrant, which represents the per share public offering price for the common stock less the $0.01 per share exercise price for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pre-funded warrant. The 2022 pre-funded warrants are immediately exercisable and may be exercised at any time until all of the 2022 pre-funded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are exercised in full. Each share of common stock or 2022 pre-funded warrant was sold together with one, immediately exercisable,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(the 2022 common warrants) with a five-year term to purchase one share of common stock at an exercise price of $0.30 per share. The net proceeds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offering were $13.8 million, after deducting the underwriting discount and other estimated offering expenses. The Company is not required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under any circumstance to settle any of the 2022 pre-funded warrants or the 2022 common warrants for cash, and therefore classified both types of warrants as permanent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 Controlled Equity Offering Sales Agreement under which the Company may sell shares of its common stock having an aggregate offering price of up to $25.0 million from time to time in any method permitted by law deemed to be an “at the market” Rule 415 under the Securities Act of 1933, as amended. As of June 30, 2022, we have not sold any securities pursuant to the at the market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Common Stock Warrants</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Plan</w:t>
      </w:r>
    </w:p>
    <w:p>
      <w:pPr>
        <w:spacing w:after="0" w:line="12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2"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June 30, 2022, a total of 2,593,295 shares are available for future grant under the 2014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48"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6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As of June 30, 2022, a total of 1,285,000 shares are available for future grant under the Inducement Plan.</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loss for stock-based compensation arrangements during any of the periods presented</w:t>
      </w:r>
    </w:p>
    <w:p>
      <w:pPr>
        <w:spacing w:after="0" w:line="72"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recognized in the condensed consolidated statements of operations and comprehensive loss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19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8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line="200" w:lineRule="exact"/>
        <w:rPr>
          <w:sz w:val="20"/>
          <w:szCs w:val="20"/>
          <w:color w:val="auto"/>
        </w:rPr>
      </w:pPr>
    </w:p>
    <w:p>
      <w:pPr>
        <w:spacing w:after="0" w:line="354" w:lineRule="exact"/>
        <w:rPr>
          <w:sz w:val="20"/>
          <w:szCs w:val="20"/>
          <w:color w:val="auto"/>
        </w:rPr>
      </w:pPr>
    </w:p>
    <w:p>
      <w:pPr>
        <w:ind w:right="6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The Company granted options to purchase 266,125 and 219,310 shares of the Company’s common stock during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ended June 30, 2022 and 2021, respectively, and granted options to purchase 1,893,875 and 3,387,810 of the Company’s common stock during the six months ended June 30, 2022 and 2021, respectively. Of the total options granted during the three and six months ended June 30, 2021, 708,750 were performance-based options. </w:t>
      </w:r>
      <w:r>
        <w:rPr>
          <w:rFonts w:ascii="Times New Roman" w:cs="Times New Roman" w:eastAsia="Times New Roman" w:hAnsi="Times New Roman"/>
          <w:sz w:val="18"/>
          <w:szCs w:val="18"/>
          <w:b w:val="1"/>
          <w:bCs w:val="1"/>
          <w:color w:val="auto"/>
        </w:rPr>
        <w:t>The fair value of each award granted was estimated on the date of grant using the Black-Scholes option pricing model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 the following assumptions.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33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92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3940" w:type="dxa"/>
            <w:vAlign w:val="bottom"/>
            <w:tcBorders>
              <w:bottom w:val="single" w:sz="8" w:color="CFF0FC"/>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5.5-6.0</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5.5-6.0</w:t>
            </w:r>
          </w:p>
        </w:tc>
        <w:tc>
          <w:tcPr>
            <w:tcW w:w="12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236"/>
              <w:spacing w:after="0"/>
              <w:rPr>
                <w:sz w:val="20"/>
                <w:szCs w:val="20"/>
                <w:color w:val="auto"/>
              </w:rPr>
            </w:pPr>
            <w:r>
              <w:rPr>
                <w:rFonts w:ascii="Times New Roman" w:cs="Times New Roman" w:eastAsia="Times New Roman" w:hAnsi="Times New Roman"/>
                <w:sz w:val="18"/>
                <w:szCs w:val="18"/>
                <w:color w:val="auto"/>
                <w:w w:val="97"/>
              </w:rPr>
              <w:t>5.5-6.0</w:t>
            </w: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5.5-6.0</w:t>
            </w:r>
          </w:p>
        </w:tc>
        <w:tc>
          <w:tcPr>
            <w:tcW w:w="120" w:type="dxa"/>
            <w:vAlign w:val="bottom"/>
            <w:shd w:val="clear" w:color="auto" w:fill="CFF0FC"/>
          </w:tcPr>
          <w:p>
            <w:pPr>
              <w:spacing w:after="0"/>
              <w:rPr>
                <w:sz w:val="19"/>
                <w:szCs w:val="19"/>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w:t>
            </w:r>
          </w:p>
        </w:tc>
        <w:tc>
          <w:tcPr>
            <w:tcW w:w="4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0.9%-1.0%</w:t>
            </w:r>
          </w:p>
        </w:tc>
        <w:tc>
          <w:tcPr>
            <w:tcW w:w="120" w:type="dxa"/>
            <w:vAlign w:val="bottom"/>
          </w:tcPr>
          <w:p>
            <w:pPr>
              <w:spacing w:after="0"/>
              <w:rPr>
                <w:sz w:val="19"/>
                <w:szCs w:val="19"/>
                <w:color w:val="auto"/>
              </w:rPr>
            </w:pPr>
          </w:p>
        </w:tc>
        <w:tc>
          <w:tcPr>
            <w:tcW w:w="190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rPr>
              <w:t>1.7%-3.0%</w:t>
            </w:r>
          </w:p>
        </w:tc>
        <w:tc>
          <w:tcPr>
            <w:tcW w:w="3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0.6%-1.0%</w:t>
            </w:r>
          </w:p>
        </w:tc>
        <w:tc>
          <w:tcPr>
            <w:tcW w:w="12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90%-93%</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91%-102%</w:t>
            </w:r>
          </w:p>
        </w:tc>
        <w:tc>
          <w:tcPr>
            <w:tcW w:w="12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216"/>
              <w:spacing w:after="0"/>
              <w:rPr>
                <w:sz w:val="20"/>
                <w:szCs w:val="20"/>
                <w:color w:val="auto"/>
              </w:rPr>
            </w:pPr>
            <w:r>
              <w:rPr>
                <w:rFonts w:ascii="Times New Roman" w:cs="Times New Roman" w:eastAsia="Times New Roman" w:hAnsi="Times New Roman"/>
                <w:sz w:val="18"/>
                <w:szCs w:val="18"/>
                <w:color w:val="auto"/>
                <w:w w:val="99"/>
              </w:rPr>
              <w:t>88%-93%</w:t>
            </w: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91%-108%</w:t>
            </w:r>
          </w:p>
        </w:tc>
        <w:tc>
          <w:tcPr>
            <w:tcW w:w="120" w:type="dxa"/>
            <w:vAlign w:val="bottom"/>
            <w:shd w:val="clear" w:color="auto" w:fill="CFF0FC"/>
          </w:tcPr>
          <w:p>
            <w:pPr>
              <w:spacing w:after="0"/>
              <w:rPr>
                <w:sz w:val="19"/>
                <w:szCs w:val="19"/>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0"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880" w:hanging="373"/>
        <w:spacing w:after="0" w:line="258"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5" w:lineRule="exact"/>
        <w:rPr>
          <w:rFonts w:ascii="Times New Roman" w:cs="Times New Roman" w:eastAsia="Times New Roman" w:hAnsi="Times New Roman"/>
          <w:sz w:val="18"/>
          <w:szCs w:val="18"/>
          <w:color w:val="auto"/>
        </w:rPr>
      </w:pPr>
    </w:p>
    <w:p>
      <w:pPr>
        <w:ind w:left="880" w:right="40" w:hanging="373"/>
        <w:spacing w:after="0" w:line="284"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880" w:right="80" w:hanging="373"/>
        <w:spacing w:after="0" w:line="284"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880" w:right="820" w:hanging="373"/>
        <w:spacing w:after="0" w:line="284"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six months ended June 30, 2022 as issued under the 2014 Plan and the Inducement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6,125,549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1,893,875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7,958,424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at June 30, 2022</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3,586,074</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expected to vest at June 30,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7,614,049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20" w:firstLine="51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$0.23 and $1.73 per share for the six months ended June 30, 2022 and 2021, respectively. At June 30, 2022 total unrecognized employee stock-based compensation related to stock options that are likely to vest was $4.0 million, which is expected to be recognized over the weighted-average remaining vesting period of 2.7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There were zero and 21,810 restricted stock units granted by the Company during the three months ended June 30, 2022 and 2021, respectively, and 134,507 and 61,273 restricted stock units granted during the six months ended June 30, 2022 and 2021, respectively, to employees and directors. The restricted stock units granted to directors were 100% vested on the grant date and represent compensation for past board services. The restricted stock units granted to employees typically vest annually over a period of four years. The restricted stock units were valued based on the Company’s common stock price on the grant date.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six months ended June 30, 2022 as issued under the 2014 Plan: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862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8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435,750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(279,757)</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units canceled/forfeited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all restricted stock units granted during the six months ended June 30, 2022 and 2021 was $0.36 and $1.96, respectively. The fair value of all restricted stock units vested during the six months ended June 30, 2022 and 2021 was $0.1 million and approximately $0.6 million, respectively. At June 30, 2022, total unrecognized employee stock-based compensation related to restricted stock units was $0.9 million, which is expected to be recognized over the weighted-average remaining vesting period of 1.6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5" w:lineRule="exact"/>
        <w:rPr>
          <w:sz w:val="20"/>
          <w:szCs w:val="20"/>
          <w:color w:val="auto"/>
        </w:rPr>
      </w:pPr>
    </w:p>
    <w:p>
      <w:pPr>
        <w:ind w:left="880" w:hanging="373"/>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55,936 shares; or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there were no purchases by employees under this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121" w:lineRule="exact"/>
        <w:rPr>
          <w:sz w:val="20"/>
          <w:szCs w:val="20"/>
          <w:color w:val="auto"/>
        </w:rPr>
      </w:pPr>
    </w:p>
    <w:p>
      <w:pPr>
        <w:ind w:right="120" w:firstLine="510"/>
        <w:spacing w:after="0" w:line="26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or vesting of common stock awards and exercise of common stock warrants. The Company applies the two-class method to calculate basic and diluted net loss per share as its warrants issued in March 2022 are participating securities. However, the two-class method does not impact the net loss per share of common stock as the warrants issued in March 2022 do not participate in losses. For the three and six months ended June 30, 2022 and 2021, the effect of issuing potential common stock is anti-dilutive due to the net losses in those periods and therefore the number of shares used to compute basic and diluted net loss per share are the same in each of those periods.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05"/>
        </w:trPr>
        <w:tc>
          <w:tcPr>
            <w:tcW w:w="5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Warrants issued to 2010/2012 convertible note</w:t>
            </w: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102,070</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102,070</w:t>
            </w:r>
          </w:p>
        </w:tc>
        <w:tc>
          <w:tcPr>
            <w:tcW w:w="80" w:type="dxa"/>
            <w:vAlign w:val="bottom"/>
            <w:shd w:val="clear" w:color="auto" w:fill="CFF0FC"/>
          </w:tcPr>
          <w:p>
            <w:pPr>
              <w:spacing w:after="0"/>
              <w:rPr>
                <w:sz w:val="20"/>
                <w:szCs w:val="20"/>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7,958,424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6,225,549</w:t>
            </w:r>
          </w:p>
        </w:tc>
        <w:tc>
          <w:tcPr>
            <w:tcW w:w="8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435,750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2022 common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pre-funded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88,876,611</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7,293,486</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June 30, 2022 through the date these condensed consolidated financial statements were issued and has determined that there are no subsequent events requiring disclosure in these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15" w:name="page16"/>
    <w:bookmarkEnd w:id="15"/>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interim consolidated financial statements included in this Quarterly Report on Form 10-Q and this Management’s Discussion and Analysis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Results of Operations should be read in conjunction with the financial statements and notes thereto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31, 2021, and the related Management’s Discussion and Analysis of Financial Condition and Results of Operations, contained in the Company’s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10-K for the year ended December 31, 2021. In addition to historical information, this discussion and analysis contains forward-looking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within the meaning of Section 27A of the Securities Act of 1933, as amended (the Securities Act), and Section 21E of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amended (the Exchange Act). These forward-looking statements are subject to risks and uncertainties, including those set forth in Part II –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Item 1A. Risk Factors below and elsewhere in this report that could cause actual results to differ materially from historical results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anticipated results.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novel therapeutics for the treatment of rare diseases. Our lead candidate is Diazoxide Choline Extended Release tablets (DCCR), a once-daily oral tablet for the treatment of Prader-Willi Syndrome (PWS). DCCR has orphan designation for the treatment of PWS in the United States (U.S.) as well as in the European Union (E.U.). 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w:t>
      </w:r>
    </w:p>
    <w:p>
      <w:pPr>
        <w:spacing w:after="0" w:line="18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top line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in the fourth quarter 2021, and in January 2022 we announced we had received official meeting minutes from a Type C meeting with the U.S. Food and Drug Administration (FDA). The purpose of the meeting was to discuss the adequacy of the submitted data and possible ways to generate additional controlled clinical data.</w:t>
      </w:r>
    </w:p>
    <w:p>
      <w:pPr>
        <w:spacing w:after="0" w:line="192" w:lineRule="exact"/>
        <w:rPr>
          <w:sz w:val="20"/>
          <w:szCs w:val="20"/>
          <w:color w:val="auto"/>
        </w:rPr>
      </w:pPr>
    </w:p>
    <w:p>
      <w:pPr>
        <w:ind w:right="60" w:firstLine="510"/>
        <w:spacing w:after="0" w:line="281" w:lineRule="auto"/>
        <w:rPr>
          <w:sz w:val="20"/>
          <w:szCs w:val="20"/>
          <w:color w:val="auto"/>
        </w:rPr>
      </w:pPr>
      <w:r>
        <w:rPr>
          <w:rFonts w:ascii="Times New Roman" w:cs="Times New Roman" w:eastAsia="Times New Roman" w:hAnsi="Times New Roman"/>
          <w:sz w:val="17"/>
          <w:szCs w:val="17"/>
          <w:color w:val="auto"/>
        </w:rPr>
        <w:t>Earlier this year, we submitted a proposal to add a randomized withdrawal period to Study C602 in order to obtain additional controlled data requested by the FDA to support a New Drug Application (NDA) submission for DCCR. This randomized withdrawal phase would consist only of participants currently enrolled in Study C602 and not include any new patients. Subsequent to this submission, the FDA acknowledged that data from the proposed randomized withdrawal phase of Study C602 would have the potential to address its concerns regarding the adequacy of the overall efficacy data supportive of an NDA.</w:t>
      </w:r>
    </w:p>
    <w:p>
      <w:pPr>
        <w:spacing w:after="0" w:line="56"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The spread of the COVID-19 virus and the outbreak of war between Russia and Ukraine have caused supply chain issues, inflationary pressures and significant volatility in the financial markets. However, we have not experienced a significant financial impact directly related to the COVID-19 pandemic or Russia’s invasion of Ukraine.</w:t>
      </w:r>
    </w:p>
    <w:p>
      <w:pPr>
        <w:spacing w:after="0" w:line="6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As of June 30, 2022, we had an accumulated deficit of $225.8 million, primarily as a result of research and development and general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We may never be successful in commercializing our novel therapeutic-lead candidate DCCR. Accordingly, we expect to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losses from operations for the foreseeable future, and there can be no assurance that we will ever generate significant revenue or profits.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June 30, 2022, we had cash and cash equivalents of $24.1 million. In March 2022, we completed a public offering of 40,000,000 shares of our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for certain investors, in lieu of common stock, pre-funded warrants to purchase 20,000,000 shares of our common stock at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and raised $13.8 million in net proceeds after deducting the underwriting discount and other estimated offering expenses. Each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or pre-funded warrant was sold together with one immediately exercisable common warrant to purchase one share of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ind w:right="180"/>
        <w:spacing w:after="0" w:line="282"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and conditions. Our significant accounting policies are more fully described in Note 3 of our most recent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ectPr>
          <w:pgSz w:w="11900" w:h="16838" w:orient="portrait"/>
          <w:cols w:equalWidth="0" w:num="1">
            <w:col w:w="11240"/>
          </w:cols>
          <w:pgMar w:left="320" w:top="445" w:right="339" w:bottom="1440" w:gutter="0" w:footer="0" w:header="0"/>
        </w:sectPr>
      </w:pPr>
    </w:p>
    <w:p>
      <w:pPr>
        <w:spacing w:after="0" w:line="33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7620</wp:posOffset>
            </wp:positionV>
            <wp:extent cx="1586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7" w:lineRule="exact"/>
        <w:rPr>
          <w:sz w:val="20"/>
          <w:szCs w:val="20"/>
          <w:color w:val="auto"/>
        </w:rPr>
      </w:pPr>
    </w:p>
    <w:p>
      <w:pPr>
        <w:ind w:left="6220"/>
        <w:spacing w:after="0"/>
        <w:tabs>
          <w:tab w:leader="none" w:pos="75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7620</wp:posOffset>
            </wp:positionV>
            <wp:extent cx="1594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3"/>
          <w:szCs w:val="13"/>
          <w:b w:val="1"/>
          <w:bCs w:val="1"/>
          <w:color w:val="auto"/>
        </w:rPr>
        <w:t>Amount</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10" w:lineRule="exact"/>
        <w:rPr>
          <w:sz w:val="20"/>
          <w:szCs w:val="20"/>
          <w:color w:val="auto"/>
        </w:rPr>
      </w:pPr>
    </w:p>
    <w:p>
      <w:pPr>
        <w:sectPr>
          <w:pgSz w:w="11900" w:h="16838" w:orient="portrait"/>
          <w:cols w:equalWidth="0" w:num="2">
            <w:col w:w="8120" w:space="720"/>
            <w:col w:w="240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58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right"/>
              <w:ind w:right="5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60" w:type="dxa"/>
            <w:vAlign w:val="bottom"/>
          </w:tcPr>
          <w:p>
            <w:pPr>
              <w:spacing w:after="0"/>
              <w:rPr>
                <w:sz w:val="19"/>
                <w:szCs w:val="19"/>
                <w:color w:val="auto"/>
              </w:rPr>
            </w:pPr>
          </w:p>
        </w:tc>
        <w:tc>
          <w:tcPr>
            <w:tcW w:w="5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9"/>
                <w:szCs w:val="19"/>
                <w:color w:val="auto"/>
              </w:rPr>
            </w:pPr>
          </w:p>
        </w:tc>
        <w:tc>
          <w:tcPr>
            <w:tcW w:w="5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2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5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vMerge w:val="continue"/>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6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22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earned no revenue from the commercial development and sale of novel therapeutic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of $3.7 million for the three months ended June 30, 2022 decreased by $1.9 million from the three months ended June 30, 2021. The cadence of our research and development expenditures will fluctuate depending upon the state of our clinical programs and the timing of CMC and other projects necessary to support the submission of an NDA.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 of $2.5 million for the three months ended June 30, 2022 was consistent with the three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$9.3 million as of June 30, 2022, a $0.6 million increase from the estimate as of March 31, 2022. During the three months ended June 30, 2021, the estimate increased $3.0 million from the $9.3 million estimated at March 31,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We had other income of approximately $54,000 in the three months ended June 30, 2022, compared to $97,000 during the three months ended June 30, 2021. The decrease was primarily due to a smaller decrease in the fair value of our outstanding warrants during the three months ended June 30, 2022 compared to the three months ended June 30,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top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center"/>
              <w:ind w:left="45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40" w:type="dxa"/>
            <w:vAlign w:val="bottom"/>
          </w:tcPr>
          <w:p>
            <w:pPr>
              <w:spacing w:after="0"/>
              <w:rPr>
                <w:sz w:val="19"/>
                <w:szCs w:val="19"/>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(5,067)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6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Total other income</w:t>
            </w: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earned no revenue from the commercial development and sale of novel therapeutic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of $7.7 million for the six months ended June 30, 2022 decreased by $5.1 million from the six months ended June 30, 2021. The cadence of our research and development expenditures will fluctuate depending upon the state of our clinical programs and the timing of CMC and other projects necessary to support the submission of an NDA.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of $5.1 million for the six months ended June 30, 2022 decreased $0.3 million from the six months ended June 30, 2021, primarily due to a decrease in stock-based compensation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$9.3 million as of June 30, 2022, a $0.2 million decrease from the estimate as of December 31, 2021. During the six months ended June 30, 2021, the estimate increased $2.0 million from the $10.3 million estimated at December 31,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had other income of approximately $0.1 million in the six months ended June 30, 2022, compared to $0.3 million during the six months ended June 30, 2021. The decrease of $0.2 million was primarily due to a smaller decrease in the fair value of our outstanding warrants during the six months ended June 30, 2022 compared to the six months ended June 30, 2021. This decrease was slightly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ind w:right="160"/>
        <w:spacing w:after="0" w:line="282" w:lineRule="auto"/>
        <w:rPr>
          <w:sz w:val="20"/>
          <w:szCs w:val="20"/>
          <w:color w:val="auto"/>
        </w:rPr>
      </w:pPr>
      <w:r>
        <w:rPr>
          <w:rFonts w:ascii="Times New Roman" w:cs="Times New Roman" w:eastAsia="Times New Roman" w:hAnsi="Times New Roman"/>
          <w:sz w:val="18"/>
          <w:szCs w:val="18"/>
          <w:color w:val="auto"/>
        </w:rPr>
        <w:t>offset by an increase in interest income during the six months ended June 30, 2022 as compared to the same period of the previous year as a result of cash and cash equivalents earning higher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We had a net loss of $12.5 million during the six months ended June 30, 2022 and an accumulated deficit of $225.8 million at June 30, 2022 as a result of having incurred losses since our inception. We had $24.1 million in cash and cash equivalents and $17.6 million of working capital at June 30, 2022, and used $11.0 million of cash in operating activities during the six months ended June 30, 2022. As of June 30, 2022, we had lease obligations totaling $0.3 million to be paid through 2023, consisting of an operating lease for office space in Redwood City, California.</w:t>
      </w:r>
    </w:p>
    <w:p>
      <w:pPr>
        <w:spacing w:after="0" w:line="72"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We have financed our operations principally through issuances of equity securities. In March 2022, we completed a public offering of shares of our common stock and pre-funded warrants and raised $13.8 million in net proceeds after deducting the underwriting discount and other estimated offering expenses. Each share of common stock or pre-funded warrant was sold together with one immediately exercisable common warrant to purchase one share of common stock. We have an “at-the-market” (ATM) offering for up to $25.0 million, but as of June 30, 2022, we have not sold any securities pursuant to the ATM.</w:t>
      </w:r>
    </w:p>
    <w:p>
      <w:pPr>
        <w:spacing w:after="0" w:line="75" w:lineRule="exact"/>
        <w:rPr>
          <w:sz w:val="20"/>
          <w:szCs w:val="20"/>
          <w:color w:val="auto"/>
        </w:rPr>
      </w:pPr>
    </w:p>
    <w:p>
      <w:pPr>
        <w:ind w:right="100" w:firstLine="584"/>
        <w:spacing w:after="0" w:line="254" w:lineRule="auto"/>
        <w:rPr>
          <w:sz w:val="20"/>
          <w:szCs w:val="20"/>
          <w:color w:val="auto"/>
        </w:rPr>
      </w:pPr>
      <w:r>
        <w:rPr>
          <w:rFonts w:ascii="Times New Roman" w:cs="Times New Roman" w:eastAsia="Times New Roman" w:hAnsi="Times New Roman"/>
          <w:sz w:val="18"/>
          <w:szCs w:val="18"/>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spacing w:after="0" w:line="8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40" w:type="dxa"/>
            <w:vAlign w:val="bottom"/>
            <w:gridSpan w:val="3"/>
          </w:tcPr>
          <w:p>
            <w:pPr>
              <w:jc w:val="right"/>
              <w:ind w:right="61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(10,982)</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(15,501)</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(15,628)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2022, operating activities used net cash of $11.0 million, which was primarily due to the net loss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$12.5 million adjusted for non-cash income of $0.3 million related to the change in fair value of common stock warrants and contingent consideration, non-cash expense of $1.0 million for depreciation and amortization, $1.2 million for stock-based compensation, and approximately $0.1 million for non-cash lease expense. Additionally, the usage of cash during the six months ended June 30, 2022 was reduced by $0.6 million due to changes in operating assets and liabilities.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2021, operating activities used net cash of $15.5 million, which was primarily due to the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 million adjusted for non-cash loss of $1.8 million related to the change in fair value of common stock warrants and contingent consideration,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expense of $1.0 million for depreciation and amortization, and $2.0 million for stock-based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ind w:right="200"/>
        <w:spacing w:after="0" w:line="282" w:lineRule="auto"/>
        <w:rPr>
          <w:sz w:val="20"/>
          <w:szCs w:val="20"/>
          <w:color w:val="auto"/>
        </w:rPr>
      </w:pPr>
      <w:r>
        <w:rPr>
          <w:rFonts w:ascii="Times New Roman" w:cs="Times New Roman" w:eastAsia="Times New Roman" w:hAnsi="Times New Roman"/>
          <w:sz w:val="18"/>
          <w:szCs w:val="18"/>
          <w:color w:val="auto"/>
        </w:rPr>
        <w:t>compensation. Additionally, the usage of cash during the six months ended June 30, 2021 was reduced by $0.4 million due to changes in operating assets and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2022 and 2021, there was minimal cash used in purchasing property and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22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we received $13.8 million of net cash proceeds from the sale of 40,000,000 shares of our common stock, and for certain investors, in lieu of common stock, pre-funded warrants to purchase 20,000,000 shares of common stock. Each share of common stock or pre-funded warrant was sold together with one, immediately exercisable common warrant with an exercise price of $0.30 per share. As of June 30, 2022, all offering costs have been paid by us. The net proceeds amount was slightly offset by payments for the taxes from net share-settled vesting of restricted stock.</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2021, we used cash of $0.1 million to pay for the taxes of net share-settled vesting of restricted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There have not been any material changes to our exposure to market risk during the six months ended June 30, 2022. For additional information regarding market risk, refer to the </w:t>
      </w:r>
      <w:r>
        <w:rPr>
          <w:rFonts w:ascii="Times New Roman" w:cs="Times New Roman" w:eastAsia="Times New Roman" w:hAnsi="Times New Roman"/>
          <w:sz w:val="18"/>
          <w:szCs w:val="18"/>
          <w:i w:val="1"/>
          <w:iCs w:val="1"/>
          <w:color w:val="auto"/>
        </w:rPr>
        <w:t>Qualitative and Quantitative Disclosures About Market Risk</w:t>
      </w:r>
      <w:r>
        <w:rPr>
          <w:rFonts w:ascii="Times New Roman" w:cs="Times New Roman" w:eastAsia="Times New Roman" w:hAnsi="Times New Roman"/>
          <w:sz w:val="18"/>
          <w:szCs w:val="18"/>
          <w:color w:val="auto"/>
        </w:rPr>
        <w:t xml:space="preserve"> section of the Form 10-K.</w:t>
      </w:r>
    </w:p>
    <w:p>
      <w:pPr>
        <w:spacing w:after="0" w:line="2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83"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second fiscal quarter ended June 30, 2022, that have materially affected, or are reasonably likely to materially affect, our internal control over financial reporting.</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There are no material changes from the disclosure provided in the Form 10-K with respect to the Risk Factors.</w:t>
      </w: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37"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800" w:type="dxa"/>
            <w:vAlign w:val="bottom"/>
            <w:gridSpan w:val="2"/>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2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740" w:type="dxa"/>
            <w:vAlign w:val="bottom"/>
            <w:tcBorders>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rPr>
              <w:t>Required</w:t>
            </w:r>
          </w:p>
        </w:tc>
        <w:tc>
          <w:tcPr>
            <w:tcW w:w="162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Under Rule 13a-14(a) and 15d-14(a) of the Securities and</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and Accounting</w:t>
            </w:r>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Officer Required Under Rule 13a-14(a) and 15d-14(a) of</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the Securities and Exchange Act of 1934, as amended</w:t>
            </w:r>
          </w:p>
        </w:tc>
        <w:tc>
          <w:tcPr>
            <w:tcW w:w="200" w:type="dxa"/>
            <w:vAlign w:val="bottom"/>
            <w:tcBorders>
              <w:top w:val="single" w:sz="8" w:color="0000EE"/>
            </w:tcBorders>
            <w:gridSpan w:val="4"/>
          </w:tcPr>
          <w:p>
            <w:pPr>
              <w:spacing w:after="0"/>
              <w:rPr>
                <w:sz w:val="17"/>
                <w:szCs w:val="17"/>
                <w:color w:val="auto"/>
              </w:rPr>
            </w:pPr>
          </w:p>
        </w:tc>
        <w:tc>
          <w:tcPr>
            <w:tcW w:w="144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Under Rule 13a-14(b) of the Securities and Exchange</w:t>
            </w:r>
          </w:p>
        </w:tc>
        <w:tc>
          <w:tcPr>
            <w:tcW w:w="166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Act of 1934, as amended, and 18 U.S.C. §1350</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and Accounting</w:t>
            </w:r>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Officer Required Under Rule 13a-14(b) of the Securities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and Exchange Act of 1934, as amended, and 18 U.S.C.</w:t>
            </w:r>
          </w:p>
        </w:tc>
        <w:tc>
          <w:tcPr>
            <w:tcW w:w="100" w:type="dxa"/>
            <w:vAlign w:val="bottom"/>
            <w:tcBorders>
              <w:top w:val="single" w:sz="8" w:color="0000EE"/>
            </w:tcBorders>
          </w:tcPr>
          <w:p>
            <w:pPr>
              <w:spacing w:after="0"/>
              <w:rPr>
                <w:sz w:val="17"/>
                <w:szCs w:val="17"/>
                <w:color w:val="auto"/>
              </w:rPr>
            </w:pPr>
          </w:p>
        </w:tc>
        <w:tc>
          <w:tcPr>
            <w:tcW w:w="146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4"/>
          </w:tcPr>
          <w:p>
            <w:pPr>
              <w:ind w:left="120"/>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80" w:type="dxa"/>
            <w:vAlign w:val="bottom"/>
            <w:gridSpan w:val="1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1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7"/>
          <w:szCs w:val="17"/>
          <w:b w:val="1"/>
          <w:bCs w:val="1"/>
          <w:color w:val="auto"/>
        </w:rPr>
        <w:t>SOLENO THERAPEUTICS, INC.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00"/>
          </w:cols>
          <w:pgMar w:left="320" w:top="563" w:right="77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60" w:hanging="2"/>
        <w:spacing w:after="0" w:line="266" w:lineRule="auto"/>
        <w:tabs>
          <w:tab w:leader="none" w:pos="7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2"/>
        <w:spacing w:after="0" w:line="266" w:lineRule="auto"/>
        <w:tabs>
          <w:tab w:leader="none" w:pos="7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80" w:hanging="2"/>
        <w:spacing w:after="0" w:line="312" w:lineRule="auto"/>
        <w:tabs>
          <w:tab w:leader="none" w:pos="76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220" w:hanging="2"/>
        <w:spacing w:after="0" w:line="266" w:lineRule="auto"/>
        <w:tabs>
          <w:tab w:leader="none" w:pos="7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80" w:hanging="2"/>
        <w:spacing w:after="0" w:line="282" w:lineRule="auto"/>
        <w:tabs>
          <w:tab w:leader="none" w:pos="7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hanging="2"/>
        <w:spacing w:after="0" w:line="282" w:lineRule="auto"/>
        <w:tabs>
          <w:tab w:leader="none" w:pos="7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60" w:hanging="2"/>
        <w:spacing w:after="0" w:line="266" w:lineRule="auto"/>
        <w:tabs>
          <w:tab w:leader="none" w:pos="7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2"/>
        <w:spacing w:after="0" w:line="266" w:lineRule="auto"/>
        <w:tabs>
          <w:tab w:leader="none" w:pos="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80" w:hanging="2"/>
        <w:spacing w:after="0" w:line="312" w:lineRule="auto"/>
        <w:tabs>
          <w:tab w:leader="none" w:pos="76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220" w:hanging="2"/>
        <w:spacing w:after="0" w:line="266" w:lineRule="auto"/>
        <w:tabs>
          <w:tab w:leader="none" w:pos="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80" w:hanging="2"/>
        <w:spacing w:after="0" w:line="282" w:lineRule="auto"/>
        <w:tabs>
          <w:tab w:leader="none" w:pos="7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hanging="2"/>
        <w:spacing w:after="0" w:line="282" w:lineRule="auto"/>
        <w:tabs>
          <w:tab w:leader="none" w:pos="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33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June 30, 2022,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June 30, 2022,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2022-08-10T16:46:23Z</dcterms:created>
  <dcterms:modified xsi:type="dcterms:W3CDTF">2022-08-10T16:46:23Z</dcterms:modified>
</cp:coreProperties>
</file>