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0"/>
          <w:szCs w:val="40"/>
          <w:b w:val="1"/>
          <w:bCs w:val="1"/>
          <w:color w:val="auto"/>
        </w:rPr>
        <w:t>SOLENO THERAPEUTICS, INC.</w:t>
      </w:r>
    </w:p>
    <w:p>
      <w:pPr>
        <w:spacing w:after="0" w:line="4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(Offeror)</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1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(Parent of Offeror)</w:t>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(Names of Filing Persons)</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834203309</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Kyle W. Gano, Ph.D.</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6027 Edgewood Bend Court</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San Diego, California 92130</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(858) 617-7600</w:t>
      </w:r>
    </w:p>
    <w:p>
      <w:pPr>
        <w:spacing w:after="0" w:line="2" w:lineRule="exact"/>
        <w:rPr>
          <w:sz w:val="24"/>
          <w:szCs w:val="24"/>
          <w:color w:val="auto"/>
        </w:rPr>
      </w:pPr>
    </w:p>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52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tc>
      </w:tr>
      <w:tr>
        <w:trPr>
          <w:trHeight w:val="315"/>
        </w:trPr>
        <w:tc>
          <w:tcPr>
            <w:tcW w:w="270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Darin M. Lippoldt</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rPr>
              <w:t>Jamie Leigh</w:t>
            </w:r>
          </w:p>
        </w:tc>
      </w:tr>
      <w:tr>
        <w:trPr>
          <w:trHeight w:val="216"/>
        </w:trPr>
        <w:tc>
          <w:tcPr>
            <w:tcW w:w="27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Chief Legal Officer</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rPr>
              <w:t>Kevin Cooper</w:t>
            </w:r>
          </w:p>
        </w:tc>
      </w:tr>
      <w:tr>
        <w:trPr>
          <w:trHeight w:val="216"/>
        </w:trPr>
        <w:tc>
          <w:tcPr>
            <w:tcW w:w="27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Neurocrine Biosciences, Inc.</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8"/>
              </w:rPr>
              <w:t>Carlos Ramirez</w:t>
            </w:r>
          </w:p>
        </w:tc>
      </w:tr>
      <w:tr>
        <w:trPr>
          <w:trHeight w:val="216"/>
        </w:trPr>
        <w:tc>
          <w:tcPr>
            <w:tcW w:w="27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6027 Edgewood Bend Court</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r>
      <w:tr>
        <w:trPr>
          <w:trHeight w:val="216"/>
        </w:trPr>
        <w:tc>
          <w:tcPr>
            <w:tcW w:w="27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San Diego, California 92130</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3 Embarcadero Center, 20th Floor</w:t>
            </w:r>
          </w:p>
        </w:tc>
      </w:tr>
      <w:tr>
        <w:trPr>
          <w:trHeight w:val="216"/>
        </w:trPr>
        <w:tc>
          <w:tcPr>
            <w:tcW w:w="27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(858) 617-7600</w:t>
            </w: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94111</w:t>
            </w:r>
          </w:p>
        </w:tc>
      </w:tr>
      <w:tr>
        <w:trPr>
          <w:trHeight w:val="238"/>
        </w:trPr>
        <w:tc>
          <w:tcPr>
            <w:tcW w:w="2700" w:type="dxa"/>
            <w:vAlign w:val="bottom"/>
          </w:tcPr>
          <w:p>
            <w:pPr>
              <w:spacing w:after="0"/>
              <w:rPr>
                <w:sz w:val="20"/>
                <w:szCs w:val="20"/>
                <w:color w:val="auto"/>
              </w:rPr>
            </w:pPr>
          </w:p>
        </w:tc>
        <w:tc>
          <w:tcPr>
            <w:tcW w:w="5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(415) 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0"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third-party tender offer subject to Rule 14d-1.</w:t>
      </w:r>
    </w:p>
    <w:p>
      <w:pPr>
        <w:spacing w:after="0" w:line="70"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issuer tender offer subject to Rule 13e-4.</w:t>
      </w:r>
    </w:p>
    <w:p>
      <w:pPr>
        <w:spacing w:after="0" w:line="2"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going-private transaction subject to Rule 13e-3.</w:t>
      </w:r>
    </w:p>
    <w:p>
      <w:pPr>
        <w:spacing w:after="0" w:line="16"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amendment to Schedule 13D under Rule 13d-2.</w:t>
      </w:r>
    </w:p>
    <w:p>
      <w:pPr>
        <w:spacing w:after="0" w:line="16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90"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13e-4(i) (Cross-Border Issuer Tender Offer)</w:t>
      </w:r>
    </w:p>
    <w:p>
      <w:pPr>
        <w:spacing w:after="0" w:line="63"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223520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511" w:right="1440" w:bottom="1440" w:gutter="0" w:footer="0" w:header="0"/>
        </w:sectPr>
      </w:pPr>
    </w:p>
    <w:bookmarkStart w:id="1" w:name="page2"/>
    <w:bookmarkEnd w:id="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Tender Offer Statement on Schedule TO (this “Schedule TO”) relates to the tender offer by Sigma Merger Sub, Inc., a Delaware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and a direct wholly owned subsidiary of Neurocrine Biosciences, Inc., a Delaware corporation (“Neurocrine”), for all of the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par value $0.001 per share (the “Shares”), of Soleno Therapeutics, Inc., a Delaware corporation (“Soleno”), in exchange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 per Share, payable in cash without interest and subject to reduction for any applicable withholding taxes, upon the terms and conditions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offer to purchase, dated April 20, 2026 (the “Offer to Purchase”), a copy of which is attached as Exhibit (a)(1)(A), and in the related letter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transmittal (the “Letter of Transmittal”), a copy of which is attached as Exhibit (a)(1)(B), which, as each may be amended or supplemented from time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collectively constitute the “Offer.”</w:t>
      </w:r>
    </w:p>
    <w:p>
      <w:pPr>
        <w:spacing w:after="0" w:line="207"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All the information set forth in the Offer to Purchase, including Schedule I thereto, is incorporated by reference herein in response to Items 1 through 9 and Item 11 of this Schedule TO, and is supplemented by the information specifically provided in this Schedule 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Summary Term Sheet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1001</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Offer to Purchase under the caption SUMMARY TERM SHEET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Subject Company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1002</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Name and Address.</w:t>
      </w:r>
      <w:r>
        <w:rPr>
          <w:rFonts w:ascii="Times New Roman" w:cs="Times New Roman" w:eastAsia="Times New Roman" w:hAnsi="Times New Roman"/>
          <w:sz w:val="18"/>
          <w:szCs w:val="18"/>
          <w:color w:val="auto"/>
        </w:rPr>
        <w:t xml:space="preserve"> The name, address, and telephone number of the subject company’s principal executive offices are as follows:</w:t>
      </w:r>
    </w:p>
    <w:p>
      <w:pPr>
        <w:spacing w:after="0" w:line="1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 Marine Parkway, Suite 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(650) 213-8444</w:t>
      </w:r>
    </w:p>
    <w:p>
      <w:pPr>
        <w:spacing w:after="0" w:line="97"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(b)-(c) </w:t>
      </w:r>
      <w:r>
        <w:rPr>
          <w:rFonts w:ascii="Times New Roman" w:cs="Times New Roman" w:eastAsia="Times New Roman" w:hAnsi="Times New Roman"/>
          <w:sz w:val="18"/>
          <w:szCs w:val="18"/>
          <w:i w:val="1"/>
          <w:iCs w:val="1"/>
          <w:color w:val="auto"/>
        </w:rPr>
        <w:t>Securities; Trading Market and Price</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INTRODUCTION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6 (“Price Range of Shares; Dividends”)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Identity and Background of Filing 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1003</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(a)-(c) </w:t>
      </w:r>
      <w:r>
        <w:rPr>
          <w:rFonts w:ascii="Times New Roman" w:cs="Times New Roman" w:eastAsia="Times New Roman" w:hAnsi="Times New Roman"/>
          <w:sz w:val="18"/>
          <w:szCs w:val="18"/>
          <w:i w:val="1"/>
          <w:iCs w:val="1"/>
          <w:color w:val="auto"/>
        </w:rPr>
        <w:t>Name and Address; Business and Background</w:t>
      </w:r>
      <w:r>
        <w:rPr>
          <w:rFonts w:ascii="Times New Roman" w:cs="Times New Roman" w:eastAsia="Times New Roman" w:hAnsi="Times New Roman"/>
          <w:sz w:val="18"/>
          <w:szCs w:val="18"/>
          <w:color w:val="auto"/>
        </w:rPr>
        <w:t>. This Schedule TO is filed by Purchaser and Neurocrine. The information set forth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to Purchase under the following captions is incorporated herein by reference:</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8 (“Certain Information Concerning Neurocrine and Purchaser”)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SCHEDULE I — Information Relating to Neurocrine and Purchaser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Item 4. </w:t>
      </w:r>
      <w:r>
        <w:rPr>
          <w:rFonts w:ascii="Times New Roman" w:cs="Times New Roman" w:eastAsia="Times New Roman" w:hAnsi="Times New Roman"/>
          <w:sz w:val="18"/>
          <w:szCs w:val="18"/>
          <w:b w:val="1"/>
          <w:bCs w:val="1"/>
          <w:i w:val="1"/>
          <w:iCs w:val="1"/>
          <w:color w:val="auto"/>
        </w:rPr>
        <w:t>Terms of the 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1004</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Material Terms.</w:t>
      </w:r>
      <w:r>
        <w:rPr>
          <w:rFonts w:ascii="Times New Roman" w:cs="Times New Roman" w:eastAsia="Times New Roman" w:hAnsi="Times New Roman"/>
          <w:sz w:val="18"/>
          <w:szCs w:val="18"/>
          <w:color w:val="auto"/>
        </w:rPr>
        <w:t xml:space="preserve"> The information set forth in the Offer to Purchase is incorporated herein by reference.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Past Contacts, Transactions, Negotiations and Agreements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1005</w:t>
      </w:r>
    </w:p>
    <w:p>
      <w:pPr>
        <w:spacing w:after="0" w:line="119" w:lineRule="exact"/>
        <w:rPr>
          <w:sz w:val="20"/>
          <w:szCs w:val="20"/>
          <w:color w:val="auto"/>
        </w:rPr>
      </w:pPr>
    </w:p>
    <w:p>
      <w:pPr>
        <w:ind w:left="680" w:hanging="244"/>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11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10 (“Background of the Offer; Past Contacts or Negotiations with Soleno”)</w:t>
      </w:r>
    </w:p>
    <w:p>
      <w:pPr>
        <w:spacing w:after="0" w:line="223" w:lineRule="exact"/>
        <w:rPr>
          <w:rFonts w:ascii="Times New Roman" w:cs="Times New Roman" w:eastAsia="Times New Roman" w:hAnsi="Times New Roman"/>
          <w:sz w:val="18"/>
          <w:szCs w:val="18"/>
          <w:color w:val="auto"/>
        </w:rPr>
      </w:pPr>
    </w:p>
    <w:p>
      <w:pPr>
        <w:ind w:firstLine="436"/>
        <w:spacing w:after="0" w:line="284"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Corporate Events</w:t>
      </w:r>
      <w:r>
        <w:rPr>
          <w:rFonts w:ascii="Times New Roman" w:cs="Times New Roman" w:eastAsia="Times New Roman" w:hAnsi="Times New Roman"/>
          <w:sz w:val="18"/>
          <w:szCs w:val="18"/>
          <w:color w:val="auto"/>
        </w:rPr>
        <w:t>. The information set forth in the Offer to Purchase under the following captions is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w:t>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Soleno”)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11 (“The Transaction Documents”)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Soleno”)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Purposes of the Transaction and Plans or Proposals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1006</w:t>
      </w:r>
    </w:p>
    <w:p>
      <w:pPr>
        <w:spacing w:after="0" w:line="119" w:lineRule="exact"/>
        <w:rPr>
          <w:sz w:val="20"/>
          <w:szCs w:val="20"/>
          <w:color w:val="auto"/>
        </w:rPr>
      </w:pPr>
    </w:p>
    <w:p>
      <w:pPr>
        <w:ind w:left="980" w:right="680" w:hanging="544"/>
        <w:spacing w:after="0" w:line="376" w:lineRule="auto"/>
        <w:tabs>
          <w:tab w:leader="none" w:pos="67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TENDER OFFER — Section 12 (“Purpose of the Offer; Plans for Soleno”)</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13 (“Certain Effects of the Offer”)</w:t>
      </w:r>
    </w:p>
    <w:p>
      <w:pPr>
        <w:spacing w:after="0" w:line="223" w:lineRule="exact"/>
        <w:rPr>
          <w:sz w:val="20"/>
          <w:szCs w:val="20"/>
          <w:color w:val="auto"/>
        </w:rPr>
      </w:pPr>
    </w:p>
    <w:p>
      <w:pPr>
        <w:ind w:left="680" w:hanging="24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11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9 (“Source and Amount of Funds”)</w:t>
      </w:r>
    </w:p>
    <w:p>
      <w:pPr>
        <w:spacing w:after="0" w:line="117" w:lineRule="exact"/>
        <w:rPr>
          <w:rFonts w:ascii="Times New Roman" w:cs="Times New Roman" w:eastAsia="Times New Roman" w:hAnsi="Times New Roman"/>
          <w:sz w:val="18"/>
          <w:szCs w:val="18"/>
          <w:color w:val="auto"/>
        </w:rPr>
      </w:pPr>
    </w:p>
    <w:p>
      <w:pPr>
        <w:ind w:left="980" w:right="144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10 (“Background of the Offer; Past Contacts or Negotiations with Soleno”) THE TENDER OFFER — Section 11 (“The Transaction Documents”)</w:t>
      </w:r>
    </w:p>
    <w:p>
      <w:pPr>
        <w:spacing w:after="0" w:line="1" w:lineRule="exact"/>
        <w:rPr>
          <w:rFonts w:ascii="Times New Roman" w:cs="Times New Roman" w:eastAsia="Times New Roman" w:hAnsi="Times New Roman"/>
          <w:sz w:val="18"/>
          <w:szCs w:val="18"/>
          <w:color w:val="auto"/>
        </w:rPr>
      </w:pPr>
    </w:p>
    <w:p>
      <w:pPr>
        <w:ind w:left="980" w:right="358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12 (“Purpose of the Offer; Plans for Soleno”) THE TENDER OFFER — Section 13 (“Certain Effects of the Offer”)</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14 (“Dividends and Distributions”)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00"/>
          </w:cols>
          <w:pgMar w:left="440" w:top="266" w:right="10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7. </w:t>
      </w:r>
      <w:r>
        <w:rPr>
          <w:rFonts w:ascii="Times New Roman" w:cs="Times New Roman" w:eastAsia="Times New Roman" w:hAnsi="Times New Roman"/>
          <w:sz w:val="18"/>
          <w:szCs w:val="18"/>
          <w:b w:val="1"/>
          <w:bCs w:val="1"/>
          <w:i w:val="1"/>
          <w:iCs w:val="1"/>
          <w:color w:val="auto"/>
        </w:rPr>
        <w:t>Source and Amount of Funds or Other Consideration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1007</w:t>
      </w:r>
    </w:p>
    <w:p>
      <w:pPr>
        <w:spacing w:after="0" w:line="119" w:lineRule="exact"/>
        <w:rPr>
          <w:sz w:val="20"/>
          <w:szCs w:val="20"/>
          <w:color w:val="auto"/>
        </w:rPr>
      </w:pPr>
    </w:p>
    <w:p>
      <w:pPr>
        <w:ind w:left="680" w:hanging="24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Source of Funds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11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9 (“Source and Amount of Funds”)</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10 (“Background of the Offer; Past Contacts or Negotiations with Soleno”)</w:t>
      </w:r>
    </w:p>
    <w:p>
      <w:pPr>
        <w:spacing w:after="0" w:line="22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The Offer is not subject to a financing condition.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Borrowed Funds</w:t>
      </w:r>
      <w:r>
        <w:rPr>
          <w:rFonts w:ascii="Times New Roman" w:cs="Times New Roman" w:eastAsia="Times New Roman" w:hAnsi="Times New Roman"/>
          <w:sz w:val="18"/>
          <w:szCs w:val="18"/>
          <w:color w:val="auto"/>
        </w:rPr>
        <w:t>. Not applicable.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Interest in Securities of the Subject Company</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1008</w:t>
      </w:r>
    </w:p>
    <w:p>
      <w:pPr>
        <w:spacing w:after="0" w:line="119" w:lineRule="exact"/>
        <w:rPr>
          <w:sz w:val="20"/>
          <w:szCs w:val="20"/>
          <w:color w:val="auto"/>
        </w:rPr>
      </w:pPr>
    </w:p>
    <w:p>
      <w:pPr>
        <w:ind w:left="980" w:right="160" w:hanging="544"/>
        <w:spacing w:after="0" w:line="376" w:lineRule="auto"/>
        <w:tabs>
          <w:tab w:leader="none" w:pos="6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Ownership</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TENDER OFFER — Section 8 (“Certain Information Concerning Neurocrine and Purchaser”)</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11 (“The Transaction Documents”)</w:t>
      </w:r>
    </w:p>
    <w:p>
      <w:pPr>
        <w:spacing w:after="0" w:line="117" w:lineRule="exact"/>
        <w:rPr>
          <w:rFonts w:ascii="Times New Roman" w:cs="Times New Roman" w:eastAsia="Times New Roman" w:hAnsi="Times New Roman"/>
          <w:sz w:val="18"/>
          <w:szCs w:val="18"/>
          <w:color w:val="auto"/>
        </w:rPr>
      </w:pPr>
    </w:p>
    <w:p>
      <w:pPr>
        <w:ind w:left="980" w:right="3940"/>
        <w:spacing w:after="0" w:line="3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12 (“Purpose of the Offer; Plans for Soleno”) SCHEDULE I — Information Relating to Neurocrine and Purchaser</w:t>
      </w:r>
    </w:p>
    <w:p>
      <w:pPr>
        <w:ind w:left="700" w:hanging="264"/>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Transactions</w:t>
      </w:r>
      <w:r>
        <w:rPr>
          <w:rFonts w:ascii="Times New Roman" w:cs="Times New Roman" w:eastAsia="Times New Roman" w:hAnsi="Times New Roman"/>
          <w:sz w:val="18"/>
          <w:szCs w:val="18"/>
          <w:color w:val="auto"/>
        </w:rPr>
        <w:t>. None.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Persons/Assets Retained, Employed, Compensated or Used</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1009</w:t>
      </w:r>
    </w:p>
    <w:p>
      <w:pPr>
        <w:spacing w:after="0" w:line="119" w:lineRule="exact"/>
        <w:rPr>
          <w:sz w:val="20"/>
          <w:szCs w:val="20"/>
          <w:color w:val="auto"/>
        </w:rPr>
      </w:pPr>
    </w:p>
    <w:p>
      <w:pPr>
        <w:ind w:firstLine="436"/>
        <w:spacing w:after="0" w:line="284"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Solicitations or Recommendations</w:t>
      </w:r>
      <w:r>
        <w:rPr>
          <w:rFonts w:ascii="Times New Roman" w:cs="Times New Roman" w:eastAsia="Times New Roman" w:hAnsi="Times New Roman"/>
          <w:sz w:val="18"/>
          <w:szCs w:val="18"/>
          <w:color w:val="auto"/>
        </w:rPr>
        <w:t>. The information set forth in the Offer to Purchase under the following captions is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w:t>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3 (“Procedures for Accepting the Offer and Tendering Shares”)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Soleno”)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18 (“Fees and Expenses”)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60"/>
          </w:cols>
          <w:pgMar w:left="440" w:top="266" w:right="6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Item 10.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1010</w:t>
      </w:r>
    </w:p>
    <w:p>
      <w:pPr>
        <w:spacing w:after="0" w:line="119" w:lineRule="exact"/>
        <w:rPr>
          <w:sz w:val="20"/>
          <w:szCs w:val="20"/>
          <w:color w:val="auto"/>
        </w:rPr>
      </w:pPr>
    </w:p>
    <w:p>
      <w:pPr>
        <w:ind w:left="680" w:hanging="244"/>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Not applicable.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Information</w:t>
      </w:r>
      <w:r>
        <w:rPr>
          <w:rFonts w:ascii="Times New Roman" w:cs="Times New Roman" w:eastAsia="Times New Roman" w:hAnsi="Times New Roman"/>
          <w:sz w:val="18"/>
          <w:szCs w:val="18"/>
          <w:color w:val="auto"/>
        </w:rPr>
        <w:t>. Not applicable.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Additional Information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1011</w:t>
      </w:r>
    </w:p>
    <w:p>
      <w:pPr>
        <w:spacing w:after="0" w:line="119" w:lineRule="exact"/>
        <w:rPr>
          <w:sz w:val="20"/>
          <w:szCs w:val="20"/>
          <w:color w:val="auto"/>
        </w:rPr>
      </w:pPr>
    </w:p>
    <w:p>
      <w:pPr>
        <w:ind w:right="100" w:firstLine="436"/>
        <w:spacing w:after="0" w:line="284"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Regulatory Requirements and Legal Proceedings</w:t>
      </w:r>
      <w:r>
        <w:rPr>
          <w:rFonts w:ascii="Times New Roman" w:cs="Times New Roman" w:eastAsia="Times New Roman" w:hAnsi="Times New Roman"/>
          <w:sz w:val="18"/>
          <w:szCs w:val="18"/>
          <w:color w:val="auto"/>
        </w:rPr>
        <w:t>. The information set forth in the Offer to Purchase under the following captions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incorporated herein by reference:</w:t>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Soleno”)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11 (“The Transaction Documents”)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Soleno”)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13 (“Certain Effects of the Offer”)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TENDER OFFER — Section 16 (“Certain Legal Matters; Regulatory Approvals”)</w:t>
      </w:r>
    </w:p>
    <w:p>
      <w:pPr>
        <w:spacing w:after="0" w:line="223" w:lineRule="exact"/>
        <w:rPr>
          <w:sz w:val="20"/>
          <w:szCs w:val="20"/>
          <w:color w:val="auto"/>
        </w:rPr>
      </w:pPr>
    </w:p>
    <w:p>
      <w:pPr>
        <w:ind w:right="720" w:firstLine="436"/>
        <w:spacing w:after="0" w:line="284" w:lineRule="auto"/>
        <w:tabs>
          <w:tab w:leader="none" w:pos="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Material Information</w:t>
      </w:r>
      <w:r>
        <w:rPr>
          <w:rFonts w:ascii="Times New Roman" w:cs="Times New Roman" w:eastAsia="Times New Roman" w:hAnsi="Times New Roman"/>
          <w:sz w:val="18"/>
          <w:szCs w:val="18"/>
          <w:color w:val="auto"/>
        </w:rPr>
        <w:t>. The information set forth in the Offer to Purchase and the Letter of Transmittal is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1016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900" w:type="dxa"/>
            <w:vAlign w:val="bottom"/>
            <w:tcBorders>
              <w:bottom w:val="single" w:sz="8" w:color="auto"/>
            </w:tcBorders>
          </w:tcPr>
          <w:p>
            <w:pPr>
              <w:spacing w:after="0"/>
              <w:rPr>
                <w:sz w:val="16"/>
                <w:szCs w:val="16"/>
                <w:color w:val="auto"/>
              </w:rPr>
            </w:pPr>
          </w:p>
        </w:tc>
        <w:tc>
          <w:tcPr>
            <w:tcW w:w="6660" w:type="dxa"/>
            <w:vAlign w:val="bottom"/>
            <w:tcBorders>
              <w:bottom w:val="single" w:sz="8" w:color="auto"/>
            </w:tcBorders>
            <w:gridSpan w:val="8"/>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2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Offer to Purchase, dated April 20, 2026.</w:t>
            </w:r>
          </w:p>
        </w:tc>
        <w:tc>
          <w:tcPr>
            <w:tcW w:w="6660" w:type="dxa"/>
            <w:vAlign w:val="bottom"/>
            <w:gridSpan w:val="8"/>
          </w:tcPr>
          <w:p>
            <w:pPr>
              <w:spacing w:after="0"/>
              <w:rPr>
                <w:sz w:val="22"/>
                <w:szCs w:val="22"/>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5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Letter of Transmittal (including Internal Revenue Service Form W-9).</w:t>
            </w:r>
          </w:p>
        </w:tc>
        <w:tc>
          <w:tcPr>
            <w:tcW w:w="3880" w:type="dxa"/>
            <w:vAlign w:val="bottom"/>
            <w:gridSpan w:val="7"/>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(a)(1)(C)*</w:t>
            </w:r>
          </w:p>
        </w:tc>
        <w:tc>
          <w:tcPr>
            <w:tcW w:w="6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Form of Letter to Brokers, Dealers, Commercial Banks, Trust Companies and Other Nominees.</w:t>
            </w:r>
          </w:p>
        </w:tc>
        <w:tc>
          <w:tcPr>
            <w:tcW w:w="2680" w:type="dxa"/>
            <w:vAlign w:val="bottom"/>
            <w:gridSpan w:val="4"/>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(a)(1)(D)*</w:t>
            </w:r>
          </w:p>
        </w:tc>
        <w:tc>
          <w:tcPr>
            <w:tcW w:w="82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Form of Letter to Clients for Use by Brokers, Dealers, Commercial Banks, Trust Companies and Other Nominees.</w:t>
            </w:r>
          </w:p>
        </w:tc>
        <w:tc>
          <w:tcPr>
            <w:tcW w:w="1320" w:type="dxa"/>
            <w:vAlign w:val="bottom"/>
            <w:gridSpan w:val="3"/>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(a)(1)(E)*</w:t>
            </w:r>
          </w:p>
        </w:tc>
        <w:tc>
          <w:tcPr>
            <w:tcW w:w="5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 xml:space="preserve">Summary Advertisement as published in </w:t>
            </w:r>
            <w:r>
              <w:rPr>
                <w:rFonts w:ascii="Times New Roman" w:cs="Times New Roman" w:eastAsia="Times New Roman" w:hAnsi="Times New Roman"/>
                <w:sz w:val="18"/>
                <w:szCs w:val="18"/>
                <w:i w:val="1"/>
                <w:iCs w:val="1"/>
                <w:color w:val="0000EE"/>
                <w:w w:val="99"/>
              </w:rPr>
              <w:t>The New York Times</w:t>
            </w:r>
            <w:r>
              <w:rPr>
                <w:rFonts w:ascii="Times New Roman" w:cs="Times New Roman" w:eastAsia="Times New Roman" w:hAnsi="Times New Roman"/>
                <w:sz w:val="18"/>
                <w:szCs w:val="18"/>
                <w:color w:val="0000EE"/>
                <w:w w:val="99"/>
              </w:rPr>
              <w:t xml:space="preserve"> on April 20, 2026.</w:t>
            </w:r>
          </w:p>
        </w:tc>
        <w:tc>
          <w:tcPr>
            <w:tcW w:w="3740" w:type="dxa"/>
            <w:vAlign w:val="bottom"/>
            <w:gridSpan w:val="6"/>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(a)(5)(A)</w:t>
            </w:r>
          </w:p>
        </w:tc>
        <w:tc>
          <w:tcPr>
            <w:tcW w:w="87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Press Release, dated April 6, 2026 (incorporated by reference to Exhibit 99.1 to the Current Report on Form 8-K filed by</w:t>
              </w:r>
            </w:hyperlink>
          </w:p>
        </w:tc>
        <w:tc>
          <w:tcPr>
            <w:tcW w:w="840" w:type="dxa"/>
            <w:vAlign w:val="bottom"/>
            <w:gridSpan w:val="2"/>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560" w:type="dxa"/>
            <w:vAlign w:val="bottom"/>
            <w:gridSpan w:val="9"/>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Neurocrine Biosciences, Inc. with the Securities and Exchange Commission on April 6, 2026).</w:t>
              </w:r>
            </w:hyperlink>
          </w:p>
        </w:tc>
      </w:tr>
      <w:tr>
        <w:trPr>
          <w:trHeight w:val="20"/>
        </w:trPr>
        <w:tc>
          <w:tcPr>
            <w:tcW w:w="1460" w:type="dxa"/>
            <w:vAlign w:val="bottom"/>
          </w:tcPr>
          <w:p>
            <w:pPr>
              <w:spacing w:after="0" w:line="20" w:lineRule="exact"/>
              <w:rPr>
                <w:sz w:val="1"/>
                <w:szCs w:val="1"/>
                <w:color w:val="auto"/>
              </w:rPr>
            </w:pPr>
          </w:p>
        </w:tc>
        <w:tc>
          <w:tcPr>
            <w:tcW w:w="6820" w:type="dxa"/>
            <w:vAlign w:val="bottom"/>
            <w:gridSpan w:val="4"/>
            <w:shd w:val="clear" w:color="auto" w:fill="0000EE"/>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(a)(5)(B)</w:t>
            </w:r>
          </w:p>
        </w:tc>
        <w:tc>
          <w:tcPr>
            <w:tcW w:w="92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Investor Presentation, dated April 6, 2026 (incorporated by reference to Exhibit 99.2 to the Current Report on Form 8-K filed by</w:t>
              </w:r>
            </w:hyperlink>
          </w:p>
        </w:tc>
        <w:tc>
          <w:tcPr>
            <w:tcW w:w="30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560" w:type="dxa"/>
            <w:vAlign w:val="bottom"/>
            <w:gridSpan w:val="9"/>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Neurocrine Biosciences, Inc. with the Securities and Exchange Commission on April 6, 2026).</w:t>
              </w:r>
            </w:hyperlink>
          </w:p>
        </w:tc>
      </w:tr>
      <w:tr>
        <w:trPr>
          <w:trHeight w:val="385"/>
        </w:trPr>
        <w:tc>
          <w:tcPr>
            <w:tcW w:w="1460" w:type="dxa"/>
            <w:vAlign w:val="bottom"/>
          </w:tcPr>
          <w:p>
            <w:pPr>
              <w:spacing w:after="0"/>
              <w:rPr>
                <w:sz w:val="24"/>
                <w:szCs w:val="24"/>
                <w:color w:val="auto"/>
              </w:rPr>
            </w:pPr>
          </w:p>
        </w:tc>
        <w:tc>
          <w:tcPr>
            <w:tcW w:w="5680" w:type="dxa"/>
            <w:vAlign w:val="bottom"/>
            <w:tcBorders>
              <w:top w:val="single" w:sz="8" w:color="0000EE"/>
            </w:tcBorders>
            <w:gridSpan w:val="2"/>
          </w:tcPr>
          <w:p>
            <w:pPr>
              <w:ind w:left="40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87"/>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480" w:type="dxa"/>
            <w:vAlign w:val="bottom"/>
            <w:tcBorders>
              <w:bottom w:val="single" w:sz="8" w:color="auto"/>
            </w:tcBorders>
            <w:gridSpan w:val="8"/>
          </w:tcPr>
          <w:p>
            <w:pPr>
              <w:ind w:left="3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(a)(5)(C)</w:t>
            </w:r>
          </w:p>
        </w:tc>
        <w:tc>
          <w:tcPr>
            <w:tcW w:w="91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Email to Neurocrine Employees, dated April 6, 2026, from Neurocrine’s Chief Executive Officer (incorporated by reference to</w:t>
              </w:r>
            </w:hyperlink>
          </w:p>
        </w:tc>
        <w:tc>
          <w:tcPr>
            <w:tcW w:w="420" w:type="dxa"/>
            <w:vAlign w:val="bottom"/>
            <w:gridSpan w:val="4"/>
          </w:tcPr>
          <w:p>
            <w:pPr>
              <w:spacing w:after="0"/>
              <w:rPr>
                <w:sz w:val="22"/>
                <w:szCs w:val="22"/>
                <w:color w:val="auto"/>
              </w:rPr>
            </w:pPr>
          </w:p>
        </w:tc>
      </w:tr>
      <w:tr>
        <w:trPr>
          <w:trHeight w:val="196"/>
        </w:trPr>
        <w:tc>
          <w:tcPr>
            <w:tcW w:w="1420" w:type="dxa"/>
            <w:vAlign w:val="bottom"/>
          </w:tcPr>
          <w:p>
            <w:pPr>
              <w:spacing w:after="0"/>
              <w:rPr>
                <w:sz w:val="17"/>
                <w:szCs w:val="17"/>
                <w:color w:val="auto"/>
              </w:rPr>
            </w:pPr>
          </w:p>
        </w:tc>
        <w:tc>
          <w:tcPr>
            <w:tcW w:w="92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Exhibit (a)(5)(C) to the Schedule TO-C filed by Neurocrine Biosciences, Inc. with the Securities and Exchange Commission on</w:t>
              </w:r>
            </w:hyperlink>
          </w:p>
        </w:tc>
        <w:tc>
          <w:tcPr>
            <w:tcW w:w="400" w:type="dxa"/>
            <w:vAlign w:val="bottom"/>
            <w:gridSpan w:val="3"/>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9600" w:type="dxa"/>
            <w:vAlign w:val="bottom"/>
            <w:gridSpan w:val="10"/>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April 6, 2026).</w:t>
              </w:r>
            </w:hyperlink>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(a)(5)(D)</w:t>
            </w:r>
          </w:p>
        </w:tc>
        <w:tc>
          <w:tcPr>
            <w:tcW w:w="9600" w:type="dxa"/>
            <w:vAlign w:val="bottom"/>
            <w:gridSpan w:val="10"/>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Email to Soleno Employees, dated April 6, 2026, from Neurocrine’s Chief Executive Officer (incorporated by reference to Exhibit</w:t>
              </w:r>
            </w:hyperlink>
          </w:p>
        </w:tc>
      </w:tr>
      <w:tr>
        <w:trPr>
          <w:trHeight w:val="196"/>
        </w:trPr>
        <w:tc>
          <w:tcPr>
            <w:tcW w:w="1420" w:type="dxa"/>
            <w:vAlign w:val="bottom"/>
          </w:tcPr>
          <w:p>
            <w:pPr>
              <w:spacing w:after="0"/>
              <w:rPr>
                <w:sz w:val="17"/>
                <w:szCs w:val="17"/>
                <w:color w:val="auto"/>
              </w:rPr>
            </w:pPr>
          </w:p>
        </w:tc>
        <w:tc>
          <w:tcPr>
            <w:tcW w:w="94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(a)(5)(D) to the Schedule TO-C filed by Neurocrine Biosciences, Inc. with the Securities and Exchange Commission on April 6,</w:t>
              </w:r>
            </w:hyperlink>
          </w:p>
        </w:tc>
        <w:tc>
          <w:tcPr>
            <w:tcW w:w="1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2026).</w:t>
              </w:r>
            </w:hyperlink>
          </w:p>
        </w:tc>
        <w:tc>
          <w:tcPr>
            <w:tcW w:w="640" w:type="dxa"/>
            <w:vAlign w:val="bottom"/>
            <w:tcBorders>
              <w:top w:val="single" w:sz="8" w:color="0000EE"/>
            </w:tcBorders>
          </w:tcPr>
          <w:p>
            <w:pPr>
              <w:spacing w:after="0"/>
              <w:rPr>
                <w:sz w:val="17"/>
                <w:szCs w:val="17"/>
                <w:color w:val="auto"/>
              </w:rPr>
            </w:pPr>
          </w:p>
        </w:tc>
        <w:tc>
          <w:tcPr>
            <w:tcW w:w="3580" w:type="dxa"/>
            <w:vAlign w:val="bottom"/>
            <w:tcBorders>
              <w:top w:val="single" w:sz="8" w:color="0000EE"/>
            </w:tcBorders>
          </w:tcPr>
          <w:p>
            <w:pPr>
              <w:spacing w:after="0"/>
              <w:rPr>
                <w:sz w:val="17"/>
                <w:szCs w:val="17"/>
                <w:color w:val="auto"/>
              </w:rPr>
            </w:pPr>
          </w:p>
        </w:tc>
        <w:tc>
          <w:tcPr>
            <w:tcW w:w="31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(a)(5)(E)</w:t>
            </w:r>
          </w:p>
        </w:tc>
        <w:tc>
          <w:tcPr>
            <w:tcW w:w="9600" w:type="dxa"/>
            <w:vAlign w:val="bottom"/>
            <w:gridSpan w:val="10"/>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Investor Relations FAQ (incorporated by reference to Exhibit (a)(5)(E) to the Schedule TO-C filed by Neurocrine Biosciences, Inc.</w:t>
              </w:r>
            </w:hyperlink>
          </w:p>
        </w:tc>
      </w:tr>
      <w:tr>
        <w:trPr>
          <w:trHeight w:val="196"/>
        </w:trPr>
        <w:tc>
          <w:tcPr>
            <w:tcW w:w="142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with the Securities and Exchange Commission on April 6, 2026).</w:t>
              </w:r>
            </w:hyperlink>
          </w:p>
        </w:tc>
        <w:tc>
          <w:tcPr>
            <w:tcW w:w="4740" w:type="dxa"/>
            <w:vAlign w:val="bottom"/>
            <w:tcBorders>
              <w:top w:val="single" w:sz="8" w:color="0000EE"/>
            </w:tcBorders>
            <w:gridSpan w:val="6"/>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(a)(5)(F)</w:t>
            </w:r>
          </w:p>
        </w:tc>
        <w:tc>
          <w:tcPr>
            <w:tcW w:w="9600" w:type="dxa"/>
            <w:vAlign w:val="bottom"/>
            <w:gridSpan w:val="10"/>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Transcript from Neurocrine Investor Call held on April 6, 2026 (incorporated by reference to Exhibit (a)(5)(F) to the Schedule</w:t>
              </w:r>
            </w:hyperlink>
          </w:p>
        </w:tc>
      </w:tr>
      <w:tr>
        <w:trPr>
          <w:trHeight w:val="196"/>
        </w:trPr>
        <w:tc>
          <w:tcPr>
            <w:tcW w:w="1420" w:type="dxa"/>
            <w:vAlign w:val="bottom"/>
          </w:tcPr>
          <w:p>
            <w:pPr>
              <w:spacing w:after="0"/>
              <w:rPr>
                <w:sz w:val="17"/>
                <w:szCs w:val="17"/>
                <w:color w:val="auto"/>
              </w:rPr>
            </w:pPr>
          </w:p>
        </w:tc>
        <w:tc>
          <w:tcPr>
            <w:tcW w:w="91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TO-C filed by Neurocrine Biosciences, Inc. with the Securities and Exchange Commission on April 7, 2026).</w:t>
              </w:r>
            </w:hyperlink>
          </w:p>
        </w:tc>
        <w:tc>
          <w:tcPr>
            <w:tcW w:w="460" w:type="dxa"/>
            <w:vAlign w:val="bottom"/>
            <w:gridSpan w:val="5"/>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24" w:hanging="1424"/>
        <w:spacing w:after="0"/>
        <w:tabs>
          <w:tab w:leader="none" w:pos="1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2" w:lineRule="exact"/>
        <w:rPr>
          <w:sz w:val="20"/>
          <w:szCs w:val="20"/>
          <w:color w:val="auto"/>
        </w:rPr>
      </w:pPr>
    </w:p>
    <w:tbl>
      <w:tblPr>
        <w:tblLayout w:type="fixed"/>
        <w:tblInd w:w="4" w:type="dxa"/>
        <w:tblCellMar>
          <w:top w:w="0" w:type="dxa"/>
          <w:left w:w="0" w:type="dxa"/>
          <w:bottom w:w="0" w:type="dxa"/>
          <w:right w:w="0" w:type="dxa"/>
        </w:tblCellMar>
      </w:tblPr>
      <w:tr>
        <w:trPr>
          <w:trHeight w:val="299"/>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(d)(1)</w:t>
            </w:r>
            <w:r>
              <w:rPr>
                <w:rFonts w:ascii="Times New Roman" w:cs="Times New Roman" w:eastAsia="Times New Roman" w:hAnsi="Times New Roman"/>
                <w:sz w:val="26"/>
                <w:szCs w:val="26"/>
                <w:color w:val="auto"/>
                <w:vertAlign w:val="superscript"/>
              </w:rPr>
              <w:t>#</w:t>
            </w:r>
          </w:p>
        </w:tc>
        <w:tc>
          <w:tcPr>
            <w:tcW w:w="9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Agreement and Plan of Merger, dated April 5, 2026, by and among Neurocrine Biosciences, Inc., Sigma Merger Sub, Inc. and</w:t>
              </w:r>
            </w:hyperlink>
          </w:p>
        </w:tc>
        <w:tc>
          <w:tcPr>
            <w:tcW w:w="280" w:type="dxa"/>
            <w:vAlign w:val="bottom"/>
            <w:gridSpan w:val="2"/>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400" w:type="dxa"/>
            <w:vAlign w:val="bottom"/>
            <w:gridSpan w:val="7"/>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Soleno Therapeutics, Inc. (incorporated by reference to Exhibit 2.1 to the Current Report on Form 8-K filed by Neurocrine</w:t>
              </w:r>
            </w:hyperlink>
          </w:p>
        </w:tc>
      </w:tr>
      <w:tr>
        <w:trPr>
          <w:trHeight w:val="196"/>
        </w:trPr>
        <w:tc>
          <w:tcPr>
            <w:tcW w:w="1420" w:type="dxa"/>
            <w:vAlign w:val="bottom"/>
          </w:tcPr>
          <w:p>
            <w:pPr>
              <w:spacing w:after="0"/>
              <w:rPr>
                <w:sz w:val="17"/>
                <w:szCs w:val="17"/>
                <w:color w:val="auto"/>
              </w:rPr>
            </w:pPr>
          </w:p>
        </w:tc>
        <w:tc>
          <w:tcPr>
            <w:tcW w:w="88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Biosciences, Inc. with the Securities and Exchange Commission on April 6, 2026).</w:t>
              </w:r>
            </w:hyperlink>
          </w:p>
        </w:tc>
        <w:tc>
          <w:tcPr>
            <w:tcW w:w="560" w:type="dxa"/>
            <w:vAlign w:val="bottom"/>
            <w:gridSpan w:val="3"/>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9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Form of Tender and Support Agreement (incorporated by reference to Exhibit 10.1 to the Current Report on Form 8-K filed by</w:t>
              </w:r>
            </w:hyperlink>
          </w:p>
        </w:tc>
        <w:tc>
          <w:tcPr>
            <w:tcW w:w="260" w:type="dxa"/>
            <w:vAlign w:val="bottom"/>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400" w:type="dxa"/>
            <w:vAlign w:val="bottom"/>
            <w:gridSpan w:val="7"/>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Neurocrine Biosciences, Inc. with the Securities and Exchange Commission on April 6, 2026).</w:t>
              </w:r>
            </w:hyperlink>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54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r>
      <w:tr>
        <w:trPr>
          <w:trHeight w:val="30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9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Confidentiality Agreement, dated as of February 24, 2026, by and between Neurocrine Biosciences, Inc. and Soleno Therapeutics,</w:t>
            </w:r>
          </w:p>
        </w:tc>
      </w:tr>
      <w:tr>
        <w:trPr>
          <w:trHeight w:val="196"/>
        </w:trPr>
        <w:tc>
          <w:tcPr>
            <w:tcW w:w="1420" w:type="dxa"/>
            <w:vAlign w:val="bottom"/>
          </w:tcPr>
          <w:p>
            <w:pPr>
              <w:spacing w:after="0"/>
              <w:rPr>
                <w:sz w:val="17"/>
                <w:szCs w:val="17"/>
                <w:color w:val="auto"/>
              </w:rPr>
            </w:pPr>
          </w:p>
        </w:tc>
        <w:tc>
          <w:tcPr>
            <w:tcW w:w="94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Inc.</w:t>
            </w:r>
          </w:p>
        </w:tc>
      </w:tr>
      <w:tr>
        <w:trPr>
          <w:trHeight w:val="20"/>
        </w:trPr>
        <w:tc>
          <w:tcPr>
            <w:tcW w:w="14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24" w:hanging="1424"/>
        <w:spacing w:after="0"/>
        <w:tabs>
          <w:tab w:leader="none" w:pos="1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1424" w:hanging="1424"/>
        <w:spacing w:after="0"/>
        <w:tabs>
          <w:tab w:leader="none" w:pos="1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ind w:left="4"/>
        <w:spacing w:after="0"/>
        <w:tabs>
          <w:tab w:leader="none" w:pos="140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24" w:right="420" w:hanging="424"/>
        <w:spacing w:after="0" w:line="290" w:lineRule="auto"/>
        <w:tabs>
          <w:tab w:leader="none" w:pos="42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annexes, exhibits or schedules have been omitted pursuant to Item 601(a)(5) of Regulation S-K. The registrant hereby undertakes to furnish supplemental copies of any of the omitted annexes, exhibits and schedules upon request by the Securities and Exchange Commission.</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Information Required by Schedule 13E-3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3" w:right="4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their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20,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W. 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Kyle W. Gano, Ph.D.</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W. 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Kyle W. Gano, Ph.D.</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860"/>
          </w:cols>
          <w:pgMar w:left="440" w:top="266" w:right="5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$53.00 per share, payable in cash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EXPIRE ONE MINUTE FOLLOWING 11:59 P.M. EASTERN TIME ON MAY 15, 2026, UNLESS THE OFFER IS EXTENDED OR EARLIER TERMINATED.</w:t>
      </w:r>
    </w:p>
    <w:p>
      <w:pPr>
        <w:spacing w:after="0" w:line="15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7"/>
          <w:szCs w:val="17"/>
          <w:color w:val="auto"/>
        </w:rPr>
        <w:t xml:space="preserve">THE OFFER IS BEING MADE PURSUANT TO THE AGREEMENT AND PLAN OF MERGER, DATED AS OF APRIL 5, 2026 (WHICH, AS IT MAY BE AMENDED, SUPPLEMENTED OR OTHERWISE MODIFIED FROM TIME TO TIME, WE REFER TO AS THE “MERGER AGREEMENT”), BY AND AMONG NEUROCRINE BIOSCIENCES, INC., A DELAWARE CORPORATION (WHICH WE REFER TO AS “NEUROCRINE” OR “PARENT”), SIGMA MERGER SUB, INC., A DELAWARE CORPORATION (WHICH WE REFER TO AS “PURCHASER”) AND A DIRECT WHOLLY OWNED SUBSIDIARY OF NEUROCRINE, AND SOLENO THERAPEUTICS, INC., A DELAWARE CORPORATION (WHICH WE REFER TO AS “SOLENO” OR THE “COMPANY”). THE MERGER AGREEMENT PROVIDES, AMONG OTHER THINGS, THAT IF THE OFFER IS CONSUMMATED, AS SOON AS PRACTICABLE FOLLOWING THE CONSUMMATION OF THE OFFER AND SUBJECT TO THE SATISFACTION OR WAIVER OF CERTAIN CONDITIONS, PURCHASER WILL BE MERGED WITH AND INTO SOLENO (WHICH WE REFER TO AS THE “MERGER”) WITHOUT A VOTE OF THE STOCKHOLDERS OF SOLENO IN ACCORDANCE WITH SECTION 251(H) OF THE GENERAL CORPORATION LAW OF THE STATE OF DELAWARE (WHICH WE REFER TO AS THE “DGCL”), WITH SOLENO CONTINUING AS THE SURVIVING CORPORATION (WHICH WE REFER TO AS THE “SURVIVING COMPANY”) IN THE MERGER. IN THE MERGER, EACH SHARE OF COMMON STOCK, PAR VALUE $0.001 PER SHARE (WHICH WE REFER TO INDIVIDUALLY AS A “SHARE” AND COLLECTIVELY AS THE “SHARES”), OF SOLENO OUTSTANDING IMMEDIATELY PRIOR TO THE EFFECTIVE TIME OF THE MERGER (OTHER THAN ANY SHARES HELD BY SOLENO, NEUROCRINE, PURCHASER OR ANY OF THEIR RESPECTIVE SUBSIDIARIES OR BY ANY PERSON WHO HAS PROPERLY EXERCISED AND PERFECTED THEIR DEMANDS FOR APPRAISAL OF SUCH PERSON’S SHARES IN THE TIME AND MANNER PROVIDED IN SECTION 262 OF THE DGCL) WILL BE CONVERTED INTO THE RIGHT TO RECEIVE THE OFFER PRICE (AS DEFINED BELOW). AS A RESULT OF THE MERGER, SOLENO WILL CEASE TO BE A PUBLICLY TRADED COMPANY AND WILL BECOME A DIRECT WHOLLY OWNED SUBSIDIARY OF NEUROCRINE. </w:t>
      </w:r>
      <w:r>
        <w:rPr>
          <w:rFonts w:ascii="Times New Roman" w:cs="Times New Roman" w:eastAsia="Times New Roman" w:hAnsi="Times New Roman"/>
          <w:sz w:val="17"/>
          <w:szCs w:val="17"/>
          <w:b w:val="1"/>
          <w:bCs w:val="1"/>
          <w:color w:val="auto"/>
        </w:rPr>
        <w:t>UNDER NO</w:t>
      </w:r>
    </w:p>
    <w:p>
      <w:pPr>
        <w:spacing w:after="0" w:line="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b w:val="1"/>
          <w:bCs w:val="1"/>
          <w:color w:val="auto"/>
        </w:rPr>
        <w:t>CIRCUMSTANCES WILL INTEREST BE PAID ON THE CONSIDERATION FOR SHARES, REGARDLESS OF ANY EXTENSION OF THE OFFER OR ANY DELAY IN MAKING PAYMENT FOR SHARES.</w:t>
      </w:r>
    </w:p>
    <w:p>
      <w:pPr>
        <w:spacing w:after="0" w:line="177"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Soleno has (i) determined that the Merger Agreement and the transactions contemplated thereby, including the Offer and the Merger, are advisable and fair to, and in the best</w:t>
      </w:r>
    </w:p>
    <w:p>
      <w:pPr>
        <w:sectPr>
          <w:pgSz w:w="11900" w:h="16838" w:orient="portrait"/>
          <w:cols w:equalWidth="0" w:num="1">
            <w:col w:w="11020"/>
          </w:cols>
          <w:pgMar w:left="440" w:top="117" w:right="439" w:bottom="1440" w:gutter="0" w:footer="0" w:header="0"/>
        </w:sectPr>
      </w:pPr>
    </w:p>
    <w:bookmarkStart w:id="8" w:name="page9"/>
    <w:bookmarkEnd w:id="8"/>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of, Soleno and its stockholders, (ii) approved the execution, delivery and performance by Soleno of the Merger Agreement and the consummation of the transactions contemplated thereby, including the Offer and the Merger, (iii) resolved that the Merger shall be effected under Section 251(h) of the DGCL, and (iv) resolved to recommend that the stockholders of Soleno accept the Offer and tender their Shares to Purchaser pursuant to the Offer, in each case on the terms and subject to the conditions of the Merger Agreement.</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The Offer is not conditioned on obtaining financing or the funding thereof. However, the Offer is subject to various other conditions, including, among other things, (i) there having been validly tendered (and not validly withdrawn) Shares that, considered together with all other Shares (if any) beneficially owned by Neurocrine and its subsidiaries (but excluding Shares that have not yet been “received,” as such term is defined by Section 251(h)(6) of the DGCL), would represent one more Share than 50% of the total number of Shares outstanding at the time of the expiration of the Offer, (ii) the Regulatory Condition to the Offer (as defined below in Section 1—“Terms of the Offer”) and (iii) the Governmental Authority Condition to the Offer (as defined below in Section 1—“Terms of the Offer”), as described in more detail in Section 15 —“Conditions to the Offer.”</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 summary of the principal terms of the Offer appears under the heading “Summary Term Sheet.” You should read this entire Offer to Purchase (which we refer to as this “Offer to Purchase”) carefully before deciding whether to tender your Shares pursuant to the Offer.</w:t>
      </w:r>
    </w:p>
    <w:p>
      <w:pPr>
        <w:spacing w:after="0" w:line="158"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QUESTIONS, REQUESTS FOR ASSISTANCE AND REQUESTS FOR ADDITIONAL COPIES OF THIS OFFER TO PURCHASE AND THE RELATED LETTER OF TRANSMITTAL (WHICH WE REFER TO AS THE “LETTER OF TRANSMITTAL” AND WHICH, TOGETHER WITH THIS OFFER TO PURCHASE AND OTHER RELATED TENDER OFFER MATERIALS, AS EACH MAY BE AMENDED, SUPPLEMENTED OR OTHERWISE MODIFIED FROM TIME TO TIME, CONSTITUTES, AND WE REFER TO AS, THE “OFFER”) MAY BE DIRECTED TO THE INFORMATION AGENT AT THE ADDRESS AND TELEPHONE NUMBER SET FORTH ON THE BACK COVER OF THIS OFFER TO PURCHASE. STOCKHOLDERS ALSO MAY CONTACT THEIR BROKERS, DEALERS, BANKS, TRUST COMPANIES OR OTHER NOMINEES FOR ASSISTANCE CONCERNING THE OFFER.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00"/>
          </w:cols>
          <w:pgMar w:left="440" w:top="266" w:right="4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desire to tender all or any portion of your Shares to Purchaser pursuant to the Offer, you must do the following:</w:t>
      </w:r>
    </w:p>
    <w:p>
      <w:pPr>
        <w:spacing w:after="0" w:line="131" w:lineRule="exact"/>
        <w:rPr>
          <w:sz w:val="20"/>
          <w:szCs w:val="20"/>
          <w:color w:val="auto"/>
        </w:rPr>
      </w:pPr>
    </w:p>
    <w:p>
      <w:pPr>
        <w:ind w:left="960" w:hanging="424"/>
        <w:spacing w:after="0" w:line="25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complete and sign the Letter of Transmittal for the Offer, which is enclosed with this Offer to Purchase, in accordance with the instructions contained in the Letter of Transmittal, with any required signature guarantees if the Letter of Transmittal so requires, and mail or deliver the Letter of Transmittal and any other required documents to Equiniti Trust Company, LLC, in its capacity as depositary and paying agent for the Offer (which we refer to as the “Depositary”), and either deliver the certificates for your Shares to the Depositary along with the Letter of Transmittal or tender your Shares by book-entry transfer by following the procedures described in Section 3—“Procedures for Accepting the Offer and Tendering Shares,” in each case prior to the Expiration Date.</w:t>
      </w:r>
    </w:p>
    <w:p>
      <w:pPr>
        <w:spacing w:after="0" w:line="92"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registered in the name of a broker, dealer, commercial bank, trust company or other nominee, you must contact that institution and give it instructions in order to tender your Shares to Purchaser pursuant to the Offer.</w:t>
      </w:r>
    </w:p>
    <w:p>
      <w:pPr>
        <w:spacing w:after="0" w:line="161" w:lineRule="exact"/>
        <w:rPr>
          <w:rFonts w:ascii="Times New Roman" w:cs="Times New Roman" w:eastAsia="Times New Roman" w:hAnsi="Times New Roman"/>
          <w:sz w:val="18"/>
          <w:szCs w:val="18"/>
          <w:color w:val="auto"/>
        </w:rPr>
      </w:pPr>
    </w:p>
    <w:p>
      <w:pPr>
        <w:ind w:left="5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and you should read both carefully and in their entirety before making a decision with respect to the Offer. The Letter of Transmittal and any other required documents set forth in Section 3—“Procedures for Accepting the Offer and Tendering Shares” must reach the Depositary prior to the expiration of the Offer (currently scheduled as one minute following 11:59 p.m. Eastern Time on May 15, 2026, unless extended or earlier terminated as permitted by the Merger Agreement).</w:t>
      </w:r>
    </w:p>
    <w:p>
      <w:pPr>
        <w:spacing w:after="0" w:line="179"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Offer nor the Merger has been approved or disapproved by the U.S. Securities and Exchange Commission (which we refer to as the “SEC”) or any state securities commission, nor has the SEC or any state securities commission passed upon the fairness or merits of or upon the accuracy or adequacy of the information contained in this Offer to Purchase. Any representation to the contrary is unlawful.</w:t>
      </w:r>
    </w:p>
    <w:p>
      <w:pPr>
        <w:spacing w:after="0" w:line="17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Questions and requests for assistance should be directed to the Information Agent (as defined herein) at its addresses and telephone numbers set forth below and on the back cover of this Offer to Purchase. Additional copies of this Offer to Purchase, the related Letter of Transmittal and other materials related to the Offer may also be obtained for free from the Information Agent. Additionally, copies of this Offer to Purchase, the related Letter of Transmittal and any other material related to the Offer may be obtained at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contact your broker, dealer, commercial bank, trust company or other nominee for assistance.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173990</wp:posOffset>
            </wp:positionV>
            <wp:extent cx="1680210" cy="505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68021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 Penn Plaza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929-5500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 Toll-Free (800) 322-2885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tenderoffer@mackenziepartners.com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80"/>
          </w:cols>
          <w:pgMar w:left="440" w:top="266"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73"/>
        </w:trPr>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5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SUMMARY TERM SHEET</w:t>
            </w: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INTRODUCTION</w:t>
            </w:r>
          </w:p>
        </w:tc>
        <w:tc>
          <w:tcPr>
            <w:tcW w:w="700" w:type="dxa"/>
            <w:vAlign w:val="bottom"/>
            <w:tcBorders>
              <w:top w:val="single" w:sz="8" w:color="0000EE"/>
            </w:tcBorders>
            <w:gridSpan w:val="7"/>
          </w:tcPr>
          <w:p>
            <w:pPr>
              <w:spacing w:after="0"/>
              <w:rPr>
                <w:sz w:val="17"/>
                <w:szCs w:val="17"/>
                <w:color w:val="auto"/>
              </w:rPr>
            </w:pPr>
          </w:p>
        </w:tc>
        <w:tc>
          <w:tcPr>
            <w:tcW w:w="650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8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THE TENDER OFFER</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4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8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Terms of the Offer</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4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8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Acceptance for Payment and Payment for Shares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4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8"/>
              </w:rPr>
              <w:t>Procedures for Accepting the Offer and Tendering Shares</w:t>
            </w:r>
          </w:p>
        </w:tc>
        <w:tc>
          <w:tcPr>
            <w:tcW w:w="400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7"/>
              </w:rPr>
              <w:t>Withdrawal Rights</w:t>
            </w:r>
          </w:p>
        </w:tc>
        <w:tc>
          <w:tcPr>
            <w:tcW w:w="680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4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9"/>
              </w:rPr>
              <w:t>Certain Material U.S. Federal Income Tax Consequences</w:t>
            </w:r>
          </w:p>
        </w:tc>
        <w:tc>
          <w:tcPr>
            <w:tcW w:w="400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4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8"/>
              </w:rPr>
              <w:t>Price Range of Shares; Dividends</w:t>
            </w:r>
          </w:p>
        </w:tc>
        <w:tc>
          <w:tcPr>
            <w:tcW w:w="570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9"/>
              </w:rPr>
              <w:t>Certain Information Concerning Soleno</w:t>
            </w:r>
          </w:p>
        </w:tc>
        <w:tc>
          <w:tcPr>
            <w:tcW w:w="526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8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Certain Information Concerning Neurocrine and Purchaser</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w:t>
            </w:r>
          </w:p>
        </w:tc>
        <w:tc>
          <w:tcPr>
            <w:tcW w:w="43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Source and Amount of Funds</w:t>
            </w:r>
          </w:p>
        </w:tc>
        <w:tc>
          <w:tcPr>
            <w:tcW w:w="384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4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49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9"/>
              </w:rPr>
              <w:t>Background of the Offer; Past Contacts or Negotiations with Soleno</w:t>
            </w:r>
          </w:p>
        </w:tc>
        <w:tc>
          <w:tcPr>
            <w:tcW w:w="32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8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The Transaction Documents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4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7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9"/>
              </w:rPr>
              <w:t>Purpose of the Offer; Plans for Soleno</w:t>
            </w:r>
          </w:p>
        </w:tc>
        <w:tc>
          <w:tcPr>
            <w:tcW w:w="536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Certain Effects of the Offer</w:t>
            </w:r>
          </w:p>
        </w:tc>
        <w:tc>
          <w:tcPr>
            <w:tcW w:w="612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0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9"/>
              </w:rPr>
              <w:t>Dividends and Distributions</w:t>
            </w:r>
          </w:p>
        </w:tc>
        <w:tc>
          <w:tcPr>
            <w:tcW w:w="606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6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8"/>
              </w:rPr>
              <w:t>Conditions to the Offer</w:t>
            </w:r>
          </w:p>
        </w:tc>
        <w:tc>
          <w:tcPr>
            <w:tcW w:w="648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8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Certain Legal Matters; Regulatory Approvals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32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Appraisal Rights</w:t>
            </w:r>
          </w:p>
        </w:tc>
        <w:tc>
          <w:tcPr>
            <w:tcW w:w="486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4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640" w:type="dxa"/>
            <w:vAlign w:val="bottom"/>
            <w:gridSpan w:val="1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81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i w:val="1"/>
                <w:iCs w:val="1"/>
                <w:color w:val="0000EE"/>
              </w:rPr>
              <w:t>Fees and Expenses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10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i w:val="1"/>
                <w:iCs w:val="1"/>
                <w:color w:val="0000EE"/>
                <w:w w:val="98"/>
              </w:rPr>
              <w:t>Miscellaneous</w:t>
            </w:r>
          </w:p>
        </w:tc>
        <w:tc>
          <w:tcPr>
            <w:tcW w:w="320" w:type="dxa"/>
            <w:vAlign w:val="bottom"/>
            <w:tcBorders>
              <w:top w:val="single" w:sz="8" w:color="0000EE"/>
            </w:tcBorders>
            <w:gridSpan w:val="5"/>
          </w:tcPr>
          <w:p>
            <w:pPr>
              <w:spacing w:after="0"/>
              <w:rPr>
                <w:sz w:val="17"/>
                <w:szCs w:val="17"/>
                <w:color w:val="auto"/>
              </w:rPr>
            </w:pPr>
          </w:p>
        </w:tc>
        <w:tc>
          <w:tcPr>
            <w:tcW w:w="6780" w:type="dxa"/>
            <w:vAlign w:val="bottom"/>
            <w:gridSpan w:val="1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64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SCHEDULE I—INFORMATION RELATING TO NEUROCRINE AND PURCHASER</w:t>
            </w:r>
          </w:p>
        </w:tc>
        <w:tc>
          <w:tcPr>
            <w:tcW w:w="21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6" w:right="49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SUMMARY TERM SHEET</w:t>
      </w:r>
    </w:p>
    <w:p>
      <w:pPr>
        <w:spacing w:after="0" w:line="22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Purchaser is offering to purchase, subject to certain conditions, including the satisfaction of the Minimum Condition (as defined below), any and all of the outstanding Shares in exchange for $53.00 per Share, payable in cash, without interest and subject to reduction for any applicable withholding taxes, upon the terms and subject to the conditions set forth in this Offer to Purchase and in the related Letter of Transmittal.</w:t>
      </w:r>
    </w:p>
    <w:p>
      <w:pPr>
        <w:spacing w:after="0" w:line="2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The information contained in this summary term sheet is a summary only and is not meant to be a substitute for the more detailed description and information contained in the Offer to Purchase, the Letter of Transmittal and other related tender offer materials. You are urged to read carefully the Offer to Purchase, the Letter of Transmittal and other related tender offer materials in their entirety. Neurocrine and Purchaser have included cross-references in this summary term sheet to other sections of the Offer to Purchase where you will find more complete descriptions of the topics mentioned below. The information concerning Soleno contained herein and elsewhere in the Offer to Purchase has been provided to Neurocrine and Purchaser by Soleno or has been taken from or is based upon publicly available documents or records of Soleno on file with the SEC at the time of the Offer. Neurocrine and Purchaser have not independently verified the accuracy and completeness of such information.</w:t>
      </w:r>
    </w:p>
    <w:p>
      <w:pPr>
        <w:sectPr>
          <w:pgSz w:w="11900" w:h="16838" w:orient="portrait"/>
          <w:cols w:equalWidth="0" w:num="1">
            <w:col w:w="10940"/>
          </w:cols>
          <w:pgMar w:left="440" w:top="266" w:right="51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Sought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Subject to certain conditions, including the satisfaction of the Minimum Condition (as described in Section 15—“Conditions to the Offer”), any and all of the outstanding shares of common stock, par value $0.001 per share, of Soleno Therapeutics, Inc. Unless the context otherwise requires, in this Offer to Purchase, the term “Shares” refers to shares of Soleno common stock.</w:t>
      </w:r>
    </w:p>
    <w:p>
      <w:pPr>
        <w:spacing w:after="0" w:line="68" w:lineRule="exact"/>
        <w:rPr>
          <w:sz w:val="20"/>
          <w:szCs w:val="20"/>
          <w:color w:val="auto"/>
        </w:rPr>
      </w:pPr>
    </w:p>
    <w:p>
      <w:pPr>
        <w:sectPr>
          <w:pgSz w:w="11900" w:h="16838" w:orient="portrait"/>
          <w:cols w:equalWidth="0" w:num="2">
            <w:col w:w="2920" w:space="720"/>
            <w:col w:w="7300"/>
          </w:cols>
          <w:pgMar w:left="440" w:top="266"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Consideration Offered Per Share</w:t>
      </w:r>
    </w:p>
    <w:p>
      <w:pPr>
        <w:spacing w:after="0" w:line="20" w:lineRule="exact"/>
        <w:rPr>
          <w:sz w:val="20"/>
          <w:szCs w:val="20"/>
          <w:color w:val="auto"/>
        </w:rPr>
      </w:pPr>
      <w:r>
        <w:rPr>
          <w:sz w:val="20"/>
          <w:szCs w:val="20"/>
          <w:color w:val="auto"/>
        </w:rPr>
        <w:br w:type="column"/>
      </w:r>
    </w:p>
    <w:p>
      <w:pPr>
        <w:ind w:right="600"/>
        <w:spacing w:after="0" w:line="282" w:lineRule="auto"/>
        <w:rPr>
          <w:sz w:val="20"/>
          <w:szCs w:val="20"/>
          <w:color w:val="auto"/>
        </w:rPr>
      </w:pPr>
      <w:r>
        <w:rPr>
          <w:rFonts w:ascii="Times New Roman" w:cs="Times New Roman" w:eastAsia="Times New Roman" w:hAnsi="Times New Roman"/>
          <w:sz w:val="18"/>
          <w:szCs w:val="18"/>
          <w:color w:val="auto"/>
        </w:rPr>
        <w:t>$53.00 per Share, payable in cash without interest and subject to reduction for any applicable withholding taxes (which we refer to as the “Offer Price”).</w:t>
      </w:r>
    </w:p>
    <w:p>
      <w:pPr>
        <w:spacing w:after="0" w:line="50" w:lineRule="exact"/>
        <w:rPr>
          <w:sz w:val="20"/>
          <w:szCs w:val="20"/>
          <w:color w:val="auto"/>
        </w:rPr>
      </w:pPr>
    </w:p>
    <w:p>
      <w:pPr>
        <w:sectPr>
          <w:pgSz w:w="11900" w:h="16838" w:orient="portrait"/>
          <w:cols w:equalWidth="0" w:num="2">
            <w:col w:w="2920" w:space="720"/>
            <w:col w:w="7300"/>
          </w:cols>
          <w:pgMar w:left="440" w:top="266"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Scheduled Expiration of Offer</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One minute following 11:59 p.m. Eastern Time on May 15, 2026, unless the Offer is extended or terminated. See Section 1—“Terms of the Offer.”</w:t>
      </w:r>
    </w:p>
    <w:p>
      <w:pPr>
        <w:spacing w:after="0" w:line="50" w:lineRule="exact"/>
        <w:rPr>
          <w:sz w:val="20"/>
          <w:szCs w:val="20"/>
          <w:color w:val="auto"/>
        </w:rPr>
      </w:pPr>
    </w:p>
    <w:p>
      <w:pPr>
        <w:sectPr>
          <w:pgSz w:w="11900" w:h="16838" w:orient="portrait"/>
          <w:cols w:equalWidth="0" w:num="2">
            <w:col w:w="2920" w:space="720"/>
            <w:col w:w="7300"/>
          </w:cols>
          <w:pgMar w:left="440" w:top="266"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Purchaser</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Sigma Merger Sub, Inc., a Delaware corporation and a direct wholly owned subsidiary of Neurocrine Biosciences, Inc., a Delaware corporation.</w:t>
      </w:r>
    </w:p>
    <w:p>
      <w:pPr>
        <w:spacing w:after="0" w:line="200" w:lineRule="exact"/>
        <w:rPr>
          <w:sz w:val="20"/>
          <w:szCs w:val="20"/>
          <w:color w:val="auto"/>
        </w:rPr>
      </w:pPr>
    </w:p>
    <w:p>
      <w:pPr>
        <w:sectPr>
          <w:pgSz w:w="11900" w:h="16838" w:orient="portrait"/>
          <w:cols w:equalWidth="0" w:num="2">
            <w:col w:w="2920" w:space="720"/>
            <w:col w:w="7300"/>
          </w:cols>
          <w:pgMar w:left="440" w:top="266" w:right="51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offering to purchase my shares?</w:t>
      </w:r>
    </w:p>
    <w:p>
      <w:pPr>
        <w:spacing w:after="0" w:line="121" w:lineRule="exact"/>
        <w:rPr>
          <w:sz w:val="20"/>
          <w:szCs w:val="20"/>
          <w:color w:val="auto"/>
        </w:rPr>
      </w:pPr>
    </w:p>
    <w:p>
      <w:pPr>
        <w:jc w:val="both"/>
        <w:ind w:right="380" w:firstLine="440"/>
        <w:spacing w:after="0" w:line="261" w:lineRule="auto"/>
        <w:rPr>
          <w:sz w:val="20"/>
          <w:szCs w:val="20"/>
          <w:color w:val="auto"/>
        </w:rPr>
      </w:pPr>
      <w:r>
        <w:rPr>
          <w:rFonts w:ascii="Times New Roman" w:cs="Times New Roman" w:eastAsia="Times New Roman" w:hAnsi="Times New Roman"/>
          <w:sz w:val="18"/>
          <w:szCs w:val="18"/>
          <w:color w:val="auto"/>
        </w:rPr>
        <w:t>Sigma Merger Sub, Inc., or “Purchaser,” a direct wholly owned subsidiary of Neurocrine Biosciences, Inc., is offering to purchase for cash, subject to certain conditions, including the satisfaction of the Minimum Condition, any and all of the outstanding Shares. Purchaser is a Delaware corporation that was formed for the sole purpose of making the Offer and completing the process by which Purchaser will be merged with and into Soleno. See the “Introduction” and Section 8—“Certain Information Concerning Neurocrine and Purchaser.”</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in this Offer to Purchase, we use the terms “us,” “we” and “our” to refer to Purchaser and, where appropriate, Neurocrine. We use the term “Neurocrine” to refer to Neurocrine Biosciences, Inc. alone, the term “Purchaser” to refer to Sigma Merger Sub, Inc. alone and the terms “Soleno” and the “Company” to refer to Soleno Therapeutics, Inc. alone. We use the term “Acquired Corporation” to refer to each of Soleno and its subsidiaries, and we refer to Soleno and its subsidiaries, collectively, as the “Acquired Corporations.”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classes and amounts of securities sought in the Offer?</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are offering to purchase, subject to certain conditions, including the satisfaction of the Minimum Condition, any and all of the outstanding Shares on the terms and subject to the conditions set forth in this Offer to Purchase. Unless the context otherwise requires, in this Offer to Purchase we use the term “Offer” to refer to this offer.</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66" w:right="519" w:bottom="1440" w:gutter="0" w:footer="0" w:header="0"/>
          <w:type w:val="continuous"/>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See the “Introduction” to this Offer to Purchase and Section 1—“Terms of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making the Offer?</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are making the Offer because we want to acquire control of, and the entire equity interests in, Soleno. If the Offer is consummated, pursuant to the Merger Agreement, Neurocrine intends, as soon as practicable following the Offer Acceptance Time (as defined below), to cause Purchaser to consummate the Merger (as defined below). Upon consummation of the Merger, Soleno would cease to be a publicly traded company and would be a direct wholly owned subsidiary of Neurocrine.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much are you offering to pay and what is the form of payment? Will I have to pay any fees or commissions?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are offering to pay $53.00 per Share, payable in cash without interest and subject to reduction for any applicable withholding taxes. If you are the record owner of your Shares and you tender your Shares to us in the Offer, you will not have to pay brokerage fees, commissions or similar expenses. If you own your Shares through a broker or other nominee and your broker or other nominee tenders your Shares on your behalf, your broker or nominee may charge you a fee for doing so. You should consult your broker or nominee to determine whether any charges will apply.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“Introduction,” Section 1—“Terms of the Offer” and Section 2—“Acceptance for Payment and Payment for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there an agreement governing the Offer?</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Yes. Neurocrine, Purchaser and Soleno have entered into an Agreement and Plan of Merger, dated as of April 5, 2026 (as it may be amended, supplemented or otherwise modified from time to time, we refer to as the “Merger Agreement”). The Merger Agreement provides, among other things, for the terms and conditions of the Offer and the subsequent merger of Purchaser with and into Soleno (which we refer to as the “Merger”). If the conditions to the Offer (including the Minimum Condition) are satisfied or waived and we consummate the Offer, we intend to effect the Merger without any vote or other action by the stockholders of Soleno pursuant to Section 251(h) of the DGCL.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11—“The Transaction Documents” and Section 15—“Conditions to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you have the financial resources to make payment?</w:t>
      </w:r>
    </w:p>
    <w:p>
      <w:pPr>
        <w:spacing w:after="0" w:line="12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Yes. Consummation of the Offer is not subject to any financing condition. The total amount of funds required by Neurocrine and Purchaser to consummate the Offer and purchase all outstanding Shares in the Offer not already owned by Neurocrine, to provide funding for the payment in respect of outstanding stock options and restricted stock units and to provide funding for the Merger is approximately $2.9 billion, plus related fees and expenses. Neurocrine and Purchaser currently have, and will have, available to them cash on hand necessary for the payment of the aggregate Offer Price and the aggregate Merger Consideration and to satisfy all of their payment obligations under the Merger Agreement and resulting from the transactions contemplated thereby in connection with the Closing. Neither Neurocrine nor Purchaser has entered into any financing commitment in connection with the Merger Agreement or the transactions contemplated thereby.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9—“Source and Amount of Funds.”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your financial condition relevant to my decision to tender my Shares in the Offer?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we do not think our financial condition is relevant to your decision whether to tender Shares and accept the Offer because:</w:t>
      </w:r>
    </w:p>
    <w:p>
      <w:pPr>
        <w:spacing w:after="0" w:line="131" w:lineRule="exact"/>
        <w:rPr>
          <w:sz w:val="20"/>
          <w:szCs w:val="20"/>
          <w:color w:val="auto"/>
        </w:rPr>
      </w:pPr>
    </w:p>
    <w:p>
      <w:pPr>
        <w:ind w:left="964" w:hanging="424"/>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 solely for cash;</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subject to any financing condition;</w:t>
      </w:r>
    </w:p>
    <w:p>
      <w:pPr>
        <w:spacing w:after="0" w:line="130" w:lineRule="exact"/>
        <w:rPr>
          <w:rFonts w:ascii="Times New Roman" w:cs="Times New Roman" w:eastAsia="Times New Roman" w:hAnsi="Times New Roman"/>
          <w:sz w:val="18"/>
          <w:szCs w:val="18"/>
          <w:color w:val="auto"/>
        </w:rPr>
      </w:pPr>
    </w:p>
    <w:p>
      <w:pPr>
        <w:ind w:left="964" w:right="40" w:hanging="424"/>
        <w:spacing w:after="0" w:line="282"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Neurocrine and Purchaser currently have, and will have, available to them cash on hand sufficient to purchase all Shares tendered pursuant to the Offer; and</w:t>
      </w:r>
    </w:p>
    <w:p>
      <w:pPr>
        <w:spacing w:after="0" w:line="67" w:lineRule="exact"/>
        <w:rPr>
          <w:rFonts w:ascii="Times New Roman" w:cs="Times New Roman" w:eastAsia="Times New Roman" w:hAnsi="Times New Roman"/>
          <w:sz w:val="18"/>
          <w:szCs w:val="18"/>
          <w:color w:val="auto"/>
        </w:rPr>
      </w:pPr>
    </w:p>
    <w:p>
      <w:pPr>
        <w:ind w:left="964" w:right="200" w:hanging="424"/>
        <w:spacing w:after="0" w:line="282"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consummate the Offer, we will acquire all remaining Shares for the same consideration in the Merger as was paid in the Offer (i.e., the Offer Price).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See Section 9—“Source and Amount of Funds” and Section 11—“The Transaction Documents.”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Does Neurocrine or Purchaser already own Shares?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as of April 20, 2026, neither Neurocrine nor Purchaser own any Shares.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How long do I have to decide whether to tender my Shares in the Offer?</w:t>
      </w:r>
    </w:p>
    <w:p>
      <w:pPr>
        <w:spacing w:after="0" w:line="121"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You will have until one minute following 11:59 p.m. Eastern Time on May 15, 2026, unless we extend the Offer pursuant to the terms of the Merger Agreement (we refer to such date and time, as it may be extended in accordance with the terms of the Merger Agreement, as the “Expiration Date”) or the Offer is earlier terminated. Please give your broker, dealer, commercial bank, trust company or other nominee instructions with sufficient time to permit such nominee to tender your Shares by the Expiration Date.</w:t>
      </w:r>
    </w:p>
    <w:p>
      <w:pPr>
        <w:spacing w:after="0" w:line="180"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date and time at which Purchaser accepts for payment all Shares validly tendered (and not validly withdrawn) pursuant to the Offer is referred to as the “Offer Acceptance Time.” The date and time at which the Merger becomes effective is referred to as the “Effective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See Section 1—“Terms of the Offer” and Section 3—“Procedures for Accepting the Offer and Tendering Shares.”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Can the Offer be extended and under what circumstances?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Yes, the Offer can be extended.</w:t>
      </w:r>
    </w:p>
    <w:p>
      <w:pPr>
        <w:spacing w:after="0" w:line="225" w:lineRule="exact"/>
        <w:rPr>
          <w:sz w:val="20"/>
          <w:szCs w:val="20"/>
          <w:color w:val="auto"/>
        </w:rPr>
      </w:pPr>
    </w:p>
    <w:p>
      <w:pPr>
        <w:ind w:left="4" w:right="60" w:firstLine="440"/>
        <w:spacing w:after="0" w:line="276" w:lineRule="auto"/>
        <w:rPr>
          <w:sz w:val="20"/>
          <w:szCs w:val="20"/>
          <w:color w:val="auto"/>
        </w:rPr>
      </w:pPr>
      <w:r>
        <w:rPr>
          <w:rFonts w:ascii="Times New Roman" w:cs="Times New Roman" w:eastAsia="Times New Roman" w:hAnsi="Times New Roman"/>
          <w:sz w:val="17"/>
          <w:szCs w:val="17"/>
          <w:color w:val="auto"/>
        </w:rPr>
        <w:t>Purchaser must extend the Offer from time to time for (x) any period required by any legal requirement, any interpretation or position of the SEC, the staff thereof or the Nasdaq Capital Market (which we refer to as “Nasdaq”) and the staff thereof applicable to the Offer, and (y) periods of up to ten</w:t>
      </w:r>
    </w:p>
    <w:p>
      <w:pPr>
        <w:spacing w:after="0" w:line="1" w:lineRule="exact"/>
        <w:rPr>
          <w:sz w:val="20"/>
          <w:szCs w:val="20"/>
          <w:color w:val="auto"/>
        </w:rPr>
      </w:pPr>
    </w:p>
    <w:p>
      <w:pPr>
        <w:ind w:left="4" w:right="380" w:hanging="4"/>
        <w:spacing w:after="0" w:line="255" w:lineRule="auto"/>
        <w:tabs>
          <w:tab w:leader="none" w:pos="3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(we ascribe to the term “Business Days” the meaning given to such term in Rule 14d-1(g) under the Securities Exchange Act of 1934, as amended, which we refer to as the “Exchange Act”) per extension, until any waiting period (and any extension thereof) applicable to the consummation of the Offer under the HSR Act shall have expired or been terminated.</w:t>
      </w:r>
    </w:p>
    <w:p>
      <w:pPr>
        <w:spacing w:after="0" w:line="186"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If, as of the then-scheduled Expiration Date, any Offer Condition (other than the Minimum Condition or such Offer Conditions that by their nature are to be satisfied or waived as of the Offer Acceptance Time) is not satisfied and has not been waived, Purchaser will be required to extend the Offer on one or more occasions for an additional period of up to ten (10) Business Days per extension (or such other period as agreed by Soleno and Neurocrine), to permit such Offer Condition to be satisfied.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14" w:name="page15"/>
    <w:bookmarkEnd w:id="14"/>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as of the then-scheduled Expiration Date, the Minimum Condition is the only Offer Condition not satisfied (other than such Offer Conditions that by their nature are to be satisfied or waived as of the Offer Acceptance Time), Purchaser will be required to extend the Offer on up to two (2) occasions for an additional period of up to ten (10) Business Days per extension, to permit the Minimum Condition to be satisfied.</w:t>
      </w:r>
    </w:p>
    <w:p>
      <w:pPr>
        <w:spacing w:after="0" w:line="176" w:lineRule="exact"/>
        <w:rPr>
          <w:sz w:val="20"/>
          <w:szCs w:val="20"/>
          <w:color w:val="auto"/>
        </w:rPr>
      </w:pPr>
    </w:p>
    <w:p>
      <w:pPr>
        <w:ind w:left="4" w:right="100" w:firstLine="440"/>
        <w:spacing w:after="0" w:line="276" w:lineRule="auto"/>
        <w:rPr>
          <w:sz w:val="20"/>
          <w:szCs w:val="20"/>
          <w:color w:val="auto"/>
        </w:rPr>
      </w:pPr>
      <w:r>
        <w:rPr>
          <w:rFonts w:ascii="Times New Roman" w:cs="Times New Roman" w:eastAsia="Times New Roman" w:hAnsi="Times New Roman"/>
          <w:sz w:val="17"/>
          <w:szCs w:val="17"/>
          <w:color w:val="auto"/>
        </w:rPr>
        <w:t>Notwithstanding the above extension options and obligations, in no event will Purchaser: (1) be required to extend the Offer beyond the earlier to occur of the valid termination of the Merger Agreement and the Outside Date (as defined below) (such earlier occurrence, the “Extension Deadline”) or</w:t>
      </w:r>
    </w:p>
    <w:p>
      <w:pPr>
        <w:spacing w:after="0" w:line="1" w:lineRule="exact"/>
        <w:rPr>
          <w:sz w:val="20"/>
          <w:szCs w:val="20"/>
          <w:color w:val="auto"/>
        </w:rPr>
      </w:pPr>
    </w:p>
    <w:p>
      <w:pPr>
        <w:ind w:left="4" w:right="80" w:hanging="4"/>
        <w:spacing w:after="0" w:line="255"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permitted to extend the Offer beyond the Extension Deadline without the prior written consent of Soleno. Except in the event that the Merger Agreement is terminated pursuant to Article IX of the Merger Agreement, Purchaser must not terminate the Offer, or permit the Offer to expire, prior to any scheduled Expiration Date without the prior written consent of Soleno.</w:t>
      </w:r>
    </w:p>
    <w:p>
      <w:pPr>
        <w:spacing w:after="0" w:line="18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Either Neurocrine or Soleno may terminate the Merger Agreement, at any time prior to the time Purchaser accepts the Shares tendered pursuant to the Offer for payment, if the consummation of the Merger (which we refer to as the “Closing”) has not occurred in accordance with the terms of the Merger Agreement on or prior to 5:00 p.m. Eastern Time on October 5, 2026, which date will automatically be extended to January 5, 2027, if as of 5:00 p.m. Eastern Time on October 5, 2026, all of the Offer Conditions other than the Regulatory Condition to the Offer (as defined below), the Governmental Authority Condition to the Offer (as defined below) (in the case of the Governmental Authority Condition to the Offer, only if the restraint, prohibition or illegality arises as a result of antitrust laws), the Minimum Condition and such other Offer Conditions that by their nature are to be satisfied or waived as of the Offer Acceptance Time are satisfied or waived (such date, as it may be extended pursuant to the Merger Agreement, the “Outside Date”).</w:t>
      </w:r>
    </w:p>
    <w:p>
      <w:pPr>
        <w:spacing w:after="0" w:line="19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See Section 1—“Terms of the Offer” and Section 11—“The Transaction Documents” of this Offer to Purchase for more details on our obligation and ability to extend the Offer.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12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If we extend the Offer, we will inform Equiniti Trust Company, LLC, which is the depositary and paying agent for the Offer (which we refer to as the “Depositary”), of any extension and will issue a press release announcing the extension no later than 9:00 a.m. Eastern Time on the next Business Day after the previously scheduled Expiration Date.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See Section 1—“Terms of the Offer.”</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are the conditions to the Offer?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Offer is conditioned upon the satisfaction or waiver of the following conditions (which we refer to as the “Offer Conditions”):</w:t>
      </w:r>
    </w:p>
    <w:p>
      <w:pPr>
        <w:spacing w:after="0" w:line="131" w:lineRule="exact"/>
        <w:rPr>
          <w:sz w:val="20"/>
          <w:szCs w:val="20"/>
          <w:color w:val="auto"/>
        </w:rPr>
      </w:pPr>
    </w:p>
    <w:p>
      <w:pPr>
        <w:ind w:left="964" w:right="140" w:hanging="424"/>
        <w:spacing w:after="0" w:line="266" w:lineRule="auto"/>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validly tendered (and not validly withdrawn) Shares that, considered together with all other Shares (if any) beneficially owned by Neurocrine and its subsidiaries, represent one more Share than 50% of the total number of Shares outstanding at the Expiration Date (which we refer to as the “Minimum Condition”);</w:t>
      </w:r>
    </w:p>
    <w:p>
      <w:pPr>
        <w:spacing w:after="0" w:line="81" w:lineRule="exact"/>
        <w:rPr>
          <w:rFonts w:ascii="Times New Roman" w:cs="Times New Roman" w:eastAsia="Times New Roman" w:hAnsi="Times New Roman"/>
          <w:sz w:val="18"/>
          <w:szCs w:val="18"/>
          <w:color w:val="auto"/>
        </w:rPr>
      </w:pPr>
    </w:p>
    <w:p>
      <w:pPr>
        <w:ind w:left="964" w:right="480" w:hanging="424"/>
        <w:spacing w:after="0" w:line="282" w:lineRule="auto"/>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Soleno in the Merger Agreement are true and correct, subject to the materiality and other qualifications set forth in the Merger Agreement (which we refer to as the “Representations Condition”);</w:t>
      </w:r>
    </w:p>
    <w:p>
      <w:pPr>
        <w:spacing w:after="0" w:line="67"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Soleno has complied with and performed in all material respects the covenants or agreements it is required to comply with or perform under the Merger Agreement (which we refer to as the “Obligations Condition”);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5" w:name="page16"/>
    <w:bookmarkEnd w:id="15"/>
    <w:p>
      <w:pPr>
        <w:ind w:left="960" w:right="22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the execution and delivery of the Merger Agreement, there has not been any Company Material Adverse Effect (as defined below) (which we refer to as, collectively, the “Company Material Adverse Effect Condition”);</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waiting periods under the HSR Act and any required antitrust approvals shall have expired or been terminated (including any timing agreement entered into with any Governmental Authority) and any approvals or clearances required thereunder shall have been obtained (which we refer to as the “Regulatory Condition to the Offer”);</w:t>
      </w:r>
    </w:p>
    <w:p>
      <w:pPr>
        <w:spacing w:after="0" w:line="81" w:lineRule="exact"/>
        <w:rPr>
          <w:rFonts w:ascii="Times New Roman" w:cs="Times New Roman" w:eastAsia="Times New Roman" w:hAnsi="Times New Roman"/>
          <w:sz w:val="18"/>
          <w:szCs w:val="18"/>
          <w:color w:val="auto"/>
        </w:rPr>
      </w:pPr>
    </w:p>
    <w:p>
      <w:pPr>
        <w:ind w:left="960" w:right="100" w:hanging="424"/>
        <w:spacing w:after="0" w:line="261"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jurisdiction that is within a jurisdiction that is material to the business and operations of Soleno or Neurocrine shall have issued an order, decree or ruling (whether temporary, preliminary or permanent) that (x) restrains, enjoins or otherwise prohibits the acceptance for payment of Shares pursuant to the Offer or the Merger or (y) makes the consummation of the Offer or the Merger illegal (which we refer to as the “Governmental Authority Condition to the Offer”);</w:t>
      </w:r>
    </w:p>
    <w:p>
      <w:pPr>
        <w:spacing w:after="0" w:line="85"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Neurocrine and Purchaser have received a certificate executed by Soleno’s Chief Executive Officer certifying that the Representations Condition, the Obligations Condition, and the Company Material Adverse Effect Condition have been satisfied (which we refer to as the “Officer Certificate Condition”);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has not been terminated in accordance with its terms (which we refer to as the “Termination Condition”).</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applicable rules and regulations of the SEC, Purchaser expressly reserves the right to (i) increase the Offer Price, (ii) waive any Offer Condition (other than the Minimum Condition), and (iii) make any other changes in the terms and conditions of the Offer not inconsistent with the terms of the Merger Agreement. Without the prior written consent of Soleno, Neurocrine and Purchaser are not permitted to:</w:t>
      </w:r>
    </w:p>
    <w:p>
      <w:pPr>
        <w:spacing w:after="0" w:line="81" w:lineRule="exact"/>
        <w:rPr>
          <w:sz w:val="20"/>
          <w:szCs w:val="20"/>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Price (other than as a result of certain adjustments as permitted by the Merger Agreement);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Shares sought to be purchased in the Offer (other than as a result of certain adjustments as permitted by the Merger Agreement);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or requirements to the Offer other than the conditions described in Section 15—“Conditions to the Offer”;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any of the Offer Conditions (other than to waive any condition other than the Minimum Condition);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waive the Minimum Condition;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otherwise change the Expiration Date, except as otherwise required or expressly permitted by the Merger Agreement;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in accordance with Rule 14d-11 of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15—“Conditions to the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you hold your Shares directly as the registered owner, you can (i) tender your Shares in the Offer by delivering the certificates representing your Shares, together with a completed and signed Letter of Transmittal, with any required signature guarantees, and any other documents required by the Letter of Transmittal, to the Depositary or (ii) tender your Shares by following the procedure for book-entry transfer set forth in Section 3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Offer to Purchase, no later than the Expiration Date. See Section 3—“Procedures for Accepting the Offer and Tendering Shares” for further details.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Letter of Transmittal is enclosed with this Offer to Purchase.</w:t>
      </w:r>
    </w:p>
    <w:p>
      <w:pPr>
        <w:spacing w:after="0" w:line="20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through a broker, dealer, commercial bank, trust company or other nominee, you must contact the institution that holds your Shares and give instructions that your Shares be tendered. You should contact the institution that holds your Shares for more details.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3—“Procedures for Accepting the Offer and Tendering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Until what time may I withdraw previously tendered Shares?</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You may withdraw your previously tendered Shares at any time until the Expiration Date. Pursuant to Section 14(d)(5) of the Exchange Act, Shares may be withdrawn at any time after June 19, 2026, which is the sixtieth (60th) day after the date of the commencement of the Offer, unless prior to that date Purchaser has accepted for purchase the Shares validly tendered in the Offer.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4—“Withdrawal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withdraw previously tendered Shares?</w:t>
      </w:r>
    </w:p>
    <w:p>
      <w:pPr>
        <w:spacing w:after="0" w:line="121"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To withdraw previously tendered Shares, you must deliver a written notice of withdrawal with the required information to the Depositary while you still have the right to withdraw Shares. If you tendered Shares by giving instructions to a broker, dealer, commercial bank, trust company or other nominee, you must instruct the broker, dealer, commercial bank, trust company or other nominee to arrange for the withdrawal of your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4—“Withdrawal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Soleno’s board of directors think of the Offer?</w:t>
      </w:r>
    </w:p>
    <w:p>
      <w:pPr>
        <w:spacing w:after="0" w:line="117"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The Soleno board of directors has (i) determined that the Merger Agreement and the transactions contemplated thereby, including the Offer and the Merger, are advisable and fair to, and in the best interest of, Soleno and its stockholders, (ii) approved the execution, delivery and performance by Soleno of the Merger Agreement and the consummation of the transactions contemplated thereby, including the Offer and the Merger, (iii) resolved that the Merger shall be effected under Section 251(h) of the DGCL, and (iv) resolved to recommend that the stockholders of Soleno accept the Offer and tender their Shares to Purchaser pursuant to the Offer (which we refer to as the “Soleno Board Recommendation”), in each case on the terms and subject to the conditions of the Merger Agreement.</w:t>
      </w:r>
    </w:p>
    <w:p>
      <w:pPr>
        <w:spacing w:after="0" w:line="18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See the “Introduction” and Section 10—“Background of the Offer; Past Contacts or Negotiations with Soleno.” We expect that a more complete description of the reasons for the Soleno board of directors’ approval of the Offer and the Merger will be set forth in a Solicitation/Recommendation Statement on Schedule 14D-9 to be prepared by Soleno and filed with the SEC and mailed to all Soleno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Have any Soleno stockholders entered into agreements with Neurocrine or any of its affiliates requiring them to tender their Shares?</w:t>
      </w:r>
    </w:p>
    <w:p>
      <w:pPr>
        <w:spacing w:after="0" w:line="121"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Yes, on April 5, 2026, Anish Bhatnagar, Soleno’s Chief Executive Officer and Chairman of Soleno’s board of directors, and James Mackaness, Soleno’s former Chief Financial Officer (which we refer to as, each, a “Supporting Stockholder”), each entered into a Tender and Support Agreement (which we refer to as, each, a “Tender Agreement”) with Neurocrine. Under the terms of the Tender Agreements, each Supporting Stockholder has agreed to, among other things, during the term of the Tender Agreement, (i) validly tender, or cause to be tendered, all of the Shares that such Supporting Stockholder owns of record or beneficially, as well as 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7" w:name="page18"/>
    <w:bookmarkEnd w:id="17"/>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Shares that such Supporting Stockholder may acquire (which we refer to as the “Covered Shares”) free and clear of any encumbrances into the Offer, (ii) vote such Supporting Stockholder’s Covered Shares in favor of the adoption of the Merger Agreement and the approval of the Merger and the other transactions contemplated by the Merger Agreement, and against any acquisition proposal or any action, proposal, agreement, transaction or arrangement that is intended, or would reasonably be expected, to result in a breach of a covenant, representation or warranty or other obligation of Soleno under the Merger Agreement or any of the conditions to Soleno’s obligations under the Merger Agreement not being fulfilled or satisfied,</w:t>
      </w:r>
    </w:p>
    <w:p>
      <w:pPr>
        <w:spacing w:after="0" w:line="3" w:lineRule="exact"/>
        <w:rPr>
          <w:sz w:val="20"/>
          <w:szCs w:val="20"/>
          <w:color w:val="auto"/>
        </w:rPr>
      </w:pPr>
    </w:p>
    <w:p>
      <w:pPr>
        <w:ind w:left="4" w:hanging="4"/>
        <w:spacing w:after="0" w:line="251" w:lineRule="auto"/>
        <w:tabs>
          <w:tab w:leader="none" w:pos="3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transfer any of its Covered Shares (subject to certain exceptions), (iv) not solicit or facilitate any efforts that would reasonably be expected to lead to an alternative acquisition proposal, and (v) waive and not to exercise any appraisal rights in respect of such Covered Shares that may arise with respect to the Merger and not to commence or participate in, any class action or legal action (A) challenging the validity of, or seeking to enjoin or delay the operation of any provision of the Merger Agreement or (B) alleging breach of any duty by any person in connection with the negotiation and entry into the Tender Agreement, the Merger Agreement or the transactions contemplated hereby or thereby. The Tender Agreements also include certain representations and warranties and covenants of the Supporting Stockholders to Neurocrine. The Tender Agreements will terminate upon the earlier of termination of the Merger Agreement, the Effective Time and certain other specified events. As of April 15, 2026, the Supporting Stockholders held an aggregate of approximately 1.00% of the outstanding Shares.</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If the Offer is consummated, will Soleno continue as a public company?</w:t>
      </w:r>
    </w:p>
    <w:p>
      <w:pPr>
        <w:spacing w:after="0" w:line="121"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No. Immediately following consummation of the Offer, we expect to complete the Merger pursuant to applicable provisions of the DGCL, after which the Surviving Company will be a direct wholly owned subsidiary of Neurocrine and the Shares will no longer be publicly traded.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See Section 13—“Certain Effects of the Offer.”</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Will the Offer be followed by the Merger if all of the Shares are not tendered in the Offer?</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If we consummate the Offer, and accordingly acquire a number of Shares that, together with the Shares then owned by Neurocrine and its subsidiaries, exceeds the Minimum Condition, then, in accordance with the terms of the Merger Agreement, we will complete the Merger without a vote of the stockholders of Soleno pursuant to Section 251(h) of the DGCL. Pursuant to the Merger Agreement, if the Minimum Condition is not satisfied, we are not required (nor are we permitted) to accept the Shares for purchase in the Offer, nor will we consummate the Merger.</w:t>
      </w:r>
    </w:p>
    <w:p>
      <w:pPr>
        <w:spacing w:after="0" w:line="180"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Under the applicable provisions of the Merger Agreement, the Offer and the DGCL, stockholders of Soleno will not be required to vote on the Merger and if the Merger is consummated, will, if they did not otherwise tender their Shares and do not otherwise properly demand appraisal of their Shares under the DGCL, receive the same consideration, without interest and subject to reduction for any applicable withholding taxes, for their Shares as was payable in the Offer (which we refer to as the “Merger Consideration”). Soleno stockholders and beneficial owners will be entitled to appraisal rights under the DGCL in connection with the Merger with respect to any Shares not tendered in the Offer.</w:t>
      </w:r>
    </w:p>
    <w:p>
      <w:pPr>
        <w:spacing w:after="0" w:line="183"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See Section 11—“The Transaction Documents,” Section 12—“Purpose of the Offer; Plans for Soleno—Merger Without a Stockholder Vote” and Section 17—“Appraisal Rights.”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If the Offer is not completed, will the Merger nevertheless be consummated?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the consummation of the Merger is conditioned on the completion of the Offer.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is the market value of my Shares as of a recent date?</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On April 2, 2026, the last trading day before the public announcement of the execution of the Merger Agreement, the reported closing sales price of the Shares on Nasdaq was $39.49. On April 17, 2026, the last full trading day before the commencement of the Offer, the reported closing sales price of the Shares on Nasdaq was $52.78. We encourage you to obtain a recent market quotation for the Shares before deciding whether to tender your Shares.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6—“Price Range of Shares; Dividends.”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be paid a dividend on my Shares during the pendency of the Offer?</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 The Merger Agreement provides that from the date of the Merger Agreement to the date of the Effective Time, except as otherwise required or expressly permitted in the Merger Agreement, the Acquired Corporations will not declare, set aside or pay any dividend or make any other distribution in respect of its capital stock (including the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6—“Price Range of Shares; Dividends.”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have appraisal rights in connection with the Offer?</w:t>
      </w:r>
    </w:p>
    <w:p>
      <w:pPr>
        <w:spacing w:after="0" w:line="121"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No appraisal rights will be available to you in connection with the Offer. However, if we accept Shares in the Offer and the Merger is completed, stockholders and beneficial owners will be entitled to appraisal rights in connection with the Merger if they did not tender Shares in the Offer, subject to and in accordance with the DGCL. Stockholders and beneficial owners must properly exercise and demand their right to seek appraisal under the DGCL in connection with the Merger in order to exercise appraisal rights.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17—“Appraisal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my warrants, stock options and restricted stock units in the Offer?</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Offer is made only for outstanding Shares and is not made for any options to purchase Shares (which we refer to as “Company Options”), warrants to purchase Shares (which we refer to as “Company Warrants”) or awards of restricted stock units representing the right to be issued Shares (which we refer to as “Company RSU Awards”). If you wish to tender Shares underlying Company Options or Company Warrants, you must first exercise such Company Options or Company Warrants (each to the extent exercisable) in accordance with their terms and with sufficient time to tender pursuant to the Offer the Shares received upon exercise of such Company Options or Company Warrants.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Merger, the Company Warrants, Company Options and Company RSU Awards will be treated as set forth below.</w:t>
      </w:r>
    </w:p>
    <w:p>
      <w:pPr>
        <w:spacing w:after="0" w:line="131" w:lineRule="exact"/>
        <w:rPr>
          <w:sz w:val="20"/>
          <w:szCs w:val="20"/>
          <w:color w:val="auto"/>
        </w:rPr>
      </w:pPr>
    </w:p>
    <w:p>
      <w:pPr>
        <w:ind w:left="960" w:right="180" w:hanging="424"/>
        <w:spacing w:after="0" w:line="25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Warrants: Effective as of immediately prior to the Effective Time, each Company Warrant that is outstanding and unexercised immediately prior thereto, whether vested or unvested, will be treated as being simultaneously cashless exercised as of immediately prior to the Effective Time, in accordance with the terms and conditions specified in the applicable Company Warrant and subject to deduction for any applicable withholding taxes. Additionally, Soleno is required to use reasonable best efforts to enter into a warrant termination agreement with each holder of a Company Warrant that is not automatically exercised or terminated as of the Effective Time. See Section 11—“The Transaction Documents—Company Warrants.”</w:t>
      </w:r>
    </w:p>
    <w:p>
      <w:pPr>
        <w:spacing w:after="0" w:line="92"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Options: Effective immediately prior to the Effective Time, each Company Option that is outstanding and unexercised as of immediately prior to the Effective Time and that is not an Out of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66" w:right="439" w:bottom="1440" w:gutter="0" w:footer="0" w:header="0"/>
        </w:sectPr>
      </w:pPr>
    </w:p>
    <w:bookmarkStart w:id="19" w:name="page20"/>
    <w:bookmarkEnd w:id="19"/>
    <w:p>
      <w:pPr>
        <w:ind w:left="980"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Money Company Option (as defined below), whether or not then vested or exercisable, will fully vest and will be cancelled and converted into the right to receive an amount in cash, without interest and subject to any applicable withholding taxes, equal to (A) the total number of Shares subject to such Company Option immediately prior to such cancellation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excess, if any, of (x) the Offer Price over (y) the exercise price payable per Share underlying such Company Option. Each Company Option that has an exercise price per Share that is equal to or greater than the Offer Price (which we refer to as an “Out of the Money Company Option”) that is outstanding and unexercised immediately prior to the Effective Time, whether or not then vested or exercisable, will be cancelled and no holder of an Out of the Money Company Option will be entitled to any payment with respect to such Out of the Money Company Option before or after the Effective Time. See Section 11—“The Transaction Documents—Company Options.”</w:t>
      </w:r>
    </w:p>
    <w:p>
      <w:pPr>
        <w:spacing w:after="0" w:line="97" w:lineRule="exact"/>
        <w:rPr>
          <w:sz w:val="20"/>
          <w:szCs w:val="20"/>
          <w:color w:val="auto"/>
        </w:rPr>
      </w:pPr>
    </w:p>
    <w:p>
      <w:pPr>
        <w:ind w:left="960" w:right="80" w:hanging="424"/>
        <w:spacing w:after="0" w:line="258"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RSU Awards: Effective immediately prior to the Effective Time, each Company RSU Award that is outstanding as of immediately prior to the Effective Time, whether or not then vested, will fully vest and be cancelled and converted into the right to receive an amount in cash, without interest and subject to any applicable withholding taxes, equal to (A) the number of Shares subject to such Company RSU Award immediately prior to such cancellation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Offer Price. See Section 11—“The Transaction Documents—Company RSU Awards.”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my rights to purchase shares under Soleno Therapeutics, Inc.’s 2014 Employee Stock Purchase Plan?</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Offer is made only for Shares and not for rights to purchase shares under the 2014 Employee Stock Purchase Plan (which we refer to as the “Company ESPP”). No person may become a participant in the Company ESPP, no offering period shall commence under the Company ESPP following the date of the Merger Agreement, and subject to the consummation of the Merger, the Company ESPP will terminate, effective immediately prior to the Effective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11—“The Transaction Documents—Company ESPP.”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tendering Shares?</w:t>
      </w:r>
    </w:p>
    <w:p>
      <w:pPr>
        <w:spacing w:after="0" w:line="121"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exchange of Shares for cash pursuant to the Offer or the Merger will be a taxable transaction for U.S. federal income tax purposes. Accordingly, a U.S. Holder (as defined in Section 5 — “Certain Material U.S. Federal Income Tax Consequences”) who exchanges Shares for cash in the Offer or the Merger generally will recognize gain or loss in an amount equal to the difference, if any, between the amount of cash that such U.S. Holder receives in the Offer or the Merger and such U.S. Holder’s adjusted tax basis in the Shares surrendered pursuant to the Offer or the Merger, respectively.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urge you to consult your own tax advisor as to the particular tax consequences to you of the Offer and the Merger.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See Section 5—“Certain Material U.S. Federal Income Tax Consequences” for a more detailed discussion of certain material U.S. federal income tax consequences of the Offer and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should I call if I have questions about the Offer?</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You may call MacKenzie Partners, Inc. toll-free at (800) 322-2885. Banks and brokerage firms may call (212) 929-5500. MacKenzie Partners, Inc. is acting as the information agent (which we refer to as the “Information Agent”) for the Offer. See the back cover of this Offer to Purchase for additional contact information.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20" w:name="page21"/>
    <w:bookmarkEnd w:id="20"/>
    <w:p>
      <w:pPr>
        <w:ind w:left="47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To the Holders of Shares of Common Stock of Soleno Therapeutics, Inc.:</w:t>
      </w:r>
    </w:p>
    <w:p>
      <w:pPr>
        <w:spacing w:after="0" w:line="121"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Sigma Merger Sub, Inc., a Delaware corporation (which we refer to as “Purchaser”) and a direct wholly owned subsidiary of Neurocrine Biosciences, Inc., a Delaware corporation (which we refer to as “Neurocrine” or “Parent”), is offering to purchase, subject to certain conditions, including the satisfaction of the Minimum Condition, as defined below, any and all of the outstanding shares of common stock, par value $0.001 per share (which we refer to as the “Shares”), of Soleno Therapeutics, Inc., a Delaware corporation (which we refer to as “Soleno” or the “Company”), in exchange for $53.00 per Share, payable in cash, without interest and subject to reduction for any applicable withholding taxes (which we refer to as the “Offer Price”), upon the terms and subject to the conditions set forth in this Offer to Purchase (which we refer to as this “Offer to Purchase”) and in the related Letter of Transmittal (which we refer to as the “Letter of Transmittal” and which, together with this Offer to Purchase and other related tender offer materials, as each may be amended, supplemented or otherwise modified from time to time, constitutes, and we refer to as, the “Offer”).</w:t>
      </w:r>
    </w:p>
    <w:p>
      <w:pPr>
        <w:spacing w:after="0" w:line="192"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are making the Offer pursuant to the Agreement and Plan of Merger, dated as of April 5, 2026 (which, as it may be amended, supplemented or otherwise modified from time to time, we refer to as the “Merger Agreement”), by and among Neurocrine, Purchaser and Soleno. The Merger Agreement provides, among other things, that if the Offer is consummated, as soon as practicable following the consummation of the Offer and subject to the satisfaction or waiver of certain conditions, Purchaser will be merged with and into Soleno (which we refer to as the “Merger”) without a vote of the stockholders of Soleno in accordance with Section 251(h) of the General Corporation Law of the State of Delaware (which we refer to as the “DGCL”), with Soleno continuing as the surviving corporation (which we refer to as the “Surviving Company”) in the Merger. In the Merger, each Share outstanding immediately prior to the effective time of the Merger (other than any Shares held by Soleno, Neurocrine, Purchaser or any of their respective subsidiaries or by any person who has properly exercised and perfected their demands for appraisal of such person’s Shares in the time and manner provided in Section 262 of the DGCL) will be converted into the right to receive the Offer Price. As a result of the Merger, Soleno will cease to be a publicly traded company and will become a direct wholly owned subsidiary of Neurocrine. </w:t>
      </w:r>
      <w:r>
        <w:rPr>
          <w:rFonts w:ascii="Times New Roman" w:cs="Times New Roman" w:eastAsia="Times New Roman" w:hAnsi="Times New Roman"/>
          <w:sz w:val="18"/>
          <w:szCs w:val="18"/>
          <w:b w:val="1"/>
          <w:bCs w:val="1"/>
          <w:color w:val="auto"/>
        </w:rPr>
        <w:t>Under no circumstances will interest be paid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 for Shares, regardless of any extension of the Offer or any delay in making payment for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is more fully described in Section 11—“The Transaction Documents,” which also contains a discussion of the treatment of Soleno compensatory stock options, warrants to acquire Shares and restricted stock units in the Merger.</w:t>
      </w:r>
    </w:p>
    <w:p>
      <w:pPr>
        <w:spacing w:after="0" w:line="162"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Tendering stockholders who are record owners of their Shares and who tender Shares directly to Equiniti Trust Company, LLC, the depositary and paying agent for the Offer (which we refer to as the “Depositary”) will not be obligated to pay brokerage fees or commissions or, except as otherwise provided in Instruction 6 of the Letter of Transmittal, stock transfer taxes with respect to the purchase of Shares by Purchaser pursuant to the Offer. Tendering stockholders who hold their Shares through a broker, dealer, commercial bank, trust company or other nominee should consult such institution as to whether it charges any service fees or commissions.</w:t>
      </w:r>
    </w:p>
    <w:p>
      <w:pPr>
        <w:spacing w:after="0" w:line="183" w:lineRule="exact"/>
        <w:rPr>
          <w:sz w:val="20"/>
          <w:szCs w:val="20"/>
          <w:color w:val="auto"/>
        </w:rPr>
      </w:pPr>
    </w:p>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t>The Offer is not subject to any financing condition. The Offer is conditioned upon, among other things, (A) the Merger Agreement not having been terminated in accordance with its terms (which we refer to as the “Termination Condition”) and (B) the satisfaction of (i) the Minimum Condition,</w:t>
      </w:r>
    </w:p>
    <w:p>
      <w:pPr>
        <w:spacing w:after="0" w:line="1" w:lineRule="exact"/>
        <w:rPr>
          <w:sz w:val="20"/>
          <w:szCs w:val="20"/>
          <w:color w:val="auto"/>
        </w:rPr>
      </w:pPr>
    </w:p>
    <w:p>
      <w:pPr>
        <w:ind w:left="4" w:right="180" w:hanging="4"/>
        <w:spacing w:after="0" w:line="253"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Condition to the Offer (as defined below) and (iii) the Governmental Authority Condition to the Offer (as defined below). The “Minimum Condition” requires that the number of Shares validly tendered in accordance with the terms of the Offer, and not validly withdrawn, on or prior to one minute following 11:59 p.m. Eastern Time on May 15, 2026 (which we refer to as the “Expiration Date,” unless Purchaser shall have extended the period during which the Offer is open in accordance with the Merger Agreement, in which event “Expiration Date” will mean the latest time and date at which the Offer, as so extended by Purchaser, will expire), together with all other Shares (if any)</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21" w:name="page22"/>
    <w:bookmarkEnd w:id="21"/>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beneficially owned by Neurocrine and its subsidiaries, represent one more Share than 50% of the total number of Shares outstanding at the Expiration Date. The “Regulatory Condition to the Offer” requires that all applicable waiting periods under the HSR Act and any required antitrust approvals shall have expired or been terminated (including any timing agreement entered into with any Governmental Authority) and any approvals or clearances required thereunder shall have been obtained. The “Governmental Authority Condition to the Offer” requires that no Governmental Authority of competent jurisdiction that is within a jurisdiction that is material to the business and operations of Soleno or Neurocrine shall have issued an order, decree or ruling (whether temporary, preliminary or permanent) that (x) restrains, enjoins or otherwise prohibits the acceptance for payment of Shares pursuant to the Offer or the Merger or (y) makes the consummation of the Offer or the Merger illegal. The Offer is also subject to other conditions as described in this Offer to Purchase. See Section 15—“Conditions to the Offer.”</w:t>
      </w:r>
    </w:p>
    <w:p>
      <w:pPr>
        <w:spacing w:after="0" w:line="188"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The board of directors of Soleno has (i) determined that the Merger Agreement and the transactions contemplated thereby, including the Offer and the Merger, are advisable and fair to, and in the best interest of, Soleno and its stockholders, (ii) approved the execution, delivery and performance by Soleno of the Merger Agreement and the consummation of the transactions contemplated thereby, including the Offer and the Merger, (iii) resolved that the Merger shall be effected under Section 251(h) of the DGCL, and (iv) resolved to recommend that the stockholders of Soleno accept the Offer and tender their Shares to Purchaser pursuant to the Offer, in each case on the terms and subject to the conditions of the Merger Agreement.</w:t>
      </w:r>
    </w:p>
    <w:p>
      <w:pPr>
        <w:spacing w:after="0" w:line="18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A more complete description of the Soleno board of directors’ reasons for approving the Merger Agreement and the transactions contemplated thereby, including the Offer and the Merger, will be set forth in the Solicitation/Recommendation Statement on Schedule 14D-9 of Soleno (which, together with any exhibits and annexes attached thereto, we refer to as the “Schedule 14D-9”), that will be furnished by Soleno to stockholders in connection with the Offer. Stockholders should carefully read the information set forth in the Schedule 14D-9, including the information to be set forth under the subheadings “Background of the Offer and the Merger” and “Reasons for the Recommendation.”</w:t>
      </w:r>
    </w:p>
    <w:p>
      <w:pPr>
        <w:spacing w:after="0" w:line="183"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As of April 20, 2026, Neurocrine and Purchaser did not own any Shares. Soleno has advised Neurocrine that, as of the close of business on April 15, 2026, 52,018,597 Shares were issued and outstanding.</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directors and officers of Purchaser as of immediately prior to the Effective Time will be the directors and officers of the Surviving Company, in each case until their respective successors are duly appointed or elected and qualified, or their earlier death, resignation or removal.</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Offer to Purchase does not constitute a solicitation of proxies, and Purchaser is not soliciting proxies in connection with the Offer or the Merger. If the conditions to the Offer (including the Minimum Condition) are satisfied or waived and Purchaser consummates the Offer, Purchaser will consummate the Merger pursuant to Section 251(h) of the DGCL without the vote of the stockholders of Soleno.</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Certain material U.S. federal income tax consequences of the sale of Shares pursuant to the Offer and the exchange of Shares pursuant to the Merger are described in Section 5—“Certain Material U.S. Federal Income Tax Consequences.”</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Under the applicable provisions of the Merger Agreement, the Offer and the DGCL, stockholders of record and beneficial owners of shares of Soleno will be entitled to appraisal rights under the DGCL in connection with the Merger if they do not tender Shares in the Offer, subject to and in accordance with the DGCL. Persons must properly exercise and demand their right to seek appraisal under the DGCL in connection with the Merger in order to exercise appraisal rights. See Section 17—“Appraisal Rights.”</w:t>
      </w:r>
    </w:p>
    <w:p>
      <w:pPr>
        <w:spacing w:after="0" w:line="176"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that should be read carefully before any decision is made with respect to the Offer.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TENDER OFFER</w:t>
      </w:r>
    </w:p>
    <w:p>
      <w:pPr>
        <w:spacing w:after="0" w:line="252" w:lineRule="exact"/>
        <w:rPr>
          <w:sz w:val="20"/>
          <w:szCs w:val="20"/>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Terms of the Offer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the Offer is extended or amended, the terms and conditions of such extension or amendment), we will (i) promptly after the Expiration Date, irrevocably accept for payment all Shares tendered (and not validly withdrawn, as permitted under Section 4—“Withdrawal Rights”) pursuant to the Offer and (ii) promptly after the Offer Acceptance Time, deposit, or cause to be deposited, with the Depositary cash sufficient to pay the aggregate Offer Price for such Shares. The date and time at which Purchaser irrevocably accepts for payment all Shares tendered (and not validly withdrawn) pursuant to the Offer is referred to as the “Offer Acceptance Time.” The date and time at which the Merger becomes effective is referred to as the “Effective Time.”</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Offer is not subject to any financing condition. The Offer is conditioned upon, among other things, (A) the Termination Condition and (B) the satisfaction of (i) the Minimum Condition, (ii) the Regulatory Condition to the Offer and (iii) the Governmental Authority Condition to the Offer. We refer to these conditions and the other conditions described in Section 15—“Conditions to the Offer” as the “Offer Conditions.”</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have agreed in the Merger Agreement that Purchaser must extend the Offer from time to time for (x) any period required by any legal requirement, any interpretation or position of the U.S. Securities and Exchange Commission (which we refer to as the “SEC”), the staff thereof or the Nasdaq Capital Market (which we refer to as “Nasdaq”) and the staff thereof applicable to the Offer, and (y) periods of up to ten (10) Business Days per extension, until any waiting period (and any extension thereof) applicable to the consummation of the Offer under the HSR Act shall have expired or been terminated.</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have also agreed in the Merger Agreement that if, as of the then-scheduled Expiration Date, any Offer Condition (other than the Minimum Condition or such Offer Conditions that by their nature are to be satisfied or waived as of the Offer Acceptance Time) is not satisfied and has not been waived, Purchaser must extend the Offer on one or more occasions for an additional period of up to ten (10) Business Days per extension (or such other period as agreed by Soleno and Neurocrine), to permit such Offer Condition to be satisfied.</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We have also agreed in the Merger Agreement that if, as of the then-scheduled Expiration Date, the Minimum Condition is the only Offer Condition not satisfied (other than such Offer Conditions that by their nature are to be satisfied or waived as of the Offer Acceptance Time), Purchaser must extend the Offer on up to two (2) occasions for an additional period of up to ten (10) Business Days per extension, to permit the Minimum Condition to be satisfied.</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above extension options and obligations, in no event will Purchaser: (1) be required to extend the Offer beyond the earlier to occur of the valid termination of the Merger Agreement and the Outside Date (as defined below) (such earlier occurrence, which we refer to as the “Extension Deadline”) or (2) be permitted to extend the Offer beyond the Extension Deadline without the prior written consent of Soleno. Except in the event that the Merger Agreement is terminated pursuant to Article IX of the Merger Agreement, Purchaser must not terminate the Offer, or permit the Offer to expire, prior to any scheduled Expiration Date without the prior written consent of Soleno.</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Either Soleno or Neurocrine may terminate the Merger Agreement, at any time prior to the time Purchaser accepts the Shares tendered pursuant to the Offer for payment, if the consummation of the Merger (which we refer to as the “Closing”) has not occurred in accordance with the terms of the Merger Agreement on or prior to 5:00 p.m. Eastern Time on October 5, 2026, which date will automatically be extended to January 5, 2027, if, as of 5:00 p.m. Eastern Time on October 5, 2026, all of the Offer Conditions other than the Regulatory Condition to the Offer (as defined below), the Governmental Authority Condition to the Offer (as defined below) (in the case of the Governmental Authority Condition to the Offer, only if the restraint, prohibition or illegality arises as 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23" w:name="page24"/>
    <w:bookmarkEnd w:id="23"/>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 of antitrust laws), the Minimum Condition and such other Offer Conditions that by their nature are to be satisfied or waived as of the Offer Acceptance Time are satisfied or waived (such date, as it may be automatically extended, we refer to as the “Outside Date”). The “Regulatory Condition to the Offer” requires that all applicable waiting periods under the HSR Act and any required antitrust approvals shall have expired or been terminated (including any timing agreement entered into with any Governmental Authority) and any approvals or clearances required thereunder shall have been obtained. The “Governmental Authority Condition to the Offer” requires that no Governmental Authority of competent jurisdiction that is within a jurisdiction that is material to the business and operations of Soleno or Neurocrine shall have issued an order, decree or ruling (whether temporary, preliminary or permanent) that (x) restrains, enjoins or otherwise prohibits the acceptance for payment of Shares pursuant to the Offer or the Merger or (y) makes the consummation of the Offer or the Merger illegal.</w:t>
      </w:r>
    </w:p>
    <w:p>
      <w:pPr>
        <w:spacing w:after="0" w:line="192"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t>Subject to the applicable rules and regulations of the SEC, Purchaser and Neurocrine expressly reserve the right to increase the Offer Price, waive any Offer Condition (other than the Minimum Condition), and make any other changes in the terms and conditions of the Offer not inconsistent with the terms of the Merger Agreement, except that, without the prior written consent of Soleno, Neurocrine and Purchaser are not permitted to (i) decrease the Offer Price (other than as a result of certain adjustments as permitted by the Merger Agreement), (ii) change the form of consideration payable in the Offer, (iii) decrease the maximum number of Shares sought to be purchased in the Offer (other than as a result of certain adjustments as permitted by the Merger Agreement), (iv) impose conditions or requirements to the Offer other than the conditions described in Section 15—“Conditions to the Offer”,</w:t>
      </w:r>
    </w:p>
    <w:p>
      <w:pPr>
        <w:spacing w:after="0" w:line="5" w:lineRule="exact"/>
        <w:rPr>
          <w:sz w:val="20"/>
          <w:szCs w:val="20"/>
          <w:color w:val="auto"/>
        </w:rPr>
      </w:pPr>
    </w:p>
    <w:p>
      <w:pPr>
        <w:ind w:left="4" w:right="500" w:hanging="4"/>
        <w:spacing w:after="0" w:line="255"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any of the Offer Conditions (other than to waive any condition other than the Minimum Condition), (vi) change or waive the Minimum Condition, (vii) extend or otherwise change the Expiration Date, except as otherwise required or expressly permitted by the Merger Agreement, or (viii) provide any “subsequent offering period” (or any extension thereof) in accordance with Rule 14d-11 of the Exchange Act.</w:t>
      </w:r>
    </w:p>
    <w:p>
      <w:pPr>
        <w:spacing w:after="0" w:line="186"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Any extension, delay, termination or amendment of the Offer will be followed as promptly as practicable by public announcement thereof. Without limiting the manner in which we may choose to make any public announcement, we will have no obligation (except as otherwise required by applicable law) to publish, advertise or otherwise communicate any such public announcement other than by issuing a press release and making any appropriate filing with the SEC. In the case of an extension of the Offer, we will make a public announcement of such extension no later than 9:00 a.m. Eastern Time on the next Business Day after the previously scheduled Expiration Date.</w:t>
      </w:r>
    </w:p>
    <w:p>
      <w:pPr>
        <w:spacing w:after="0" w:line="183"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If we extend the Offer, are delayed in our acceptance for payment of or payment for Shares (whether before or after our acceptance for payment for Shares) or are unable to accept Shares for payment pursuant to the Offer for any reason, then, without prejudice to our rights under the Offer and the Merger Agreement, the Depositary may retain tendered Shares on our behalf, and such Shares may not be withdrawn except to the extent that tendering stockholders are entitled to withdrawal rights as described herein under Section 4—“Withdrawal Rights.” However, our ability to delay the payment for Shares that we have accepted for purchase is limited by Rule 14e-1(c) under the Exchange Act, which requires us to pay the consideration offered or return the securities deposited by or on behalf of stockholders promptly after the termination or withdrawal of the Offer.</w:t>
      </w:r>
    </w:p>
    <w:p>
      <w:pPr>
        <w:spacing w:after="0" w:line="18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If we make a material change in the terms of the Offer or the information concerning the Offer or if we waive a material condition of the Offer, we will disseminate additional tender offer materials and extend the Offer if and to the extent required by Rules 14d-4(d)(1), 14d-6(c) and 14e-1 under the Exchange Act. The minimum period during which an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changes. We understand that in the SEC’s view, an offer should remain open for a minimum of five (5) Business Days from the date the material change is first published, sent or given to stockholders, and with respect to a change in price or a change in percentage of securities sought, a minimum ten (10) Business Day period generally is required to allow for adequate dissemination to stockholders and investor response.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4" w:name="page25"/>
    <w:bookmarkEnd w:id="24"/>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or before the Expiration Date, we increase the consideration being paid for Shares accepted for purchase in the Offer, such increased consideration will be paid to all stockholders whose Shares are purchased in the Offer, whether or not such Shares were tendered before the announcement of the increase in consideration.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does not contemplate a subsequent offering period for the Offer.</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We expressly reserve the right, in our sole discretion, subject to the terms and conditions of the Merger Agreement and the applicable rules and regulations of the SEC, not to accept for payment any Shares if, at the Expiration Date, any of the Offer Conditions have not been satisfied. See Section 15—“Conditions to the Offer.” Under certain circumstances, we may terminate the Merger Agreement and the Offer. See Section 11—“The Transaction Documents—Termination.”</w:t>
      </w:r>
    </w:p>
    <w:p>
      <w:pPr>
        <w:spacing w:after="0" w:line="180"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As soon as practicable following the Offer Acceptance Time and subject to the satisfaction or waiver of certain conditions, Purchaser will complete the Merger without a vote of the stockholders of Soleno in accordance with Section 251(h) of the DGCL.</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Soleno has provided us with its stockholder list and security position listings for the purpose of disseminating this Offer to Purchase, the related Letter of Transmittal and other related tender offer materials to holders of Shares. This Offer to Purchase and the related Letter of Transmittal will be mailed to record holders of Shares whose names appear on the stockholder list of Soleno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332" w:lineRule="exact"/>
        <w:rPr>
          <w:sz w:val="20"/>
          <w:szCs w:val="20"/>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Acceptance for Payment and Payment for Shares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satisfaction or waiver of all the conditions to the Offer set forth in Section 15—“Conditions to the Offer,” we will (i) promptly after the Expiration Date, irrevocably accept for payment all Shares tendered (and not validly withdrawn) pursuant to the Offer and (ii) promptly after the Offer Acceptance Time, deposit, or cause to be deposited, with the Depositary cash sufficient to pay the aggregate Offer Price for such Shares.</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compliance with Rule 14e-1(c) under the Exchange Act, we expressly reserve the right to delay payment for Shares in order to comply in whole or in part with any applicable law, including, without limitation, the HSR Act if required. See Section 16—“Certain Legal Matters; Regulatory Approvals.”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all cases, we will promptly pay, or cause to be paid, for Shares tendered and accepted for purchase pursuant to the Offer only after timely receipt by the Depositary of (i) the certificates evidencing such Shares (which we refer to as the “Certificates”) or confirmation of a book-entry transfer of such Shares (which we refer to as a “Book-Entry Confirmation”) into the Depositary’s account at The Depository Trust Company (which we refer to as “DTC”) pursuant to the procedures set forth in Section 3—“Procedures for Accepting the Offer and Tendering Shares,” (ii) the Letter of Transmittal, properly completed and duly executed, with any required signature guarantees or, in the case of a book-entry transfer, an Agent’s Message (as defined below) in lieu of the Letter of Transmittal and (iii) any other documents required by the Letter of Transmittal.</w:t>
      </w:r>
    </w:p>
    <w:p>
      <w:pPr>
        <w:spacing w:after="0" w:line="18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term “Agent’s Message” means a message, transmitted by DTC to and received by the Depositary and forming a part of a Book-Entry Confirmation, that states that DTC has received an express acknowledgment from the participant in DTC tendering the Shares that are the subject of such Book-Entry Confirmation, that such participant has received and agrees to be bound by the terms of the Letter of Transmittal and that Purchaser may enforce such agreement against such participant.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5" w:name="page26"/>
    <w:bookmarkEnd w:id="25"/>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the Offer, we will be deemed to have accepted for payment, and thereby purchased, Shares validly tendered (and not validly withdrawn) if and when we give oral or written notice to the Depositary of our acceptance for purchase of such Shares pursuant to the Offer. Upon the terms and subject to the conditions of the Offer, payment for Shares accepted for purchase pursuant to the Offer will be made by deposit of the Offer Price for such Shares with the Depositary, which will act as paying agent for tendering stockholders for the purpose of receiving payments from us and transmitting such payments to tendering stockholders whose Shares have been accepted for purchase pursuant to the Offer. If we extend the Offer, are delayed in our acceptance for payment of Shares or are unable to accept Shares for payment pursuant to the Offer for any reason, then, without prejudice to our rights under the Offer and the Merger Agreement, the Depositary may retain tendered Shares on our behalf, and such Shares may not be withdrawn except to the extent that tendering stockholders are entitled to withdrawal rights as described herein under Section 4—“Withdrawal Rights” and as otherwise required by Rule 14e-1(c) under the Exchange Act. Under no circumstances will we pay interest on the consideration for Shares by reason of any extension of the Offer or any delay in making such payment for Shares.</w:t>
      </w:r>
    </w:p>
    <w:p>
      <w:pPr>
        <w:spacing w:after="0" w:line="194" w:lineRule="exact"/>
        <w:rPr>
          <w:sz w:val="20"/>
          <w:szCs w:val="20"/>
          <w:color w:val="auto"/>
        </w:rPr>
      </w:pPr>
    </w:p>
    <w:p>
      <w:pPr>
        <w:ind w:left="4" w:right="360" w:firstLine="440"/>
        <w:spacing w:after="0" w:line="258" w:lineRule="auto"/>
        <w:rPr>
          <w:sz w:val="20"/>
          <w:szCs w:val="20"/>
          <w:color w:val="auto"/>
        </w:rPr>
      </w:pPr>
      <w:r>
        <w:rPr>
          <w:rFonts w:ascii="Times New Roman" w:cs="Times New Roman" w:eastAsia="Times New Roman" w:hAnsi="Times New Roman"/>
          <w:sz w:val="18"/>
          <w:szCs w:val="18"/>
          <w:color w:val="auto"/>
        </w:rPr>
        <w:t>If any tendered Shares are not accepted for purchase for any reason pursuant to the terms and conditions of the Offer, or if Certificates are submitted evidencing more Shares than are tendered, Certificates evidencing unpurchased Shares will be returned, without expense to the tendering stockholder (or, in the case of Shares tendered by book-entry transfer into the Depositary’s account at DTC pursuant to the procedure set forth in Section 3—“Procedures for Accepting the Offer and Tendering Shares,” such Shares will be credited to an account maintained at DTC), promptly following the expiration or termination of the Offer.</w:t>
      </w:r>
    </w:p>
    <w:p>
      <w:pPr>
        <w:spacing w:after="0" w:line="328" w:lineRule="exact"/>
        <w:rPr>
          <w:sz w:val="20"/>
          <w:szCs w:val="20"/>
          <w:color w:val="auto"/>
        </w:rPr>
      </w:pPr>
    </w:p>
    <w:p>
      <w:pPr>
        <w:ind w:left="964" w:hanging="532"/>
        <w:spacing w:after="0"/>
        <w:tabs>
          <w:tab w:leader="none" w:pos="96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Procedures for Accepting the Offer and Tendering Shares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24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Valid Tenders</w:t>
      </w:r>
      <w:r>
        <w:rPr>
          <w:rFonts w:ascii="Times New Roman" w:cs="Times New Roman" w:eastAsia="Times New Roman" w:hAnsi="Times New Roman"/>
          <w:sz w:val="17"/>
          <w:szCs w:val="17"/>
          <w:color w:val="auto"/>
        </w:rPr>
        <w:t>. In order for a stockholder to validly tender Shares pursuant to the Offer, the Letter of Transmittal, properly completed and duly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executed, together with any required signature guarantees (or, in the case of a book-entry transfer, an Agent’s Message in lieu of the Letter of Transmittal) and any other documents required by the Letter of Transmittal must be received by the Depositary at one of its addresses set forth on the back cover of this Offer to Purchase and either (a) the Certificates evidencing tendered Shares must be received by the Depositary at such address or</w:t>
      </w:r>
    </w:p>
    <w:p>
      <w:pPr>
        <w:spacing w:after="0" w:line="1" w:lineRule="exact"/>
        <w:rPr>
          <w:sz w:val="20"/>
          <w:szCs w:val="20"/>
          <w:color w:val="auto"/>
        </w:rPr>
      </w:pPr>
    </w:p>
    <w:p>
      <w:pPr>
        <w:ind w:left="4" w:hanging="4"/>
        <w:spacing w:after="0" w:line="260"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must be tendered pursuant to the procedure for book-entry transfer described below and a Book-Entry Confirmation must be received by the Depositary, in each case prior to the Expiration Date.</w:t>
      </w:r>
    </w:p>
    <w:p>
      <w:pPr>
        <w:spacing w:after="0" w:line="179"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Book-Entry Transfer</w:t>
      </w:r>
      <w:r>
        <w:rPr>
          <w:rFonts w:ascii="Times New Roman" w:cs="Times New Roman" w:eastAsia="Times New Roman" w:hAnsi="Times New Roman"/>
          <w:sz w:val="18"/>
          <w:szCs w:val="18"/>
          <w:color w:val="auto"/>
        </w:rPr>
        <w:t>. The Depositary will establish an account with respect to the Shares at DTC for purposes of the Offer after the date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to Purchase. Any financial institution that is a participant in the system of DTC may make a book-entry delivery of Shares by causing DTC to transfer such Shares into the Depositary’s account at DTC in accordance with DTC’s procedures for such transfer. Delivery of documents to DTC does not constitute delivery to the Depositary.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Guarantee of Signatures</w:t>
      </w:r>
      <w:r>
        <w:rPr>
          <w:rFonts w:ascii="Times New Roman" w:cs="Times New Roman" w:eastAsia="Times New Roman" w:hAnsi="Times New Roman"/>
          <w:sz w:val="18"/>
          <w:szCs w:val="18"/>
          <w:color w:val="auto"/>
        </w:rPr>
        <w:t>. No signature guarantee is required on the Letter of Transmittal if:</w:t>
      </w:r>
    </w:p>
    <w:p>
      <w:pPr>
        <w:spacing w:after="0" w:line="133" w:lineRule="exact"/>
        <w:rPr>
          <w:sz w:val="20"/>
          <w:szCs w:val="20"/>
          <w:color w:val="auto"/>
        </w:rPr>
      </w:pPr>
    </w:p>
    <w:p>
      <w:pPr>
        <w:ind w:left="964" w:right="20" w:hanging="424"/>
        <w:spacing w:after="0" w:line="312" w:lineRule="auto"/>
        <w:tabs>
          <w:tab w:leader="none" w:pos="96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Letter of Transmittal is signed by the registered holder(s) of the Shares tendered therewith, unless such registered holder has completed either the box entitled “Special Payment Instructions” or the box entitled “Special Delivery Instructions” on the Letter of Transmittal; or</w:t>
      </w:r>
    </w:p>
    <w:p>
      <w:pPr>
        <w:spacing w:after="0" w:line="45" w:lineRule="exact"/>
        <w:rPr>
          <w:rFonts w:ascii="Times New Roman" w:cs="Times New Roman" w:eastAsia="Times New Roman" w:hAnsi="Times New Roman"/>
          <w:sz w:val="17"/>
          <w:szCs w:val="17"/>
          <w:color w:val="auto"/>
        </w:rPr>
      </w:pPr>
    </w:p>
    <w:p>
      <w:pPr>
        <w:ind w:left="964" w:right="40" w:hanging="424"/>
        <w:spacing w:after="0" w:line="289" w:lineRule="auto"/>
        <w:tabs>
          <w:tab w:leader="none" w:pos="96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are tendered for the account of a financial institution (including most commercial banks, savings and loan associations and brokerage houses) that is a member in good standing of the Securities Transfer Agents Medallion Program or any other “eligible guarantor institution,” as such term is defined in Rule 17Ad-15 of the Exchange Act (each of which we refer to as an “Eligible Institution”).</w:t>
      </w:r>
    </w:p>
    <w:p>
      <w:pPr>
        <w:spacing w:after="0" w:line="158"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In all other cases, all signatures on a Letter of Transmittal must be guaranteed by an Eligible Institution. See Instruction 1 of the Letter of Transmittal. If a Certificate is registered in the name of a person or persons other than the signer of the Letter of Transmittal, or if payment is to be made or delivered to, or a Certificate not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26" w:name="page27"/>
    <w:bookmarkEnd w:id="26"/>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for purchase or not tendered is to be issued in, the name of a person other than the registered holder, then the Certificate must be endorsed or accompanied by duly executed stock powers, in either case signed exactly as the name of the registered holder appears on the Certificate, with the signature on such Certificate or stock powers guaranteed by an Eligible Institution as provided in the Letter of Transmittal. See Instructions 1 and 5 of the Letter of Transmittal.</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the Offer, payment for Shares accepted pursuant to the Offer will in all cases only be made after timely receipt by the Depositary of (i) Certificates evidencing such Shares or a Book-Entry Confirmation of a book-entry transfer of such Shares into the Depositary’s account at DTC pursuant to the procedures set forth in this Section 3, (ii) the Letter of Transmittal, properly completed and duly executed, with any required signature guarantees or, in the case of a book-entry transfer, an Agent’s Message in lieu of the Letter of Transmittal and (iii) any other documents required by the Letter of Transmittal.</w:t>
      </w:r>
    </w:p>
    <w:p>
      <w:pPr>
        <w:spacing w:after="0" w:line="179"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method of delivery of Certificates, the Letter of Transmittal and all other required documents, including delivery through DTC, is at the option and risk of the tendering stockholder, and the delivery of all such documents will be deemed made (and the risk of loss and the title of Certificates will pass) only when actually received by the Depositary (including, in the case of a book-entry transfer, receipt of a Book-Entry Confirmation). If delivery is by mail, registered mail with return receipt requested, properly insured, is recommended. In all cases, sufficient time should be allowed to ensure timely delivery prior to the Expiration Date.</w:t>
      </w:r>
    </w:p>
    <w:p>
      <w:pPr>
        <w:spacing w:after="0" w:line="18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Irregularities</w:t>
      </w:r>
      <w:r>
        <w:rPr>
          <w:rFonts w:ascii="Times New Roman" w:cs="Times New Roman" w:eastAsia="Times New Roman" w:hAnsi="Times New Roman"/>
          <w:sz w:val="18"/>
          <w:szCs w:val="18"/>
          <w:color w:val="auto"/>
        </w:rPr>
        <w:t>. The tender of Shares pursuant to any one of the procedures described above will constitute the tendering stockholder’s acceptance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Offer, as well as the tendering stockholder’s representation and warranty that such stockholder has the full power and authority to tender and assign the Shares tendered, as specified in the Letter of Transmittal. Our acceptance for payment of Shares tendered pursuant to the Offer will constitute a binding agreement between the tendering stockholder and us upon the terms and subject to the conditions of the Offer (and if the Offer is extended or amended, the terms of or the conditions to any such extension or amendment).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Determination of Validity</w:t>
      </w:r>
      <w:r>
        <w:rPr>
          <w:rFonts w:ascii="Times New Roman" w:cs="Times New Roman" w:eastAsia="Times New Roman" w:hAnsi="Times New Roman"/>
          <w:sz w:val="18"/>
          <w:szCs w:val="18"/>
          <w:color w:val="auto"/>
        </w:rPr>
        <w:t>. All questions as to the validity, form, eligibility (including time of receipt) and acceptance for payment of any tender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will be determined by us, in our sole discretion. We reserve the absolute right to reject any and all tenders determined by us not to be in proper form or the acceptance for payment of which may, in the opinion of our counsel, be unlawful. We also reserve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waived or cured within such time as Purchaser shall determine. None of Neurocrine, Purchaser, the Depositary, the Information Agent or any other person will be under any duty to give notice of any defects or irregularities in tenders or incur any liability for failure to give any such notice. Interpretation of the terms and conditions of the Offer (including the Letter of Transmittal and the instructions thereto) will be determined by us in our sole discretion. For the avoidance of doubt, the foregoing does not foreclose stockholders from challenging any such determination in a court of competent jurisdiction as a violation of the terms and conditions of the Offer.</w:t>
      </w:r>
    </w:p>
    <w:p>
      <w:pPr>
        <w:spacing w:after="0" w:line="18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Appointment</w:t>
      </w:r>
      <w:r>
        <w:rPr>
          <w:rFonts w:ascii="Times New Roman" w:cs="Times New Roman" w:eastAsia="Times New Roman" w:hAnsi="Times New Roman"/>
          <w:sz w:val="18"/>
          <w:szCs w:val="18"/>
          <w:color w:val="auto"/>
        </w:rPr>
        <w:t>. By executing the Letter of Transmittal as set forth above, the tendering stockholder will irrevocably appoint designees of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such stockholder’s attorneys-in-fact and proxies in the manner set forth in the Letter of Transmittal, each with full power of substitution, to the full extent of such stockholder’s rights with respect to the Shares tendered by such stockholder and accepted for purchase by Purchaser and with respect to any and all other Shares or other securities or rights issued or issuable in respect of such Shares. All such powers of attorney and proxies will be considered irrevocable and coupled with an interest in the tendered Shares. Such appointment will be effective when, and only to the extent that, we accept for payment Shares tendered by such stockholder as provided herein. Upon such appointment, all prior powers of attorney, proxies and consents given by such stockholder with respect to such Shares or other securities or rights will, without</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27" w:name="page28"/>
    <w:bookmarkEnd w:id="2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action, be revoked and no subsequent powers of attorney, proxies, consents or revocations may be given by such stockholder (and, if given, will not be deemed effective). The designees of Purchaser will thereby be empowered to exercise all voting and other rights with respect to such Shares and other securities or rights, including, without limitation, in respect of any annual, special or adjourned meeting of Soleno’s stockholders, actions by written consent in lieu of any such meeting or otherwise, as they in their sole discretion deem proper. We reserve the right to require that, in order for Shares to be deemed validly tendered, immediately upon our acceptance for payment of such Shares, Purchaser or its designees must be able to exercise full voting, consent and other rights with respect to such Shares and other related securities or rights, including voting at any meeting of Soleno’s stockholders.</w:t>
      </w:r>
    </w:p>
    <w:p>
      <w:pPr>
        <w:spacing w:after="0" w:line="18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Payments made to stockholders of Soleno in the Offer or the Merger generally will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reporting and may be subject to backup withholding (currently at a rate of 24%). To avoid backup withholding, stockholders that are “United States persons” (as defined in the U.S. Internal Revenue Code of 1986, as amended (which we refer to as the “Code”)) that do not otherwise establish an exemption should complete and return the Internal Revenue Service (which we refer to as the “IRS”) Form W-9 included in the Letter of Transmittal, certifying that such stockholder is a U.S. person, that the taxpayer identification number provided by such stockholder is correct, and that such stockholder is not subject to backup withholding. Stockholders that are not “United States persons” should submit an appropriate and properly completed IRS Form W-8, a copy of which may be obtained from the Depositary or the IRS website at </w:t>
      </w:r>
      <w:r>
        <w:rPr>
          <w:rFonts w:ascii="Times New Roman" w:cs="Times New Roman" w:eastAsia="Times New Roman" w:hAnsi="Times New Roman"/>
          <w:sz w:val="18"/>
          <w:szCs w:val="18"/>
          <w:i w:val="1"/>
          <w:iCs w:val="1"/>
          <w:color w:val="auto"/>
        </w:rPr>
        <w:t>www.irs.gov</w:t>
      </w:r>
      <w:r>
        <w:rPr>
          <w:rFonts w:ascii="Times New Roman" w:cs="Times New Roman" w:eastAsia="Times New Roman" w:hAnsi="Times New Roman"/>
          <w:sz w:val="18"/>
          <w:szCs w:val="18"/>
          <w:color w:val="auto"/>
        </w:rPr>
        <w:t>, in order to avoid backup withholding. Such stockholders should consult their own tax advisors to determine which IRS Form W-8 is appropriate. Failure to provide the correct information on IRS Form W-9 or the applicable IRS Form W-8 may subject the applicable stockholder to backup withholding on payments made with respect to Shares surrendered, as well as penalties imposed by the IRS.</w:t>
      </w:r>
    </w:p>
    <w:p>
      <w:pPr>
        <w:spacing w:after="0" w:line="18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backup withholding results in an overpayment of taxes, a refund or a credit against a stockholder’s United States federal income tax liability generally will be provided, provided the required information is timely furnished in the appropriate manner to the IRS.</w:t>
      </w:r>
    </w:p>
    <w:p>
      <w:pPr>
        <w:spacing w:after="0" w:line="320" w:lineRule="exact"/>
        <w:rPr>
          <w:sz w:val="20"/>
          <w:szCs w:val="20"/>
          <w:color w:val="auto"/>
        </w:rPr>
      </w:pPr>
    </w:p>
    <w:p>
      <w:pPr>
        <w:ind w:left="960" w:hanging="532"/>
        <w:spacing w:after="0"/>
        <w:tabs>
          <w:tab w:leader="none" w:pos="9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Withdrawal Rights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Shares tendered pursuant to the Offer may be withdrawn at any time prior to one minute following 11:59 p.m. Eastern Time on May 15, 2026, and, unless theretofore accepted for payment by Purchaser pursuant to the Offer, may also be withdrawn at any time after June 19, 2026, which is the sixtieth (60th) day after the date of the commencement of the Offer.</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For a withdrawal to be effective, a written notice of withdrawal must be timely received by the Depositary at one of its addresses set forth on the back cover of this Offer to Purchase. Any such notice of withdrawal must specify the name of the person who tendered the Shares to be withdrawn, the number of Shares to be withdrawn and the name of the registered holder of such Shares, if different from that of the person who tendered such Shares. If Certificates evidencing Shares to be withdrawn have been delivered or otherwise identified to the Depositary, then, prior to the physical release of such Certificates, the serial numbers shown on such Certificates must be submitted to the Depositary and the signature(s) on the notice of withdrawal must be guaranteed by an Eligible Institution, unless such Shares have been tendered for the account of an Eligible Institution. If Shares have been tendered pursuant to the procedure for book-entry transfer as set forth in Section 3—“Procedures for Accepting the Offer and Tendering Shares,” any notice of withdrawal must also specify the name and number of the account at DTC to be credited with the withdrawn Shares.</w:t>
      </w:r>
    </w:p>
    <w:p>
      <w:pPr>
        <w:spacing w:after="0" w:line="19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Withdrawals of Shares may not be rescinded. Any Shares validly withdrawn will thereafter be deemed not to have been validly tendered for purposes of the Offer. However, withdrawn Shares may be re-tendered by again following one of the procedures described in Section 3—“Procedures for Accepting the Offer and Tendering Shares” at any time prior to the Expiration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8" w:name="page29"/>
    <w:bookmarkEnd w:id="28"/>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will determine, in our sole discretion, all questions as to the form and validity (including time of receipt) of any notice of withdrawal and our determination will be final and binding. For the avoidance of doubt, the foregoing does not foreclose stockholders from challenging any such determination in a court of competent jurisdiction as a violation of the terms and conditions of the Offer. None of Neurocrine, Purchaser, the Depositary, the Information Agent or any other person will be under any duty to give notice of any defects or irregularities in any notice of withdrawal or incur any liability for failure to give any such notification.</w:t>
      </w:r>
    </w:p>
    <w:p>
      <w:pPr>
        <w:spacing w:after="0" w:line="328" w:lineRule="exact"/>
        <w:rPr>
          <w:sz w:val="20"/>
          <w:szCs w:val="20"/>
          <w:color w:val="auto"/>
        </w:rPr>
      </w:pPr>
    </w:p>
    <w:p>
      <w:pPr>
        <w:ind w:left="960" w:hanging="532"/>
        <w:spacing w:after="0"/>
        <w:tabs>
          <w:tab w:leader="none" w:pos="9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Material U.S. Federal Income Tax Consequences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consequences of the Offer and the Merger to U.S. Holders (as defined below) whose Shares are tendered and accepted for purchase pursuant to the Offer or whose Shares are converted into the right to receive the Merger Consideration in the Merger. The summary is based on current provisions of the Code, the U.S. Treasury Regulations promulgated thereunder, published rulings and administrative pronouncements of the IRS and judicial interpretations thereof, all of which are subject to change or differing interpretation, possibly with retroactive effect. Any such change could affect the accuracy of the statements and conclusions set forth in this discussion. We have not sought, and do not intend to seek, any ruling from the IRS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summary is limited to U.S. Holders who hold Shares as capital assets within the meaning of Section 1221 of the Code (generally, property held for investment). This discussion does not purport to consider all aspects of U.S. federal income taxation that may be relevant to a holder in light of its, his or her particular circumstances, or that may apply to a holder that is subject to special treatment under the U.S. federal income tax laws (including, for example, banks and other financial institutions, insurance companies, regulated investment companies, real estate investment trusts, brokers or dealers in securities or currencies, traders that use the mark-to-market method of accounting with respect to their securities, holders that hold Shares as part of a straddle, hedge, constructive sale or other integrated transaction or conversion transaction, U.S. Holders whose functional currency is not the U.S. dollar, partnerships or other entities or arrangements classified as partnerships for U.S. federal income tax purposes, “S corporations” or any other pass-through entities for U.S. federal income tax purposes (or investors in such entities), tax-exempt organizations (including private foundations), retirement plans, holders that actually or constructively owns more than 5% of Shares, holders who own (or are deemed to own) stock of Neurocrine, expatriates and former long-term residents of the United States, holders that hold their Shares as “qualified small business stock” for purposes of Section 1202 of the Code or “Section 1244 stock” for purposes of Section 1244 of the Code, “controlled foreign corporations,” “foreign controlled foreign corporations,” “passive foreign investment companies,” corporations that accumulate earnings to avoid U.S. federal income tax, holders who exercise appraisal rights, and holders who received Shares pursuant to the exercise of employee stock options or otherwise as compensation for service). This summary does not address U.S. federal taxes other than the income tax or any state, local or non-U.S. tax considerations. In addition, this summary does not address the Medicare contribution tax on net investment income, any alternative minimum tax considerations, the special tax accounting rules under Section 451(b) of the Code, any tax consequences associated with transactions occurring prior to, concurrently with, or after the Offer or the Merger, including, without limitation, any transaction in which Shares were acquired, any tax consequences to holders of promissory notes, options, warrants, or other rights to acquire Shares, or any considerations in respect of the Foreign Account Tax Compliance Act of 2010 (including the U.S. Treasury Regulations and administrative guidance promulgated thereunder and intergovernmental agreements entered into pursuant thereto or in connection therewith and any laws, regulations or practices adopted in connection with any such agreement).</w:t>
      </w:r>
    </w:p>
    <w:p>
      <w:pPr>
        <w:spacing w:after="0" w:line="189"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summary, the term “U.S. Holder” means a beneficial owner of Shares that, for U.S. federal income tax purposes, is: (i) an individual who is a citizen or resident of the United States; (ii) a corporation, or other entity treated as a corporation for U.S. federal income tax purposes, created or organized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29" w:name="page30"/>
    <w:bookmarkEnd w:id="29"/>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laws of the United States, any state thereof or the District of Columbia; (iii) an estate, the income of which is subject to U.S. federal income tax regardless of its source; or (iv) a trust, if (A) a court within the United States is able to exercise primary supervision over the trust’s administration and one or more U.S. persons have authority to control all of the trust’s substantial decisions or (B) the trust has a valid election in effect under applicable U.S. Treasury Regulations to be treated as a U.S. person for U.S. federal income tax purposes. The term “Non-U.S. Holder” means a beneficial owner of Shares that is neither a U.S. Holder nor a partnership for U.S. federal income tax purposes.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or a pass-through entity for U.S. federal income tax purposes holds Shares, the tax treatment of a person treated as a partner in such partnership or an owner in such pass-through entity generally will depend upon the status of the partner or the owner and the activities of the partnership or the pass-through entity. Accordingly, entities or arrangements treated as partnerships or pass-through entities for U.S. federal income tax purposes that hold Shares and persons treated as partners in such partnerships or owners in such pass-through entities should consult their tax advisors regarding the specific U.S. federal income tax consequences to them of the Offer and the Merger.</w:t>
      </w:r>
    </w:p>
    <w:p>
      <w:pPr>
        <w:spacing w:after="0" w:line="179"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Because individual circumstances may differ, each holder should consult its, his or her own tax advisor to determine the particular tax consequences of the Offer and the Merger to it, him or her, including the application and effect of any alternative minimum tax and any state, local and non-U.S. tax laws and changes in any laws.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receipt of cash by a U.S. Holder in exchange for Shares pursuant to the Offer or the Merger will be a taxable transaction for U.S. federal income tax purposes. In general, for U.S. federal income tax purposes, a U.S. Holder who receives cash in exchange for Shares pursuant to the Offer or the Merger will recognize gain or loss in an amount equal to the difference, if any, between the amount of cash received in the Offer or the Merger and the U.S. Holder’s adjusted tax basis in the Shares surrendered pursuant to the Offer or the Merger, respectively. A U.S. Holder’s adjusted tax basis generally will equal the amount that such U.S. Holder paid for the Shares. Any gain or loss will generally be long-term capital gain or loss if such U.S. Holder’s holding period in such Shares is more than one (1) year at the time of the completion of the Offer or the Merger, as applicable. Long-term capital gains of certain non-corporate holders, including individuals, currently are subject to U.S. federal income tax at preferential rates. The deductibility of capital losses is subject to limitations. If a U.S. Holder acquired different blocks of Shares at different times or different prices, such U.S. Holder must determine its adjusted tax basis and holding period separately with respect to each block of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Any gain recognized by a Non-U.S. Holder with respect to Shares pursuant to the Offer or the Merger generally will not be subject to U.S. federal income tax, unless:</w:t>
      </w:r>
    </w:p>
    <w:p>
      <w:pPr>
        <w:spacing w:after="0" w:line="67" w:lineRule="exact"/>
        <w:rPr>
          <w:sz w:val="20"/>
          <w:szCs w:val="20"/>
          <w:color w:val="auto"/>
        </w:rPr>
      </w:pPr>
    </w:p>
    <w:p>
      <w:pPr>
        <w:ind w:left="960" w:right="40" w:hanging="424"/>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if any, on the sale of Shares pursuant to the Offer or the Merger is effectively connected with the conduct by the Non-U.S. Holder of a trade or business in the United States (and, if required by an applicable income tax treaty, is attributable to the Non-U.S. Holder’s permanent establishment in the United States);</w:t>
      </w:r>
    </w:p>
    <w:p>
      <w:pPr>
        <w:spacing w:after="0" w:line="81"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was present in the United States for 183 days or more in the taxable year of the sale of Shares pursuant to the Offer or the Merger and certain other conditions are met; or</w:t>
      </w:r>
    </w:p>
    <w:p>
      <w:pPr>
        <w:spacing w:after="0" w:line="67"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Holder’s Shares constitute “United States real property interests” (which we refer to as “USRPIs”) by reason of Soleno’s status as a “United States real property holding corporation” (which we refer to as “USRPHC”) for U.S. federal income tax purposes at any time within the shorter of the five-year period preceding the sale of Shares pursuant to the Offer or the Merger and the Non-U.S. Holder’s holding period in the Shares.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0" w:name="page31"/>
    <w:bookmarkEnd w:id="30"/>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gain described in the first bullet point above generally will be subject to tax on a net income basis in the same manner as if the Non-U.S. Holder were a U.S. Holder (unless an applicable income tax treaty provides otherwise). In addition, any gain described in the first bullet point above of a Non-U.S. Holder that is a corporation also may be subject to an additional “branch profits tax” at a 30% rate (or lower rate provided by an applicable income tax treaty). A Non-U.S. Holder described in the second bullet point above will be subject to tax at a rate of 30% (or a lower rate provided by an applicable income tax treaty) on any capital gain realized, which may be offset by U.S.-source capital losses recognized in the same taxable year, even though the individual is not considered a resident of the United States, provided that such Non-U.S. Holder has timely filed U.S. federal income tax returns with respect to such losses.</w:t>
      </w:r>
    </w:p>
    <w:p>
      <w:pPr>
        <w:spacing w:after="0" w:line="189"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Determining whether Soleno is a USRPHC depends on the fair market value of its USRPIs relative to the fair market value of its worldwide real property interests and other trade or business assets. Soleno believes that it is not, and does not anticipate becoming before the sale of Shares pursuant to the Offer or the Merger, a USRPHC. Even if Soleno is treated as a USRPHC, any gain recognized by a Non-U.S. Holder on the sale of Shares pursuant to the Offer or the Merger generally will not be subject to U.S. federal income tax so long as (i) the Non-U.S. Holder owned actually or constructively no more than 5% of Shares at all times within the shorter of (x) the five-year period preceding the sale or (y) the Non-U.S. Holder’s holding period and</w:t>
      </w:r>
    </w:p>
    <w:p>
      <w:pPr>
        <w:spacing w:after="0" w:line="3" w:lineRule="exact"/>
        <w:rPr>
          <w:sz w:val="20"/>
          <w:szCs w:val="20"/>
          <w:color w:val="auto"/>
        </w:rPr>
      </w:pPr>
    </w:p>
    <w:p>
      <w:pPr>
        <w:ind w:left="4" w:right="480" w:hanging="4"/>
        <w:spacing w:after="0" w:line="260" w:lineRule="auto"/>
        <w:tabs>
          <w:tab w:leader="none" w:pos="2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“regularly traded” on an established securities market within the meaning of applicable U.S. Treasury Regulations. There can be no assurance that Shares qualify as regularly traded on an established securities market for purposes of these rules.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A U.S. Holder who exchanges Shares pursuant to the Offer or the Merger is generally subject to information reporting and may be subject to backup withholding unless certain information is provided to the Depositary or an exemption applies. See Section 3—“Procedures for Accepting the Offer and Tendering Shares—Information Reporting and Backup Withholding.”</w:t>
      </w:r>
    </w:p>
    <w:p>
      <w:pPr>
        <w:spacing w:after="0" w:line="320" w:lineRule="exact"/>
        <w:rPr>
          <w:sz w:val="20"/>
          <w:szCs w:val="20"/>
          <w:color w:val="auto"/>
        </w:rPr>
      </w:pPr>
    </w:p>
    <w:p>
      <w:pPr>
        <w:ind w:left="964" w:hanging="532"/>
        <w:spacing w:after="0"/>
        <w:tabs>
          <w:tab w:leader="none" w:pos="96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Price Range of Shares; Dividends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The Shares currently trade on Nasdaq under the symbol “SLNO.” Soleno has advised Neurocrine that, as of the close of business on April 15, 2026, 52,018,597 Shares were issued and outstanding.</w:t>
      </w:r>
    </w:p>
    <w:p>
      <w:pPr>
        <w:spacing w:after="0" w:line="162" w:lineRule="exact"/>
        <w:rPr>
          <w:sz w:val="20"/>
          <w:szCs w:val="20"/>
          <w:color w:val="auto"/>
        </w:rPr>
      </w:pPr>
    </w:p>
    <w:p>
      <w:pPr>
        <w:ind w:left="4" w:right="9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intraday sale prices per Share for each quarterly period after December 31, 2023, as reported on Nasdaq, and the quarterly cash dividends declared per Share for each such quarterly period.</w:t>
      </w:r>
    </w:p>
    <w:p>
      <w:pPr>
        <w:spacing w:after="0" w:line="17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640" w:type="dxa"/>
            <w:vAlign w:val="bottom"/>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16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Ended December 31, 2024</w:t>
            </w:r>
          </w:p>
        </w:tc>
        <w:tc>
          <w:tcPr>
            <w:tcW w:w="2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700" w:type="dxa"/>
            <w:vAlign w:val="bottom"/>
            <w:gridSpan w:val="2"/>
          </w:tcPr>
          <w:p>
            <w:pPr>
              <w:jc w:val="center"/>
              <w:ind w:left="2110"/>
              <w:spacing w:after="0"/>
              <w:rPr>
                <w:sz w:val="20"/>
                <w:szCs w:val="20"/>
                <w:color w:val="auto"/>
              </w:rPr>
            </w:pPr>
            <w:r>
              <w:rPr>
                <w:rFonts w:ascii="Times New Roman" w:cs="Times New Roman" w:eastAsia="Times New Roman" w:hAnsi="Times New Roman"/>
                <w:sz w:val="18"/>
                <w:szCs w:val="18"/>
                <w:color w:val="auto"/>
              </w:rPr>
              <w:t>$53.82</w:t>
            </w:r>
          </w:p>
        </w:tc>
        <w:tc>
          <w:tcPr>
            <w:tcW w:w="11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$35.70</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700" w:type="dxa"/>
            <w:vAlign w:val="bottom"/>
            <w:gridSpan w:val="2"/>
            <w:shd w:val="clear" w:color="auto" w:fill="CCEEFF"/>
          </w:tcPr>
          <w:p>
            <w:pPr>
              <w:jc w:val="center"/>
              <w:ind w:left="2110"/>
              <w:spacing w:after="0"/>
              <w:rPr>
                <w:sz w:val="20"/>
                <w:szCs w:val="20"/>
                <w:color w:val="auto"/>
              </w:rPr>
            </w:pPr>
            <w:r>
              <w:rPr>
                <w:rFonts w:ascii="Times New Roman" w:cs="Times New Roman" w:eastAsia="Times New Roman" w:hAnsi="Times New Roman"/>
                <w:sz w:val="18"/>
                <w:szCs w:val="18"/>
                <w:color w:val="auto"/>
              </w:rPr>
              <w:t>$53.80</w:t>
            </w:r>
          </w:p>
        </w:tc>
        <w:tc>
          <w:tcPr>
            <w:tcW w:w="114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$36.61</w:t>
            </w: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700" w:type="dxa"/>
            <w:vAlign w:val="bottom"/>
            <w:gridSpan w:val="2"/>
          </w:tcPr>
          <w:p>
            <w:pPr>
              <w:jc w:val="center"/>
              <w:ind w:left="2110"/>
              <w:spacing w:after="0"/>
              <w:rPr>
                <w:sz w:val="20"/>
                <w:szCs w:val="20"/>
                <w:color w:val="auto"/>
              </w:rPr>
            </w:pPr>
            <w:r>
              <w:rPr>
                <w:rFonts w:ascii="Times New Roman" w:cs="Times New Roman" w:eastAsia="Times New Roman" w:hAnsi="Times New Roman"/>
                <w:sz w:val="18"/>
                <w:szCs w:val="18"/>
                <w:color w:val="auto"/>
              </w:rPr>
              <w:t>$55.56</w:t>
            </w:r>
          </w:p>
        </w:tc>
        <w:tc>
          <w:tcPr>
            <w:tcW w:w="11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$39.41</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700" w:type="dxa"/>
            <w:vAlign w:val="bottom"/>
            <w:gridSpan w:val="2"/>
            <w:shd w:val="clear" w:color="auto" w:fill="CCEEFF"/>
          </w:tcPr>
          <w:p>
            <w:pPr>
              <w:jc w:val="center"/>
              <w:ind w:left="2110"/>
              <w:spacing w:after="0"/>
              <w:rPr>
                <w:sz w:val="20"/>
                <w:szCs w:val="20"/>
                <w:color w:val="auto"/>
              </w:rPr>
            </w:pPr>
            <w:r>
              <w:rPr>
                <w:rFonts w:ascii="Times New Roman" w:cs="Times New Roman" w:eastAsia="Times New Roman" w:hAnsi="Times New Roman"/>
                <w:sz w:val="18"/>
                <w:szCs w:val="18"/>
                <w:color w:val="auto"/>
              </w:rPr>
              <w:t>$60.92</w:t>
            </w:r>
          </w:p>
        </w:tc>
        <w:tc>
          <w:tcPr>
            <w:tcW w:w="114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$43.32</w:t>
            </w: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tc>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700" w:type="dxa"/>
            <w:vAlign w:val="bottom"/>
            <w:gridSpan w:val="2"/>
            <w:shd w:val="clear" w:color="auto" w:fill="CCEEFF"/>
          </w:tcPr>
          <w:p>
            <w:pPr>
              <w:jc w:val="center"/>
              <w:ind w:left="2110"/>
              <w:spacing w:after="0"/>
              <w:rPr>
                <w:sz w:val="20"/>
                <w:szCs w:val="20"/>
                <w:color w:val="auto"/>
              </w:rPr>
            </w:pPr>
            <w:r>
              <w:rPr>
                <w:rFonts w:ascii="Times New Roman" w:cs="Times New Roman" w:eastAsia="Times New Roman" w:hAnsi="Times New Roman"/>
                <w:sz w:val="18"/>
                <w:szCs w:val="18"/>
                <w:color w:val="auto"/>
              </w:rPr>
              <w:t>$73.97</w:t>
            </w:r>
          </w:p>
        </w:tc>
        <w:tc>
          <w:tcPr>
            <w:tcW w:w="114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$41.50</w:t>
            </w: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700" w:type="dxa"/>
            <w:vAlign w:val="bottom"/>
            <w:gridSpan w:val="2"/>
          </w:tcPr>
          <w:p>
            <w:pPr>
              <w:jc w:val="center"/>
              <w:ind w:left="2110"/>
              <w:spacing w:after="0"/>
              <w:rPr>
                <w:sz w:val="20"/>
                <w:szCs w:val="20"/>
                <w:color w:val="auto"/>
              </w:rPr>
            </w:pPr>
            <w:r>
              <w:rPr>
                <w:rFonts w:ascii="Times New Roman" w:cs="Times New Roman" w:eastAsia="Times New Roman" w:hAnsi="Times New Roman"/>
                <w:sz w:val="18"/>
                <w:szCs w:val="18"/>
                <w:color w:val="auto"/>
              </w:rPr>
              <w:t>$86.79</w:t>
            </w:r>
          </w:p>
        </w:tc>
        <w:tc>
          <w:tcPr>
            <w:tcW w:w="11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$57.01</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700" w:type="dxa"/>
            <w:vAlign w:val="bottom"/>
            <w:gridSpan w:val="2"/>
            <w:shd w:val="clear" w:color="auto" w:fill="CCEEFF"/>
          </w:tcPr>
          <w:p>
            <w:pPr>
              <w:jc w:val="center"/>
              <w:ind w:left="2110"/>
              <w:spacing w:after="0"/>
              <w:rPr>
                <w:sz w:val="20"/>
                <w:szCs w:val="20"/>
                <w:color w:val="auto"/>
              </w:rPr>
            </w:pPr>
            <w:r>
              <w:rPr>
                <w:rFonts w:ascii="Times New Roman" w:cs="Times New Roman" w:eastAsia="Times New Roman" w:hAnsi="Times New Roman"/>
                <w:sz w:val="18"/>
                <w:szCs w:val="18"/>
                <w:color w:val="auto"/>
              </w:rPr>
              <w:t>$90.32</w:t>
            </w:r>
          </w:p>
        </w:tc>
        <w:tc>
          <w:tcPr>
            <w:tcW w:w="114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$48.91</w:t>
            </w: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700" w:type="dxa"/>
            <w:vAlign w:val="bottom"/>
            <w:gridSpan w:val="2"/>
          </w:tcPr>
          <w:p>
            <w:pPr>
              <w:jc w:val="center"/>
              <w:ind w:left="2110"/>
              <w:spacing w:after="0"/>
              <w:rPr>
                <w:sz w:val="20"/>
                <w:szCs w:val="20"/>
                <w:color w:val="auto"/>
              </w:rPr>
            </w:pPr>
            <w:r>
              <w:rPr>
                <w:rFonts w:ascii="Times New Roman" w:cs="Times New Roman" w:eastAsia="Times New Roman" w:hAnsi="Times New Roman"/>
                <w:sz w:val="18"/>
                <w:szCs w:val="18"/>
                <w:color w:val="auto"/>
              </w:rPr>
              <w:t>$72.88</w:t>
            </w:r>
          </w:p>
        </w:tc>
        <w:tc>
          <w:tcPr>
            <w:tcW w:w="11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$41.80</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2026</w:t>
            </w:r>
          </w:p>
        </w:tc>
        <w:tc>
          <w:tcPr>
            <w:tcW w:w="2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700" w:type="dxa"/>
            <w:vAlign w:val="bottom"/>
            <w:gridSpan w:val="2"/>
          </w:tcPr>
          <w:p>
            <w:pPr>
              <w:jc w:val="center"/>
              <w:ind w:left="2110"/>
              <w:spacing w:after="0"/>
              <w:rPr>
                <w:sz w:val="20"/>
                <w:szCs w:val="20"/>
                <w:color w:val="auto"/>
              </w:rPr>
            </w:pPr>
            <w:r>
              <w:rPr>
                <w:rFonts w:ascii="Times New Roman" w:cs="Times New Roman" w:eastAsia="Times New Roman" w:hAnsi="Times New Roman"/>
                <w:sz w:val="18"/>
                <w:szCs w:val="18"/>
                <w:color w:val="auto"/>
              </w:rPr>
              <w:t>$50.88</w:t>
            </w:r>
          </w:p>
        </w:tc>
        <w:tc>
          <w:tcPr>
            <w:tcW w:w="11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$29.43</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(through April 17, 2026)</w:t>
            </w:r>
          </w:p>
        </w:tc>
        <w:tc>
          <w:tcPr>
            <w:tcW w:w="2700" w:type="dxa"/>
            <w:vAlign w:val="bottom"/>
            <w:gridSpan w:val="2"/>
            <w:shd w:val="clear" w:color="auto" w:fill="CCEEFF"/>
          </w:tcPr>
          <w:p>
            <w:pPr>
              <w:jc w:val="center"/>
              <w:ind w:left="2110"/>
              <w:spacing w:after="0"/>
              <w:rPr>
                <w:sz w:val="20"/>
                <w:szCs w:val="20"/>
                <w:color w:val="auto"/>
              </w:rPr>
            </w:pPr>
            <w:r>
              <w:rPr>
                <w:rFonts w:ascii="Times New Roman" w:cs="Times New Roman" w:eastAsia="Times New Roman" w:hAnsi="Times New Roman"/>
                <w:sz w:val="18"/>
                <w:szCs w:val="18"/>
                <w:color w:val="auto"/>
              </w:rPr>
              <w:t>$52.80</w:t>
            </w:r>
          </w:p>
        </w:tc>
        <w:tc>
          <w:tcPr>
            <w:tcW w:w="114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$33.81</w:t>
            </w: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5"/>
        </w:trPr>
        <w:tc>
          <w:tcPr>
            <w:tcW w:w="3740" w:type="dxa"/>
            <w:vAlign w:val="bottom"/>
          </w:tcPr>
          <w:p>
            <w:pPr>
              <w:spacing w:after="0"/>
              <w:rPr>
                <w:sz w:val="24"/>
                <w:szCs w:val="24"/>
                <w:color w:val="auto"/>
              </w:rPr>
            </w:pPr>
          </w:p>
        </w:tc>
        <w:tc>
          <w:tcPr>
            <w:tcW w:w="220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31" w:name="page32"/>
    <w:bookmarkEnd w:id="31"/>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Soleno is party to a loan and security agreement with Oxford Financing LLC and its affiliates, which contains financial and operating covenants limiting its ability to, among other things, pay dividends, subject to certain exceptions.</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On April 2, 2026, the last trading day before the public announcement of the execution of the Merger Agreement, the reported closing sales price of the Shares on Nasdaq was $39.49. On April 17, 2026, the last full trading day before the commencement of the Offer, the reported closing sales price of the Shares on Nasdaq was $52.78.</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from the date of the Merger Agreement to the Effective Time, except with the prior written consent of Neurocrine, Soleno will not declare, set aside or pay any dividend or other distribution (whether in cash, stock or property or any combination thereof) in respect of its capital stock (including the Shares).</w:t>
      </w:r>
    </w:p>
    <w:p>
      <w:pPr>
        <w:spacing w:after="0" w:line="320" w:lineRule="exact"/>
        <w:rPr>
          <w:sz w:val="20"/>
          <w:szCs w:val="20"/>
          <w:color w:val="auto"/>
        </w:rPr>
      </w:pPr>
    </w:p>
    <w:p>
      <w:pPr>
        <w:ind w:left="960" w:hanging="532"/>
        <w:spacing w:after="0"/>
        <w:tabs>
          <w:tab w:leader="none" w:pos="9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Information Concerning Soleno</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specifically set forth herein, the information concerning Soleno contained in this Offer to Purchase has been taken from or is based upon information furnished by Soleno or its representatives or upon publicly available documents and records on file with the SEC. The summary information set forth below is qualified in its entirety by reference to Soleno’s public filings with the SEC (which may be obtained and inspected as described below) and should be considered in conjunction with the more comprehensive financial and other information in such reports and other publicly available information.</w:t>
      </w:r>
    </w:p>
    <w:p>
      <w:pPr>
        <w:spacing w:after="0" w:line="181"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following description of Soleno and its business has been provided by Soleno management and taken from Soleno’s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fiscal year ended December 31, 2025, and is qualified in its entirety by reference to such Form 10-K.</w:t>
      </w:r>
    </w:p>
    <w:p>
      <w:pPr>
        <w:spacing w:after="0" w:line="160" w:lineRule="exact"/>
        <w:rPr>
          <w:sz w:val="20"/>
          <w:szCs w:val="20"/>
          <w:color w:val="auto"/>
        </w:rPr>
      </w:pPr>
    </w:p>
    <w:p>
      <w:pPr>
        <w:ind w:right="20" w:firstLine="440"/>
        <w:spacing w:after="0" w:line="238" w:lineRule="auto"/>
        <w:rPr>
          <w:sz w:val="20"/>
          <w:szCs w:val="20"/>
          <w:color w:val="auto"/>
        </w:rPr>
      </w:pPr>
      <w:r>
        <w:rPr>
          <w:rFonts w:ascii="Times New Roman" w:cs="Times New Roman" w:eastAsia="Times New Roman" w:hAnsi="Times New Roman"/>
          <w:sz w:val="18"/>
          <w:szCs w:val="18"/>
          <w:color w:val="auto"/>
        </w:rPr>
        <w:t>Soleno is a biopharmaceutical company developing novel therapeutics for the treatment of rare diseases. On March 26, 2025, Soleno announced that its lead product candidate, VYKAT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XR (diazoxide choline) extended-release tablets, formerly known as DCCR, had been approved by the U.S. Food and Drug Administration (which we refer to as the “FDA”). VYKAT XR is indicated to treat hyperphagia in adults and pediatric patients four years of age and older with Prader-Willi syndrome (which we refer to as “PWS”). On April 14, 2025, Soleno announced that prescriptions of VYKAT XR had been delivered to the first individuals living with PWS who had been prescribed the medication and began recognizing revenue from the sales of VYKAT XR during the three months ended June 30, 2025. Soleno is incorporated in the State of Delaware and headquartered in Redwood City, California.</w:t>
      </w:r>
    </w:p>
    <w:p>
      <w:pPr>
        <w:spacing w:after="0" w:line="9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VYKAT XR contains diazoxide choline, a potent ATP-sensitive potassium (which we refer to as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18"/>
          <w:szCs w:val="18"/>
          <w:color w:val="auto"/>
        </w:rPr>
        <w:t>”) channel activator.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18"/>
          <w:szCs w:val="18"/>
          <w:color w:val="auto"/>
        </w:rPr>
        <w:t xml:space="preserve"> channels play a central role in the regulation of a number of physiological processes which may otherwise be dysregulated, contributing to the pathophysiology of several diseases. In the context of the underlying genetic or structural defects in PWS, these pathophysiological processes may cumulatively contribute to increases in appetite and aggressive food seeking, lack of satiety, accumulation of excess body fat and the establishment and perpetuation of the obese state. Its proposed mode of action, with targets in the brain, pancreas and fat tissue, has the potential to broadly impact complex diseases like PWS to reduce appetite, reduce food seeking, decrease insulin and leptin resistance, and reduce body fat. Soleno believes that it has the potential to reduce other problematic behaviors in PWS.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VYKAT XR (Diazoxide Choline) Extended-Release Tablets</w:t>
      </w:r>
    </w:p>
    <w:p>
      <w:pPr>
        <w:spacing w:after="0" w:line="119" w:lineRule="exact"/>
        <w:rPr>
          <w:sz w:val="20"/>
          <w:szCs w:val="20"/>
          <w:color w:val="auto"/>
        </w:rPr>
      </w:pPr>
    </w:p>
    <w:p>
      <w:pPr>
        <w:ind w:right="20" w:firstLine="440"/>
        <w:spacing w:after="0" w:line="224" w:lineRule="auto"/>
        <w:rPr>
          <w:sz w:val="20"/>
          <w:szCs w:val="20"/>
          <w:color w:val="auto"/>
        </w:rPr>
      </w:pPr>
      <w:r>
        <w:rPr>
          <w:rFonts w:ascii="Times New Roman" w:cs="Times New Roman" w:eastAsia="Times New Roman" w:hAnsi="Times New Roman"/>
          <w:sz w:val="18"/>
          <w:szCs w:val="18"/>
          <w:color w:val="auto"/>
        </w:rPr>
        <w:t>VYKAT XR consists of the active ingredient diazoxide choline, a choline salt of diazoxide, which is a benzothiadiazine. Once solubilized from the formulation, diazoxide choline is rapidly converted to diazoxide prior to absorption. It is believed to act by stimulating ion flux through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18"/>
          <w:szCs w:val="18"/>
          <w:color w:val="auto"/>
        </w:rPr>
        <w:t xml:space="preserve"> channels and appears to act on signs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2" w:name="page33"/>
    <w:bookmarkEnd w:id="32"/>
    <w:p>
      <w:pPr>
        <w:ind w:right="60"/>
        <w:spacing w:after="0" w:line="21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symptoms of PWS in a variety of ways. Activating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18"/>
          <w:szCs w:val="18"/>
          <w:color w:val="auto"/>
        </w:rPr>
        <w:t xml:space="preserve"> channel in NPY/AgRP (each as defined below) neurons in the hypothalamus may reduce secretion of neuropeptide Y (which we refer to as “NPY”) and Agouti-related peptide (which we refer to as “AgRP”), contributing to a reduction in hyperphagia. Activating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18"/>
          <w:szCs w:val="18"/>
          <w:color w:val="auto"/>
        </w:rPr>
        <w:t xml:space="preserve"> channel in the dorsal motor nucleus of vagus may potentiate the effects of leptin, insulin and α-melanocortin stimulating hormone to reduce hyperinsulinemia and impact appetite and satiety. Activating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18"/>
          <w:szCs w:val="18"/>
          <w:color w:val="auto"/>
        </w:rPr>
        <w:t xml:space="preserve"> in pancreatic ß-cells can reduce the secretion of insulin, and further reduce the accumulation of excess body fat and the progression to insulin resistance. Activating the K</w:t>
      </w:r>
      <w:r>
        <w:rPr>
          <w:rFonts w:ascii="Times New Roman" w:cs="Times New Roman" w:eastAsia="Times New Roman" w:hAnsi="Times New Roman"/>
          <w:sz w:val="26"/>
          <w:szCs w:val="26"/>
          <w:color w:val="auto"/>
          <w:vertAlign w:val="subscript"/>
        </w:rPr>
        <w:t>ATP</w:t>
      </w:r>
      <w:r>
        <w:rPr>
          <w:rFonts w:ascii="Times New Roman" w:cs="Times New Roman" w:eastAsia="Times New Roman" w:hAnsi="Times New Roman"/>
          <w:sz w:val="18"/>
          <w:szCs w:val="18"/>
          <w:color w:val="auto"/>
        </w:rPr>
        <w:t xml:space="preserve"> channel in adipocytes has the potential to decrease de-novo triglyceride synthesis and increase ß-oxidation of fat, reducing fat mass.</w:t>
      </w:r>
    </w:p>
    <w:p>
      <w:pPr>
        <w:spacing w:after="0" w:line="204" w:lineRule="exact"/>
        <w:rPr>
          <w:sz w:val="20"/>
          <w:szCs w:val="20"/>
          <w:color w:val="auto"/>
        </w:rPr>
      </w:pPr>
    </w:p>
    <w:p>
      <w:pPr>
        <w:ind w:right="320" w:firstLine="440"/>
        <w:spacing w:after="0" w:line="256" w:lineRule="auto"/>
        <w:rPr>
          <w:sz w:val="20"/>
          <w:szCs w:val="20"/>
          <w:color w:val="auto"/>
        </w:rPr>
      </w:pPr>
      <w:r>
        <w:rPr>
          <w:rFonts w:ascii="Times New Roman" w:cs="Times New Roman" w:eastAsia="Times New Roman" w:hAnsi="Times New Roman"/>
          <w:sz w:val="18"/>
          <w:szCs w:val="18"/>
          <w:color w:val="auto"/>
        </w:rPr>
        <w:t>VYKAT XR was formulated with the goals of improving the safety and bioavailability of orally-administered diazoxide and reducing the frequency of dosing required by current diazoxide formulations. Diazoxide choline has been formulated into an extended-release tablet that provides lower peak plasma concentration compared to diazoxide oral suspension and allows for the gradual release of diazoxide choline from VYKAT XR, making it suitable for once-a-day dosing. The gradual release and absorption of diazoxide achieved using VYKAT XR results in consistent intraday circulating drug levels potentially reducing the adverse events often associated with transiently high circulating drug levels and providing efficacy at lower diazoxide-equivalent doses.</w:t>
      </w:r>
    </w:p>
    <w:p>
      <w:pPr>
        <w:spacing w:after="0" w:line="2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Prader-Willi Syndrome (PWS)</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PWS is a rare, complex genetic neurobehavioral/metabolic disorder caused by the absence of normally active paternally expressed genes from the chromosome 15q11-q13 region. PWS is an imprinted condition with 60-65% of the cases due to a de novo deletion in the paternally inherited chromosome 15 11-q13 region, 30-35% from maternal uniparental disomy 15 (which we refer to as “UPD”), where the affected individual inherited 2 copies of the chromosome from their mother and no copy from their father, and the remaining 2-5% from either microdeletions or epimutations of the imprinting center (i.e., imprinting defects; which we refer to as “IDs”). The Committee on Genetics of the American Academy of Pediatrics has found that PWS affects both genders equally and occurs in people from all geographic regions, The Prader-Willi Syndrome Association USA estimates that PWS occurs in one in every 15,000 live births. The mortality rate among patients with PWS has been estimated at 3% a year across all ages and 7% in those over 30 years of age. The mean age of death reported from a 40-year mortality study in the U.S. was 29.5 ± 15 years (range: 2 months-67 years).</w:t>
      </w:r>
    </w:p>
    <w:p>
      <w:pPr>
        <w:spacing w:after="0" w:line="19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to hyperphagia, typical behavioral disturbances associated with PWS include skin picking, difficulty with change in routine, obsessive and compulsive behaviors, anxiety and mood fluctuations. The majority of older adolescents and adults with PWS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80"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PWS was typically thought of as a genetic obesity. However, many patients with PWS today may not be obese because of increasing awareness among families and caregivers leading to significant control of access to food and its intake. However, patients remain hyperphagic and will typically have a higher body fat and lower lean body mass content compared to similarly obese individuals. They are prone to cardiometabolic issues such as abnormal lipid profiles, diabetes and hypertension associated with obesity once it is established.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Cognitively, most individuals with PWS function in the mild intellectual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162" w:right="439" w:bottom="1440" w:gutter="0" w:footer="0" w:header="0"/>
        </w:sectPr>
      </w:pPr>
    </w:p>
    <w:bookmarkStart w:id="33" w:name="page34"/>
    <w:bookmarkEnd w:id="33"/>
    <w:p>
      <w:pPr>
        <w:ind w:left="8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Unmet Medical Needs in PWS</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On March 26, 2025, VYKAT XR was approved by the FDA for the treatment of patients with PWS ages 4 years and older who have hyperphagia. Currently, the only other approved treatment in the U.S. related to PWS is growth hormone which addresses the growth failure associated with PWS but has no effect on hyperphagia. A global patient survey conducted by the Foundation for Prader-Willi Research (n=779), found that 96.5% of respondents rated reducing hunger and 91.2% rated improving behavior around food as a very important or the most important symptom to be relieved by a new treatment.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188"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Therefore, there are clear unmet needs in patients with PWS to reduce hyperphagia, improve behaviors around food, and to reduce other behavioral and cognitive impacts of this complex disease. In addition, improving metabolic health is also an important unmet need.</w:t>
      </w:r>
    </w:p>
    <w:p>
      <w:pPr>
        <w:spacing w:after="0" w:line="2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Market opportunity</w:t>
      </w:r>
    </w:p>
    <w:p>
      <w:pPr>
        <w:spacing w:after="0" w:line="11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An estimated 300,000 to 400,000 individuals worldwide have PWS with a birth incidence ranging from 1 in 15,000 to 1 in 25,000. Based on an analysis of claims data (Medicare, Medicaid, pharmacy and medical benefit claims), Soleno has identified approximately 10,000 people who have received a PWS-specific treatment or had a PWS-specific ICD10 claim in 2022 or 2023. Soleno believes that the number of identified patients with PWS is growing at a rate that is higher than the rate of general population because of improved rates of diagnosis. VYKAT XR is the first treatment for hyperphagia in patients with PWS to reach the market in the U.S. and may therefore be likely to be used in a large proportion of patients.</w:t>
      </w:r>
    </w:p>
    <w:p>
      <w:pPr>
        <w:spacing w:after="0" w:line="2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majority of the PWS population in the U.S. is diagnosed shortly after birth through an affordable genetic test, and the patient, as well as their treating physician, are captured in a commercially available reimbursement claims database. Patients with PWS are typically treated by a multi-disciplinary team led by a pediatric or adult endocrinologist and many families and patients receive care at larger clinics that devote specific resources to caring for people with PWS. The PWS care teams with the largest volumes are often in university-associated hospitals or children’s hospitals and a portion of adults with PWS live in residential group home settings. Due to these factors, Soleno believes it has positioned itself to launch VYKAT XR through its commercial organization in a targeted and efficient manner. Soleno has a field force of approximately 65 individuals, including approximately 28 rare disease specialists, 16 clinical nurse educators, 6 regional access directors and 15 remote or hybrid lead generation specialists.</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Soleno believes a comparable concentration of care exists in Europe, Japan and other major markets which may allow Soleno to market VYKAT XR without a partner; however, Soleno may identify commercialization partners for VYKAT XR for many markets. The final decisions on commercialization strategy outside the U.S. will be made at a later date.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April 7, 2026, Soleno reported that it had voluntarily withdrawn its marketing authorization application (which we refer to as “MAA”) for VIOKAT prolonged-release tablets (diazoxide choline), which is marketed in the United States as VYKAT XR, its medicinal product for the treatment of adults and children aged four (4) years and older with PWS who experience hyperphagia. Soleno had previously announced that the application had been under review by the European Medicines Agency, with a decision expected in mid-2026. Soleno’s decision to withdraw the MAA was based on business and strategic considerations. Withdrawal of the application preserves Soleno’s ability to re-engage with regulators at a later date should there be an appropriate pathway to progress the program.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8" w:right="459"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Pricing</w:t>
      </w:r>
    </w:p>
    <w:p>
      <w:pPr>
        <w:spacing w:after="0" w:line="119" w:lineRule="exact"/>
        <w:rPr>
          <w:sz w:val="20"/>
          <w:szCs w:val="20"/>
          <w:color w:val="auto"/>
        </w:rPr>
      </w:pPr>
    </w:p>
    <w:p>
      <w:pPr>
        <w:ind w:right="260" w:firstLine="440"/>
        <w:spacing w:after="0" w:line="224" w:lineRule="auto"/>
        <w:rPr>
          <w:sz w:val="20"/>
          <w:szCs w:val="20"/>
          <w:color w:val="auto"/>
        </w:rPr>
      </w:pPr>
      <w:r>
        <w:rPr>
          <w:rFonts w:ascii="Times New Roman" w:cs="Times New Roman" w:eastAsia="Times New Roman" w:hAnsi="Times New Roman"/>
          <w:sz w:val="18"/>
          <w:szCs w:val="18"/>
          <w:color w:val="auto"/>
        </w:rPr>
        <w:t>VYKAT XR is sold based on weight-based pricing, with a list price of $6.0976 per milligram. It is Soleno’s philosophy that those in need of VYKAT XR have access to VYKAT XR. Soleno offers several programs through SOLENO ONE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to provide patients and caregivers education and resources including financial assistance in certain situations, consequently any actual out-of-pocket costs vary significantly with insurance.</w:t>
      </w:r>
    </w:p>
    <w:p>
      <w:pPr>
        <w:spacing w:after="0" w:line="197"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 The Shares are registered under the Exchange Act. Accordingly, Soleno is subject to the information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requirements of the Exchange Act and, in accordance therewith, is required to file periodic reports, proxy statements and other information with the SEC relating to its business, financial condition and other matters. Information as of particular dates concerning Soleno’s directors and officers, their remuneration, stock options and other equity awards granted to them, the principal holders of Soleno’s securities, any material interests of such persons in transactions with Soleno and other matters is required to be disclosed in proxy statements, the most recent one having been filed with the SEC on April 22, 2025. Such reports, proxy statements and other information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960" w:hanging="532"/>
        <w:spacing w:after="0"/>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Information Concerning Neurocrine and Purchaser</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Neurocrine and Purchaser</w:t>
      </w:r>
      <w:r>
        <w:rPr>
          <w:rFonts w:ascii="Times New Roman" w:cs="Times New Roman" w:eastAsia="Times New Roman" w:hAnsi="Times New Roman"/>
          <w:sz w:val="18"/>
          <w:szCs w:val="18"/>
          <w:color w:val="auto"/>
        </w:rPr>
        <w:t>. Neurocrine Biosciences is a neuroscience-focused, biopharmaceutical company with a simple purpose: to relieve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suffering for people with great needs. It is dedicated to discovering, developing, and commercializing life-changing treatments for patients with under-addressed neurological, psychiatric, endocrine, and immunological disorders.</w:t>
      </w:r>
    </w:p>
    <w:p>
      <w:pPr>
        <w:spacing w:after="0" w:line="17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Neurocrine’s portfolio of products includes FDA approved treatments for tardive dyskinesia (which we refer to as “TD”), chorea associated with Huntington’s disease, classic congenital adrenal hyperplasia due to 21-hydroxylase deficiency (which we refer to as “CAH”), and endometriosis and uterine fibroids in collaboration with AbbVie Inc. In addition, it has a diversified portfolio of multiple compounds in mid- to late-phase development across its core therapeutic areas and an expanding early-phase pipeline that includes a range of modalities including small molecules, peptides, proteins, antibodies, conjugates, and gene therapies.</w:t>
      </w:r>
    </w:p>
    <w:p>
      <w:pPr>
        <w:spacing w:after="0" w:line="183" w:lineRule="exact"/>
        <w:rPr>
          <w:sz w:val="20"/>
          <w:szCs w:val="20"/>
          <w:color w:val="auto"/>
        </w:rPr>
      </w:pPr>
    </w:p>
    <w:p>
      <w:pPr>
        <w:jc w:val="both"/>
        <w:ind w:right="360" w:firstLine="440"/>
        <w:spacing w:after="0" w:line="198" w:lineRule="auto"/>
        <w:rPr>
          <w:sz w:val="20"/>
          <w:szCs w:val="20"/>
          <w:color w:val="auto"/>
        </w:rPr>
      </w:pPr>
      <w:r>
        <w:rPr>
          <w:rFonts w:ascii="Times New Roman" w:cs="Times New Roman" w:eastAsia="Times New Roman" w:hAnsi="Times New Roman"/>
          <w:sz w:val="18"/>
          <w:szCs w:val="18"/>
          <w:color w:val="auto"/>
        </w:rPr>
        <w:t>Neurocrine launched INGREZZA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(valbenazine) in the U.S. as the first FDA-approved drug for the treatment of TD in May 2017 and for the treatment of chorea associated with Huntington’s disease in August 2023 and launched CRENESSITY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(crinecerfont) in the U.S. as a first-in-class FDA-approved treatment of CAH in December 2024.</w:t>
      </w:r>
    </w:p>
    <w:p>
      <w:pPr>
        <w:spacing w:after="0" w:line="20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Neurocrine estimates that TD affects approximately 800,000 people in the U.S., that approximately 90% of the 40,000 people in the U.S. affected by Huntington’s disease will develop chorea, and that CAH affects at least 20,000 people in the U.S. Key elements of Neurocrine’s commercial strategy include maximizing the opportunities in INGREZZA and CRENESSITY through consistent and effective commercial execution, continued development of valbenazine as the best-in-class treatment for new patient populations, and to lead the evolving understanding of vesicular monoamine transporter 2 biology and its role in disease. INGREZZA net product sales were $2.51 billion for 2025, $2.31 billion for 2024, and $1.84 billion for 2023 and accounted for a significant portion of Neurocrine’s total net product sales during each of these years. CRENESSITY net product sales were $301.2 million for 2025 during its first full-year of launch.</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Purchaser is a Delaware corporation formed on April 2, 2026 solely for the purpose of effecting the Offer and the Merger and has conducted no business activities other than those related to the structuring and negotiation of the Offer and the Merger. Purchaser has no assets or liabilities other than the contractual rights and obligations related to the Merger Agreement. Upon the completion of the Merger, Purchaser’s separate corporate existence will cease and Soleno will continue as the Surviving Company. Until immediately prior to the time Purchaser purchases Shares pursuant to the Offer, it is not anticipated that Purchaser will have any assets or liabilities or engage in activities other than those incidental to its formation and capitalization and the transactions contemplated by the Offer and the Merger. Purchaser is a direct wholly owned subsidiary of Neurocrine.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8" w:right="459" w:bottom="1440" w:gutter="0" w:footer="0" w:header="0"/>
        </w:sectPr>
      </w:pPr>
    </w:p>
    <w:bookmarkStart w:id="35" w:name="page36"/>
    <w:bookmarkEnd w:id="35"/>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Neurocrine’s and Purchaser’s principal executive offices are located at 6027 Edgewood Bend Court, San Diego, California 92130 and their telephone number is (858) 617-7600. Neurocrine’s internet address is </w:t>
      </w:r>
      <w:r>
        <w:rPr>
          <w:rFonts w:ascii="Times New Roman" w:cs="Times New Roman" w:eastAsia="Times New Roman" w:hAnsi="Times New Roman"/>
          <w:sz w:val="18"/>
          <w:szCs w:val="18"/>
          <w:i w:val="1"/>
          <w:iCs w:val="1"/>
          <w:color w:val="auto"/>
        </w:rPr>
        <w:t>www.neurocrine.com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The name, citizenship, business address, present principal occupation or employment and five-year employment history of each of the directors and executive officers of Neurocrine and Purchaser are listed in Schedule I to this Offer to Purchase.</w:t>
      </w:r>
    </w:p>
    <w:p>
      <w:pPr>
        <w:spacing w:after="0" w:line="162"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During the last five years, none of Neurocrine or Purchaser or, to the best knowledge of Neurocrine and Purchaser,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such laws.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April 20, 2026, Neurocrine and Purchaser did not own any Shares.</w:t>
      </w:r>
    </w:p>
    <w:p>
      <w:pPr>
        <w:spacing w:after="0" w:line="225"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Except as provided in the Merger Agreement or as otherwise described in this Offer to Purchase, (i) none of Neurocrine or Purchaser or, to the best knowledge of Neurocrine and Purchaser, any of the persons listed in Schedule I to this Offer to Purchase or any associate or majority-owned subsidiary of Neurocrine or Purchaser or any of the persons so listed beneficially owns or has any right to acquire, directly or indirectly, any Shares and</w:t>
      </w:r>
    </w:p>
    <w:p>
      <w:pPr>
        <w:spacing w:after="0" w:line="2" w:lineRule="exact"/>
        <w:rPr>
          <w:sz w:val="20"/>
          <w:szCs w:val="20"/>
          <w:color w:val="auto"/>
        </w:rPr>
      </w:pPr>
    </w:p>
    <w:p>
      <w:pPr>
        <w:ind w:left="4" w:hanging="4"/>
        <w:spacing w:after="0" w:line="252"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Neurocrine or Purchaser or, to the best knowledge of Neurocrine and Purchaser, any of the persons or entities referred to in Schedule I hereto nor any director, executive officer or subsidiary of any of the foregoing has effected any transaction in respect of any Shares during the past sixty (60) days. Except as provided in the Merger Agreement or as otherwise described in this Offer to Purchase, none of Neurocrine or Purchaser or, to the best knowledge of Neurocrine and Purchaser, any of the persons listed in Schedule I to this Offer to Purchase, has any contract, arrangement, understanding or relationship with any other person with respect to any securities of Soleno (including, but not limited to,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w:t>
      </w:r>
    </w:p>
    <w:p>
      <w:pPr>
        <w:spacing w:after="0" w:line="188"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in this Offer to Purchase, none of Neurocrine or Purchaser or, to the best knowledge of Neurocrine and Purchaser, any of the persons listed in Schedule I hereto, has had any business relationship or transaction with Soleno or any of its executive officers, directors or affiliates that is required to be reported under the rules and regulations of the SEC applicable to the Offer.</w:t>
      </w:r>
    </w:p>
    <w:p>
      <w:pPr>
        <w:spacing w:after="0" w:line="176"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in this Offer to Purchase, there have been no contacts, negotiations or transactions between Neurocrine or any of its subsidiaries or, to the best knowledge of Neurocrine and Purchaser, any of the persons listed in Schedule I to this Offer to Purchase, on the one hand, and Soleno or its affiliates, on the other hand, concerning a merger, consolidation or acquisition, tender offer or other acquisition of securities, an election of directors or a sale or other transfer of a material amount of assets during the past two years.</w:t>
      </w:r>
    </w:p>
    <w:p>
      <w:pPr>
        <w:spacing w:after="0" w:line="178" w:lineRule="exact"/>
        <w:rPr>
          <w:sz w:val="20"/>
          <w:szCs w:val="20"/>
          <w:color w:val="auto"/>
        </w:rPr>
      </w:pPr>
    </w:p>
    <w:p>
      <w:pPr>
        <w:jc w:val="both"/>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 Pursuant to Rule 14d-3 under the Exchange Act, we have filed with the SEC a Tender Offer Statement on Schedule TO,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this Offer to Purchase forms a part, and exhibits to the Schedule TO. The Schedule TO and the exhibits thereto, as well as other information filed by Neurocrine and Purchaser with the SEC,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964" w:hanging="532"/>
        <w:spacing w:after="0"/>
        <w:tabs>
          <w:tab w:leader="none" w:pos="96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Source and Amount of Funds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Consummation of the Offer is not subject to any financing condition. The total amount of funds required by Neurocrine and Purchaser to consummate the Offer and purchase all outstanding Shares in the Offer not already owned by Neurocrine, to provide funding for the payment in respect of outstanding stock options and restricted</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4"/>
          </w:cols>
          <w:pgMar w:left="436" w:top="270" w:right="519" w:bottom="1440" w:gutter="0" w:footer="0" w:header="0"/>
        </w:sectPr>
      </w:pPr>
    </w:p>
    <w:bookmarkStart w:id="36" w:name="page37"/>
    <w:bookmarkEnd w:id="3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units and to provide funding for the Merger is approximately $2.9 billion, plus related fees and expenses. Neurocrine and Purchaser currently have, and will have, available to them cash on hand necessary for the payment of the aggregate Offer Price and the aggregate Merger Consideration and to satisfy all of their payment obligations under the Merger Agreement and resulting from the transactions contemplated thereby in connection with the Closing. Neither Neurocrine nor Purchaser has entered into any financing commitment in connection with the Merger Agreement or the transactions contemplated thereby.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reasons stated above, we do not believe our financial condition to be relevant to your decision to tender your Shares.</w:t>
      </w:r>
    </w:p>
    <w:p>
      <w:pPr>
        <w:spacing w:after="0" w:line="370" w:lineRule="exact"/>
        <w:rPr>
          <w:sz w:val="20"/>
          <w:szCs w:val="20"/>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Background of the Offer; Past Contacts or Negotiations with Soleno</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information set forth below regarding Soleno was provided by Soleno, and none of Neurocrine, Purchaser or any of their respective affiliates take any responsibility for the accuracy or completeness of any information regarding meetings or discussions in which Neurocrine, Purchaser or their respective affiliates or representatives did not participate.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of the Offer</w:t>
      </w:r>
    </w:p>
    <w:p>
      <w:pPr>
        <w:spacing w:after="0" w:line="119"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contains a description of material contacts between representatives of Neurocrine or Purchaser and representatives of Soleno that led to the execution of the Merger Agreement, the agreements related to the Offer and the announcement thereof. The information set forth below regarding Soleno was provided by Soleno, and none of Neurocrine, Purchaser or any of its affiliates or representatives takes any responsibility for the accuracy or completeness of any information regarding meetings or discussions in which Neurocrine or its affiliates or representatives did not participate. For a review of Soleno’s activities relating to these contacts, please refer to Soleno’s Schedule 14D-9 that will be filed with the SEC and mailed to the Soleno stockholders with this Offer to Purchase.</w:t>
      </w:r>
    </w:p>
    <w:p>
      <w:pPr>
        <w:spacing w:after="0" w:line="184"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As part of Neurocrine’s ongoing evaluation of its business and strategic opportunities, the board of directors of Neurocrine (the “Neurocrine Board”) and Neurocrine’s senior management team regularly evaluate a variety of potential licensing, partnering, research and development, collaboration, acquisition and other strategic transactions with third parties, including companies that have developed products in clinical areas that diversify or further Neurocrine’s product portfolio and complement Neurocrine’s strategic plan.</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the fall of 2025, Dr. Anish Bhatnagar, Soleno’s chairman and chief executive officer, and Dr. Kyle Gano, Neurocrine’s chief executive officer, met briefly at a social event. During this meeting, an acquisition of Soleno by Neurocrine was not discussed.</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early February 2026, representatives of Guggenheim Securities, as part of their regular meetings with participants in the biopharmaceutical industry, met with Samir Siddhanti, Neurocrine’s Vice President of Business Development. The parties discussed general industry dynamics and various companies in the industry, including Soleno. Mr. Siddhanti accepted an offer from the representatives of Guggenheim Securities to facilitate an introduction to Dr. Bhatnagar. This introduction was made on February 9, 2026.</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On February 17, 2026, Dr. Bhatnagar and Mr. Siddhanti spoke about VYKAT XR and its efficacy and safety profile. During this discussion, Mr. Siddhanti informed Dr. Bhatnagar that Neurocrine management was interested in evaluating the possible acquisition of Soleno and that the matter would be discussed further with the Neurocrine Board at an upcoming meeting.</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On February 20, 2026, Dr. Bhatnagar and Mr. Siddhanti spoke and Mr. Siddhanti reported that the Neurocrine Board authorized Neurocrine management to undertake due diligence on Soleno.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37" w:name="page38"/>
    <w:bookmarkEnd w:id="3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Later on February 20, 2026, Soleno provided a confidentiality agreement to Neurocrine to facilitate discussions between the companies (which we refer to as the “Confidentiality Agreement”). The Confidentiality Agreement was signed on February 24, 2026, and included a customary “standstill,” and did not include a “don’t ask, don’t waive” or similar restriction limiting the ability of Neurocrine to make a private transaction proposal to Soleno. Thereafter and continuing until the execution of the Merger Agreement, Soleno and its advisors made additional confidential information about Soleno and its businesses available to Neurocrine and its advisors via a virtual data room. Soleno also responded to due diligence inquiries from Neurocrine and its advisors and members of Soleno management participated in due diligence sessions with representatives of Neurocrine</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March 12, 2026, Dr. Bhatnagar and Mr. Siddhanti spoke concerning due diligence matters, including the information recently received from the European Medicines Agency.</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March 18, 2026, Drs. Bhatnagar and Gano spoke, during which conversation Dr. Gano stated that Neurocrine would be submitting a nonbinding proposal to acquire Soleno for $50.00 in cash per Share. Dr. Gano provided this proposal in writing to Dr. Bhatnagar later that day. This proposal is referred to as the “Initial Neurocrine Proposal.” The Initial Neurocrine Proposal did not address any terms related to retention, employment or compensation of any Soleno officer or director following the closing of the acquisition. The Initial Neurocrine Proposal stated that Neurocrine wished to negotiate and announce the acquisition by April 6, 2026.</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On March 19, 2026, Dr. Bhatnagar informed Dr. Gano that the Soleno Board believed that Soleno should be valued higher than the value ascribed to it in the Initial Neurocrine Proposal, and that Soleno would be willing to provide additional due diligence information to allow Neurocrine to improve the value of its acquisition proposal. In response, Dr. Gano indicated that any potential revision to the Initial Neurocrine Proposal would only occur after the receipt of additional due diligence information.</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On March 20, 2026, Drs. Bhatnagar and Gano spoke regarding due diligence matters. Dr. Gano outlined certain key areas of diligence for Neurocrine and reiterated that further due diligence was required before Neurocrine would be in a position to potentially revise the Initial Neurocrine Proposal.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25, 2026, Drs. Bhatnagar and Gano spoke about the ongoing due diligence process.</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On March 30, 2026, Drs. Bhatnagar and Gano spoke, during which conversation Dr. Gano stated that Neurocrine would be submitting a revised nonbinding proposal to acquire Soleno for $53.00 per Share in cash, and that this proposal would be Neurocrine’s “best and final” offer. Later that day, Dr. Gano provided Dr. Bhatnagar with a revised nonbinding proposal in writing to acquire Soleno for $53.00 in cash per Share. This proposal is referred to as the “Final Neurocrine Proposal.” The Final Neurocrine Proposal did not address any terms related to retention, employment or compensation of any Soleno officer or director following the closing of the acquisition. The Final Neurocrine Proposal stated that Neurocrine wished to sign a merger agreement and announce the acquisition by April 6, 2026.</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Late in the evening of March 30, 2026, representatives of Cooley LLP, outside counsel to Neurocrine (which we refer to as “Cooley”), delivered a draft merger agreement to representatives of Wilson Sonsini Goodrich &amp; Rosati, P.C., outside counsel to Soleno (which we refer to as “Wilson Sonsini”).</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Between March 31, 2026 and April 4, 2026, representatives of each of Cooley and Wilson Sonsini negotiated the terms of the merger agreement, including: (1) the amount of the termination fee payable by Soleno to Neurocrine and the circumstances in which that fee would be payable; (2) the amount of the termination fee payable by Neurocrine to Soleno should the merger agreement be terminated for failure to obtain necessary antitrust approvals; (3) the exceptions to the “material adverse effect” definition; (4) the nature and scope of Neurocrine’s obligation to obtain necessary antitrust approvals; and (5) the closing conditions applicable to the Offer.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38" w:name="page39"/>
    <w:bookmarkEnd w:id="38"/>
    <w:p>
      <w:pPr>
        <w:jc w:val="both"/>
        <w:ind w:right="5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2, 2026, representatives of Cooley delivered a draft tender and support agreement to representatives of Wilson Sonsini. Over the following days, representatives of each of Cooley and Wilson Sonsini negotiated the terms of the tender and support agreement, including (1) the transfer restrictions; (2) the non-solicitation obligations; and (3) the scenarios in which the obligations in the tender and support agreement would automatically terminate.</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On April 5, 2026, following extensive negotiations between the parties, representatives of Wilson Sonsini and representatives of Cooley, with the direction and approval of management of Soleno and Parent, finalized the Merger Agreement and the Tender Agreement.</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On April 5, 2026, Soleno, Neurocrine and Purchaser executed the Merger Agreement, and Neurocrine, Purchaser and the Supporting Stockholders entered into the Tender Agreements.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6, 2026, Soleno and Neurocrine issued a joint press release announcing the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Past Contacts, Transactions, Negotiations and Agreements.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more information on the Merger Agreement and the other agreements between Soleno and Purchaser and their respective related parties, see Section 8—“Certain Information Concerning Neurocrine and Purchaser,” Section 9—“Source and Amount of Funds” and Section 11—“The Transaction Documents.”</w:t>
      </w:r>
    </w:p>
    <w:p>
      <w:pPr>
        <w:spacing w:after="0" w:line="320" w:lineRule="exact"/>
        <w:rPr>
          <w:sz w:val="20"/>
          <w:szCs w:val="20"/>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Transaction Documents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Merger Agreement and is qualified in its entirety by reference to the full text of the Merger Agreement, a copy of which is filed as Exhibit (d)(1) to the Schedule TO, and is incorporated herein by reference. Copies of the Merger Agreement and the Schedule TO and any other filings that we make with the SEC with respect to the Offer or the Merger may be obtained in the manner set forth in Section 8—“Certain Information Concerning Neurocrine and Purchaser.” Holders of Shares and other interested parties should read the Merger Agreement for a more complete description of the provisions summarized below. Capitalized terms not otherwise defined in this Section 11 will have the meanings ascribed to them in the Merger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Explanatory Note Regarding the Merger Agreement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is included to provide you with information regarding its terms. Factual disclosures about Parent, us and the Company or any of our or their respective affiliates contained in this Offer to Purchase or in our or their respective public reports filed with the SEC, as applicable, may supplement, update or modify the factual disclosures about Parent, us and the Company or any of our or their respective affiliates contained in the Merger Agreement. The representations, warranties and covenants made in the Merger Agreement by Parent, us and the Company were qualified and subject to important limitations agreed to by Parent, us and the Company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establishing the circumstances in which a party to the Merger Agreement may have the right not to consummate the Offer or the Merger if the representations and warranties of the other party prove to be untrue due to a change in circumstance or otherwise, and allocating risk between the parties to the Merger Agreement, rather than establishing facts. The representations and warranties may also be subject to a contractual standard of materiality different from those generally applicable to stockholders and reports and documents filed with the SEC, and in some cases were qualified by disclosures set forth in schedules that were provided by each party to the other but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9" w:name="page40"/>
    <w:bookmarkEnd w:id="39"/>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not publicly filed as part of the Merger Agreement. Moreover, information concerning the subject matter of the representations and warranties, which do not purport to be accurate as of the date of this Offer to Purchase, may have changed since the date of the Merger Agreement and subsequent developments or new information qualifying a representation or warranty may have been included in this Offer to Purchase, the Schedule 14D-9 or other reports filed by Parent or the Company with the SEC. Accordingly, investors and stockholders should not rely on such representations, warranties and covenants as characterizations of the actual state of facts or circumstances described therein without consideration of the entirety of the factual disclosures about the Company, Parent or Purchaser made in this Offer to Purchase, the Schedule 14D-9 or other reports filed by Parent or the Company with the SEC.</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The Offer</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Merger Agreement provides Purchaser will commence the Offer as promptly as reasonably practicable, but in no event more than ten</w:t>
      </w:r>
    </w:p>
    <w:p>
      <w:pPr>
        <w:spacing w:after="0" w:line="27" w:lineRule="exact"/>
        <w:rPr>
          <w:sz w:val="20"/>
          <w:szCs w:val="20"/>
          <w:color w:val="auto"/>
        </w:rPr>
      </w:pPr>
    </w:p>
    <w:p>
      <w:pPr>
        <w:ind w:left="4" w:right="20" w:hanging="4"/>
        <w:spacing w:after="0" w:line="253" w:lineRule="auto"/>
        <w:tabs>
          <w:tab w:leader="none" w:pos="3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of the Merger Agreement, if practicable. The Merger Agreement provides that, subject to the terms and conditions of the Merger Agreement, including the prior satisfaction of the Minimum Condition and the satisfaction or waiver (to the extent permissible) by Purchaser of the other conditions to the Offer that are described in Section 15—“Conditions to the Offer”, each Company stockholder who validly tenders Shares into the Offer will receive $53.00 per Share, in cash, without interest and subject to any required withholding of taxes.</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Extensions of the Offer</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Merger Agreement provides that the initial Expiration Date will be one minute following 11:59 p.m. Eastern Time on May 15, 2026.</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Purchaser is required to extend the Offer from time to time:</w:t>
      </w:r>
    </w:p>
    <w:p>
      <w:pPr>
        <w:spacing w:after="0" w:line="112" w:lineRule="exact"/>
        <w:rPr>
          <w:sz w:val="20"/>
          <w:szCs w:val="20"/>
          <w:color w:val="auto"/>
        </w:rPr>
      </w:pPr>
    </w:p>
    <w:p>
      <w:pPr>
        <w:ind w:left="964" w:right="180" w:hanging="424"/>
        <w:spacing w:after="0" w:line="266" w:lineRule="auto"/>
        <w:tabs>
          <w:tab w:leader="none" w:pos="9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minimum period required by any law or any interpretation or position of the SEC or Nasdaq or their respective staff, in each case, applicable to the Offer, or as may be necessary to resolve any comments of the SEC or Nasdaq or their respective staff, in each case, as applicable to the Offer, the Schedule 14D-9 or the Offer Documents;</w:t>
      </w:r>
    </w:p>
    <w:p>
      <w:pPr>
        <w:spacing w:after="0" w:line="81" w:lineRule="exact"/>
        <w:rPr>
          <w:rFonts w:ascii="Times New Roman" w:cs="Times New Roman" w:eastAsia="Times New Roman" w:hAnsi="Times New Roman"/>
          <w:sz w:val="18"/>
          <w:szCs w:val="18"/>
          <w:color w:val="auto"/>
        </w:rPr>
      </w:pPr>
    </w:p>
    <w:p>
      <w:pPr>
        <w:ind w:left="964" w:right="240" w:hanging="424"/>
        <w:spacing w:after="0" w:line="266" w:lineRule="auto"/>
        <w:tabs>
          <w:tab w:leader="none" w:pos="9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periods of up to ten (10) Business Days per extension, until any waiting period (and any extension thereof) applicable to the consummation of the Offer under the HSR Act and the Required Antitrust Approvals (including any timing agreement entered into with any Governmental Authority) will have expired or been terminated;</w:t>
      </w:r>
    </w:p>
    <w:p>
      <w:pPr>
        <w:spacing w:after="0" w:line="81" w:lineRule="exact"/>
        <w:rPr>
          <w:rFonts w:ascii="Times New Roman" w:cs="Times New Roman" w:eastAsia="Times New Roman" w:hAnsi="Times New Roman"/>
          <w:sz w:val="18"/>
          <w:szCs w:val="18"/>
          <w:color w:val="auto"/>
        </w:rPr>
      </w:pPr>
    </w:p>
    <w:p>
      <w:pPr>
        <w:ind w:left="964" w:right="180" w:hanging="424"/>
        <w:spacing w:after="0" w:line="261" w:lineRule="auto"/>
        <w:tabs>
          <w:tab w:leader="none" w:pos="9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one or more occasions for additional periods of up to ten (10) Business Days per extension (or such other period as agreed by the Company and Parent), if, as of the scheduled Expiration Date, any Offer Condition (other than the Minimum Condition or such Offer Conditions that by their nature are to be satisfied or waived as of the Offer Acceptance Time) is not satisfied and has not been waived, to permit such Offer Condition to be satisfied; and</w:t>
      </w:r>
    </w:p>
    <w:p>
      <w:pPr>
        <w:spacing w:after="0" w:line="85" w:lineRule="exact"/>
        <w:rPr>
          <w:rFonts w:ascii="Times New Roman" w:cs="Times New Roman" w:eastAsia="Times New Roman" w:hAnsi="Times New Roman"/>
          <w:sz w:val="18"/>
          <w:szCs w:val="18"/>
          <w:color w:val="auto"/>
        </w:rPr>
      </w:pPr>
    </w:p>
    <w:p>
      <w:pPr>
        <w:ind w:left="964" w:right="60" w:hanging="424"/>
        <w:spacing w:after="0" w:line="266" w:lineRule="auto"/>
        <w:tabs>
          <w:tab w:leader="none" w:pos="9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up to two occasions for additional periods of ten (10) Business Days per extension, if, as of the scheduled Expiration Date, the Minimum Condition is the only Offer Condition that is not satisfied or waived (other than such Offer Conditions that by their nature are to be satisfied or waived as of the Offer Acceptance Time), to permit the Minimum Condition to be satisfied.</w:t>
      </w:r>
    </w:p>
    <w:p>
      <w:pPr>
        <w:spacing w:after="0" w:line="176"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In no event will Purchaser be (i) required to extend the Offer beyond the Extension Deadline or (ii) permitted to extend the Offer beyond the Extension Deadline without the prior written consent of the Company.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we extend the Offer, such extension will extend the time that you will have to tender your Shares.</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w:t>
      </w:r>
    </w:p>
    <w:p>
      <w:pPr>
        <w:spacing w:after="0" w:line="11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conditions set forth in the Merger Agreement and in accordance with Section 251(h) of the DGCL, at the Effective Time, the Company and Parent will consummate the Merger, whereby Purchaser will be merged with and into the Company, and the separate existence of Purchaser will cease. The Company will continue as the Surviving Company in the Merger, and the separate corporate existence of the Company, with all its rights, privileges, immunities, powers and franchises, will continue unaffected by the Merger, except as set forth in the Merger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p>
      <w:pPr>
        <w:spacing w:after="0" w:line="119"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the directors and officers of the Surviving Company immediately after the Effective Time will be the respective individuals who are the directors and officers of Purchaser immediately prior to the Effective Time.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 of Incorporation; Bylaws</w:t>
      </w:r>
    </w:p>
    <w:p>
      <w:pPr>
        <w:spacing w:after="0" w:line="11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unless otherwise determined by Parent prior to the Effective Time, at the Effective Time: (i) the certificate of incorporation of the Surviving Company will be amended and restated in its entirety to conform to Exhibit A attached to the Merger Agreement and (ii) the bylaws of the Surviving Company will be amended and restated to conform to Exhibit B attached to the Merger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11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Merger, at the Effective Time, each Share then issued and outstanding (other than the Cancelled Shares and other than any Dissenting Shares) will be converted into the right to receive the Offer Price (which we refer to as the “Merger Consideration”), without interest, subject to any applicable withholding of taxes.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Warrants</w:t>
      </w:r>
    </w:p>
    <w:p>
      <w:pPr>
        <w:spacing w:after="0" w:line="11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Effective as of immediately prior to the Effective Time, each Company Warrant that is outstanding and unexercised immediately prior thereto, whether vested or unvested, will be treated as being simultaneously cashless exercised as of immediately prior to the Effective Time in accordance with the terms and conditions specified in the applicable Company Warrant and subject to deduction for any applicable withholding taxes. The Company is required to use reasonable best efforts to enter into a warrant termination agreement with each holder of a Company Warrant that is not exercised prior to the Effective Time.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Options</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Effective immediately prior to the Effective Time, each Company Option that is outstanding and unexercised as of immediately prior to the Effective Time and that is not an Out of the Money Company Option, whether or not then vested or exercisable, will fully vest and will be cancelled and converted into the right to receive an amount in cash, without interest and subject to any applicable withholding taxes, equal to (i) the total number of Shares subject to such Company Option immediately prior to such cancellation multiplied by (ii) the excess, if any, of (x) the Offer Price over (y) the exercise price payable per Share underlying such Company Option. Each Out of the Money Company Option that is outstanding and unexercised immediately prior to the Effective Time, whether or not then vested or exercisable, will be cancelled and no holder thereof will be entitled to any payment with respect to such Company Option before or after the Effective Time.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RSU Awards</w:t>
      </w:r>
    </w:p>
    <w:p>
      <w:pPr>
        <w:spacing w:after="0" w:line="11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Effective immediately prior to the Effective Time, each Company RSU Award that is outstanding as of immediately prior to the Effective Time, whether or not then vested, will fully vest and be cancelled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8" w:right="47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converted into the right to receive an amount in cash, without interest and subject to any applicable withholding taxes, equal to (A) the number of Shares subject to such Company RSU Award immediately prior to such cancellation multiplied by (B) the Offer Price.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ESPP</w:t>
      </w:r>
    </w:p>
    <w:p>
      <w:pPr>
        <w:spacing w:after="0" w:line="11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Following the date of the Merger Agreement, no person may become a participant in the Company ESPP and no offering period shall commence under the Company ESPP. Subject to the consummation of the Merger, the Company ESPP shall terminate effective immediately prior to the Effective Time.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11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In the Merger Agreement, the Company has made customary representations and warranties to Parent and Purchaser, including representations relating to:</w:t>
      </w:r>
    </w:p>
    <w:p>
      <w:pPr>
        <w:spacing w:after="0" w:line="67" w:lineRule="exact"/>
        <w:rPr>
          <w:sz w:val="20"/>
          <w:szCs w:val="20"/>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enforceability;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Company’s board of directors (which we refer to as the “Company Board”);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vote required;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and approvals; no violation;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SEC reports;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undisclosed liabilities;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brokers; certain expenses;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matters/employees;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 permits;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and trade controls;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financial advisors of the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takeover statutes;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2" w:name="page43"/>
    <w:bookmarkEnd w:id="42"/>
    <w:p>
      <w:pPr>
        <w:ind w:left="964" w:hanging="424"/>
        <w:spacing w:after="0"/>
        <w:tabs>
          <w:tab w:leader="none" w:pos="9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customers and suppliers;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In the Merger Agreement, Parent and Purchaser have made customary representations and warranties to the Company, including representations relating to:</w:t>
      </w:r>
    </w:p>
    <w:p>
      <w:pPr>
        <w:spacing w:after="0" w:line="67" w:lineRule="exact"/>
        <w:rPr>
          <w:sz w:val="20"/>
          <w:szCs w:val="20"/>
          <w:color w:val="auto"/>
        </w:rPr>
      </w:pPr>
    </w:p>
    <w:p>
      <w:pPr>
        <w:ind w:left="964" w:hanging="424"/>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supplied;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and approvals; no violation;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in Shares;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operations of Purchaser;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brokers;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affiliate arrangements;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“covered person” status under U.S. data security program legislation.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representations and warranties of Parent, Purchaser and the Company in the Merger Agreement will not survive the Merger.</w:t>
      </w:r>
    </w:p>
    <w:p>
      <w:pPr>
        <w:spacing w:after="0" w:line="225"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Certain representations and warranties of the Company are qualified as to “materiality” or “Company Material Adverse Effect.” For purposes of the Merger Agreement and this Offer to Purchase, “Company Material Adverse Effect” means any event, condition, occurrence, circumstance, development, state, change or effect (which we refer to as, each, an “Effect”) that, individually or when taken together with all other Effects, has had, or would reasonably be expected to have, a material adverse effect on the business, financial condition or results of operations of the Company and its subsidiaries, taken as a whole; provided, however, that none of the following will be deemed to constitute or be taken into account in determining whether there is, or would reasonably be expected to be, a Company Material Adverse Effect: (i) any change in the market price or trading volume of the Company’s stock or change in the Company’s credit ratings; provided, that the underlying causes of any such change may be considered in determining whether a Company Material Adverse Effect has occurred to the extent not otherwise excluded by another exception in the Company Material Adverse Effect definition; (ii) any Effect to the extent resulting from the execution, announcement, pendency or performance of the Merger Agreement, the execution and delivery of Tender Agreements or all of the transactions contemplated by the Merger Agreement and the Tender Agreements, including the Offer and the Merger (which we refer to as the “Transactions”), including to the extent resulting from the identity of Parent (other than for purposes of any representation or warranty contained in Section 4.6 of the Merger Agreement and the conditions set forth in clause “(ii) (d)” of Annex I or clause “(vii)” of Annex I solely as any such condition relates to the foregoing representation or warranty) or the equity or debt financing sources of, or investors in, Parent or the plans or intentions of any of the foregoing with respect to the Company or any of its businesses;</w:t>
      </w:r>
    </w:p>
    <w:p>
      <w:pPr>
        <w:spacing w:after="0" w:line="12" w:lineRule="exact"/>
        <w:rPr>
          <w:sz w:val="20"/>
          <w:szCs w:val="20"/>
          <w:color w:val="auto"/>
        </w:rPr>
      </w:pPr>
    </w:p>
    <w:p>
      <w:pPr>
        <w:ind w:left="4" w:right="60" w:hanging="4"/>
        <w:spacing w:after="0" w:line="252" w:lineRule="auto"/>
        <w:tabs>
          <w:tab w:leader="none" w:pos="3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generally affecting the industries in which the Company or its Subsidiaries operate or the economy generally, including changes in commodity prices, raw materials or other inputs used in the operation of the Company or any of its businesses, or other general business, financial or market conditions, including fluctuations in the value of any currency or interest rates, inflation or any suspension of trading in securities generally on any securities exchange or over-the-counter market; (iv) any Effect to the extent arising directly or indirectly from or otherwise relating to any geopolitical Effect, act of terrorism, war, national or international calamity, natural disaster, act of god, epidemic, pandemic, trade war, social protest or social unrest (whether or not violent) or any other similar event</w:t>
      </w:r>
    </w:p>
    <w:p>
      <w:pPr>
        <w:spacing w:after="0" w:line="12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4"/>
          </w:cols>
          <w:pgMar w:left="436" w:top="270" w:right="519" w:bottom="1440" w:gutter="0" w:footer="0" w:header="0"/>
        </w:sectPr>
      </w:pPr>
    </w:p>
    <w:bookmarkStart w:id="43" w:name="page44"/>
    <w:bookmarkEnd w:id="4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in each case, any escalation or worsening of any of the foregoing and the response of any Governmental Authority with respect thereto);</w:t>
      </w:r>
    </w:p>
    <w:p>
      <w:pPr>
        <w:spacing w:after="0" w:line="27" w:lineRule="exact"/>
        <w:rPr>
          <w:sz w:val="20"/>
          <w:szCs w:val="20"/>
          <w:color w:val="auto"/>
        </w:rPr>
      </w:pPr>
    </w:p>
    <w:p>
      <w:pPr>
        <w:ind w:left="4" w:hanging="4"/>
        <w:spacing w:after="0" w:line="251"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of the Company to meet internal or analysts’ expectations or projections; provided, that the underlying causes of such failure may be considered in determining whether a Company Material Adverse Effect has occurred to the extent not otherwise excluded by another exception in the Company Material Adverse Effect definition; (vi) any Effect to the extent arising directly from or otherwise directly relating to any action taken, or failure to take any action, by the Company or its Subsidiaries that is specifically required or prohibited (as applicable) by the terms of the Merger Agreement (other than compliance with Section 6.1 of the Merger Agreement, except to the extent that Parent has unreasonably withheld a consent under Section 6.1 of the Merger Agreement); (vii) any Effect to the extent arising directly or indirectly from or otherwise relating to any change in any Law or GAAP (or authoritative interpretations of any Law or GAAP); (viii) the impact of any Legal Proceeding initiated by a shareholder of the Company (in his, her or its capacity as a shareholder) alleging breach of fiduciary duty or similar claims in connection with the execution of the Merger Agreement and challenging or attempting to enjoin, restrain, prevent or prohibit consummation of any of the Transactions; (ix) any Effect to the extent arising from any requirements imposed by any Governmental Authority as a condition to obtaining approval or expiration of any waiting period under the HSR Act or other Antitrust Laws with respect to the Transactions; (x) any regulatory, legislative or political Effects anywhere in the world, including the imposition of, or changes in, tariffs, sanctions, trade policies or similar Laws, directives, Orders or policies (or any threats or announcements of any of the foregoing), or any consequences resulting from any trade disputes or “trade wars” or similar actions anywhere in the world; (xi) any breach by Parent or Purchaser of the Merger Agreement; and (xii) the availability of or cost of equity, debt or other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Effect referred to in the foregoing clauses (iii), (iv), (vii) and (x) may be taken into account in determining whether there is, or would be reasonably expected to be, a Company Material Adverse Effect solely to the extent that such Effect disproportionately affects the Company or its Subsidiaries, taken as a whole, relative to other similarly situated participants in the industry in which the Company or its Subsidiaries operate, in which case only the incremental disproportionate impact may be taken into account in determining whether there has been, or would reasonably be expected to be, a Company Material Adverse Effect.</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Operating Covenants</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Merger Agreement provides that, except (a) as described in Section 6.1 of the Company Disclosure Letter, (b) as required by applicable law,</w:t>
      </w:r>
    </w:p>
    <w:p>
      <w:pPr>
        <w:spacing w:after="0" w:line="27" w:lineRule="exact"/>
        <w:rPr>
          <w:sz w:val="20"/>
          <w:szCs w:val="20"/>
          <w:color w:val="auto"/>
        </w:rPr>
      </w:pPr>
    </w:p>
    <w:p>
      <w:pPr>
        <w:ind w:left="4" w:right="20" w:hanging="4"/>
        <w:spacing w:after="0" w:line="251" w:lineRule="auto"/>
        <w:tabs>
          <w:tab w:leader="none" w:pos="2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consented to in writing by Parent (which consent may not be unreasonably withheld, conditioned or delayed) or (d) as required or expressly provided for by the Merger Agreement, during the period from the date of the Merger Agreement and continuing until the earlier of the termination of the Merger Agreement or the Effective Time, (x) the Company will and will cause each of its Subsidiaries to conduct its operations in all material respects according to its ordinary course of business consistent with past practice, and the Company will and will cause each of its subsidiaries to use its reasonable best efforts to preserve intact its business organization, keep available the services of its current officers and key employees and maintain and preserve the current relationships with those persons having significant business relationships with the Company or any of its Subsidiaries (including customers, licensors, licensees, suppliers, distributors or other material business relations in each case as such party has a significant business relationship with the Company), and (y) without limiting the generality of the foregoing, the Company will not, and will not permit any of its Subsidiaries to:</w:t>
      </w:r>
    </w:p>
    <w:p>
      <w:pPr>
        <w:spacing w:after="0" w:line="98" w:lineRule="exact"/>
        <w:rPr>
          <w:rFonts w:ascii="Times New Roman" w:cs="Times New Roman" w:eastAsia="Times New Roman" w:hAnsi="Times New Roman"/>
          <w:sz w:val="18"/>
          <w:szCs w:val="18"/>
          <w:color w:val="auto"/>
        </w:rPr>
      </w:pPr>
    </w:p>
    <w:p>
      <w:pPr>
        <w:ind w:left="964" w:right="940" w:hanging="424"/>
        <w:spacing w:after="0" w:line="282"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amendments to its certificate of incorporation or bylaws (whether by merger, consolidation or otherwise) (or similar organizational or governing documents);</w:t>
      </w:r>
    </w:p>
    <w:p>
      <w:pPr>
        <w:spacing w:after="0" w:line="67" w:lineRule="exact"/>
        <w:rPr>
          <w:rFonts w:ascii="Times New Roman" w:cs="Times New Roman" w:eastAsia="Times New Roman" w:hAnsi="Times New Roman"/>
          <w:sz w:val="18"/>
          <w:szCs w:val="18"/>
          <w:color w:val="auto"/>
        </w:rPr>
      </w:pPr>
    </w:p>
    <w:p>
      <w:pPr>
        <w:ind w:left="964" w:right="60" w:hanging="424"/>
        <w:spacing w:after="0" w:line="258"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deliver, grant, pledge, transfer, encumber or agree or commit to issue, sell, deliver, grant, pledge, transfer or encumber (whether through the issuance or granting of options, warrants, commitments, subscriptions, rights to purchase or otherwise) any Company Securities or any capital stock, voting securities or other equity or ownership interests in any subsidiary of the Company (excluding any encumbrances that constitute Permitted Liens), other than Shares issuable (A) with respect to the exercise, vesting or settlement of Company Stock Awards outstanding as of the date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4" w:name="page45"/>
    <w:bookmarkEnd w:id="4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hereof or granted in compliance with the Merger Agreement or (B) upon the exercise or settlement of Company Warrants;</w:t>
      </w:r>
    </w:p>
    <w:p>
      <w:pPr>
        <w:spacing w:after="0" w:line="131" w:lineRule="exact"/>
        <w:rPr>
          <w:sz w:val="20"/>
          <w:szCs w:val="20"/>
          <w:color w:val="auto"/>
        </w:rPr>
      </w:pPr>
    </w:p>
    <w:p>
      <w:pPr>
        <w:ind w:left="424" w:hanging="424"/>
        <w:spacing w:after="0" w:line="261"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redeem or offer to acquire or redeem, directly or indirectly, or amend any Company Securities, other than (A) in connection with the satisfaction of exercise price and/or tax withholding obligations in connection with the vesting, exercise and/or settlement of any Company Stock Award and permitted by the applicable award agreement, or (B) the acquisition by the Company of Company Stock Awards in connection with the forfeiture of such Company Stock Awards and permitted by the applicable award agreement;</w:t>
      </w:r>
    </w:p>
    <w:p>
      <w:pPr>
        <w:spacing w:after="0" w:line="85" w:lineRule="exact"/>
        <w:rPr>
          <w:rFonts w:ascii="Times New Roman" w:cs="Times New Roman" w:eastAsia="Times New Roman" w:hAnsi="Times New Roman"/>
          <w:sz w:val="18"/>
          <w:szCs w:val="18"/>
          <w:color w:val="auto"/>
        </w:rPr>
      </w:pPr>
    </w:p>
    <w:p>
      <w:pPr>
        <w:ind w:left="424" w:right="320" w:hanging="424"/>
        <w:spacing w:after="0" w:line="261"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reclassify or otherwise amend the terms of any of its capital stock or other equity interests or declare, set aside, make, accrue or pay any dividend or distribution (whether in cash, stock, property or otherwise) on any shares of its capital stock or any other equity interests in the Company or any of its Subsidiaries, other than dividends paid to the Company or one of its wholly owned Subsidiaries by a wholly owned subsidiary of the Company with regards to its capital stock or other equity interests;</w:t>
      </w:r>
    </w:p>
    <w:p>
      <w:pPr>
        <w:spacing w:after="0" w:line="85" w:lineRule="exact"/>
        <w:rPr>
          <w:rFonts w:ascii="Times New Roman" w:cs="Times New Roman" w:eastAsia="Times New Roman" w:hAnsi="Times New Roman"/>
          <w:sz w:val="18"/>
          <w:szCs w:val="18"/>
          <w:color w:val="auto"/>
        </w:rPr>
      </w:pPr>
    </w:p>
    <w:p>
      <w:pPr>
        <w:ind w:left="424" w:right="58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or adopt a plan of complete or partial liquidation, dissolution, merger, consolidation, restructuring, recapitalization or other reorganization of the Company or any of its Subsidiaries, except for the Transactions;</w:t>
      </w:r>
    </w:p>
    <w:p>
      <w:pPr>
        <w:spacing w:after="0" w:line="67"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means of a merger, consolidation, recapitalization or otherwise, any business, assets or securities (other than certain permitted capital expenditures and any acquisition of assets, in the ordinary course of business);</w:t>
      </w:r>
    </w:p>
    <w:p>
      <w:pPr>
        <w:spacing w:after="0" w:line="67"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transfer or otherwise dispose of any material assets of the Company or any of its Subsidiaries with a fair market value in excess of $500,000, except (1) pursuant to Contracts or commitments existing as of the date of the Merger Agreement, (2) sales of products or services in the ordinary course of business, (3) Incidental Contracts, (4) non-exclusive licenses entered into in the ordinary course of business, (5) dispositions of marketable securities in the ordinary course of business, and (6) dispositions or abandonments of immaterial tangible assets in the ordinary course of business;</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recapitalization or restructuring;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form any subsidiary or enter into any joint venture, partnership, limited liability company or similar arrangement;</w:t>
      </w:r>
    </w:p>
    <w:p>
      <w:pPr>
        <w:spacing w:after="0" w:line="130"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otherwise become liable or responsible for any indebtedness for borrowed money (including by borrowing any additional amounts under the Credit Agreement), or amend the Credit Agreement (except as would not be materially adverse to the interests of Parent and Purchaser);</w:t>
      </w:r>
    </w:p>
    <w:p>
      <w:pPr>
        <w:spacing w:after="0" w:line="81"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guarantee, endorse or otherwise become liable or responsible (whether directly, contingently or otherwise) for the obligations of any other person;</w:t>
      </w:r>
    </w:p>
    <w:p>
      <w:pPr>
        <w:spacing w:after="0" w:line="67" w:lineRule="exact"/>
        <w:rPr>
          <w:rFonts w:ascii="Times New Roman" w:cs="Times New Roman" w:eastAsia="Times New Roman" w:hAnsi="Times New Roman"/>
          <w:sz w:val="18"/>
          <w:szCs w:val="18"/>
          <w:color w:val="auto"/>
        </w:rPr>
      </w:pPr>
    </w:p>
    <w:p>
      <w:pPr>
        <w:ind w:left="424" w:right="400" w:hanging="424"/>
        <w:spacing w:after="0" w:line="261"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(other than for ordinary course business expenses) or capital contributions to, or investments in, any other person (other than with respect to wholly owned Subsidiaries) in excess of $250,000, except for advancement of expenses pursuant to</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indemnification agreement or (y) the Company’s certificate of incorporation or bylaws;</w:t>
      </w:r>
    </w:p>
    <w:p>
      <w:pPr>
        <w:spacing w:after="0" w:line="112"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any employees, independent contractors, consultants, officers or directors of the Company, or any of the Company’s affiliates;</w:t>
      </w:r>
    </w:p>
    <w:p>
      <w:pPr>
        <w:spacing w:after="0" w:line="67" w:lineRule="exact"/>
        <w:rPr>
          <w:rFonts w:ascii="Times New Roman" w:cs="Times New Roman" w:eastAsia="Times New Roman" w:hAnsi="Times New Roman"/>
          <w:sz w:val="18"/>
          <w:szCs w:val="18"/>
          <w:color w:val="auto"/>
        </w:rPr>
      </w:pPr>
    </w:p>
    <w:p>
      <w:pPr>
        <w:ind w:left="424" w:right="50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any financial accounting methods, principles or practices used by it, except as required by GAAP or applicable law;</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(other than in the ordinary course of business), revoke or change any material tax election, (B) amend any material tax return,</w:t>
      </w:r>
    </w:p>
    <w:p>
      <w:pPr>
        <w:spacing w:after="0" w:line="27" w:lineRule="exact"/>
        <w:rPr>
          <w:rFonts w:ascii="Times New Roman" w:cs="Times New Roman" w:eastAsia="Times New Roman" w:hAnsi="Times New Roman"/>
          <w:sz w:val="18"/>
          <w:szCs w:val="18"/>
          <w:color w:val="auto"/>
        </w:rPr>
      </w:pPr>
    </w:p>
    <w:p>
      <w:pPr>
        <w:ind w:left="4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settle or compromise any claim relating to a material amount of taxes of the Company or any subsidiary of the Company for an amount materially in excess of amounts</w:t>
      </w:r>
    </w:p>
    <w:p>
      <w:pPr>
        <w:spacing w:after="0" w:line="114"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464"/>
          </w:cols>
          <w:pgMar w:left="976" w:top="270" w:right="459" w:bottom="1440" w:gutter="0" w:footer="0" w:header="0"/>
        </w:sectPr>
      </w:pPr>
    </w:p>
    <w:bookmarkStart w:id="45" w:name="page46"/>
    <w:bookmarkEnd w:id="45"/>
    <w:p>
      <w:pPr>
        <w:ind w:left="44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 (D) enter into any “closing agreement” within the meaning of in Section 7121 of the Code (or any analogous provision of U.S. state, local or non-U.S. law) relating to a material amount of taxes, (E) fail to timely file any material tax return required to be filed (after taking into account any extensions) by the applicable entity, (F) consent to any extension or waiver of any limitation period with respect to any material claim or assessment for taxes or (G) adopt or change any material tax accounting method or period;</w:t>
      </w:r>
    </w:p>
    <w:p>
      <w:pPr>
        <w:spacing w:after="0" w:line="85" w:lineRule="exact"/>
        <w:rPr>
          <w:sz w:val="20"/>
          <w:szCs w:val="20"/>
          <w:color w:val="auto"/>
        </w:rPr>
      </w:pPr>
    </w:p>
    <w:p>
      <w:pPr>
        <w:ind w:left="424" w:right="60" w:hanging="424"/>
        <w:spacing w:after="0" w:line="266"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promise to grant, or pay any change in control, retention, severance, termination pay, incentive compensation, or similar payments, including any gross-up payments, to (or amend any existing arrangement with) any of their respective current or former directors, officers, employees, independent contractors, consultants, or other service providers, except as required by applicable Law;</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employment agreement, independent contractor agreement, consulting agreement, or other similar agreement or arrangement (or any amendment to any such existing agreement or arrangement) with any of their respective current or former director, officers, employees or independent contractors or consultants;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enter into, materially amend or terminate any employee benefit plan or contract;</w:t>
      </w:r>
    </w:p>
    <w:p>
      <w:pPr>
        <w:spacing w:after="0" w:line="130"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modify or amend the compensation, bonus opportunity, or other benefits payable to any of their current or former respective directors, officers, employees, individual consultants or independent contractors, or other service providers;</w:t>
      </w:r>
    </w:p>
    <w:p>
      <w:pPr>
        <w:spacing w:after="0" w:line="67" w:lineRule="exact"/>
        <w:rPr>
          <w:rFonts w:ascii="Times New Roman" w:cs="Times New Roman" w:eastAsia="Times New Roman" w:hAnsi="Times New Roman"/>
          <w:sz w:val="18"/>
          <w:szCs w:val="18"/>
          <w:color w:val="auto"/>
        </w:rPr>
      </w:pPr>
    </w:p>
    <w:p>
      <w:pPr>
        <w:ind w:left="424" w:right="380" w:hanging="424"/>
        <w:spacing w:after="0" w:line="282"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engage, furlough, temporarily lay off, terminate the employment or engagement, change the title, office or position, or materially reduce the responsibilities of any employee, officer, director, other than terminations for cause;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or make any contribution to any Plan or trust not required to be funded;</w:t>
      </w:r>
    </w:p>
    <w:p>
      <w:pPr>
        <w:spacing w:after="0" w:line="130" w:lineRule="exact"/>
        <w:rPr>
          <w:rFonts w:ascii="Times New Roman" w:cs="Times New Roman" w:eastAsia="Times New Roman" w:hAnsi="Times New Roman"/>
          <w:sz w:val="18"/>
          <w:szCs w:val="18"/>
          <w:color w:val="auto"/>
        </w:rPr>
      </w:pPr>
    </w:p>
    <w:p>
      <w:pPr>
        <w:ind w:left="424" w:right="760" w:hanging="424"/>
        <w:spacing w:after="0" w:line="282"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payment, funding, vesting or settlement of any Company Stock Awards or any other instrument convertible into or exchangeable for any capital stock or other security of the Company or any of its Subsidiaries;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or terminate any collective bargaining agreement or other labor contract;</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material capital expenditure or incur any obligations, liabilities or indebtedness in respect thereof, except for capital expenditures that do not exceed $250,000 individually or $500,000 in the aggregate during any fiscal quarter;</w:t>
      </w:r>
    </w:p>
    <w:p>
      <w:pPr>
        <w:spacing w:after="0" w:line="67" w:lineRule="exact"/>
        <w:rPr>
          <w:rFonts w:ascii="Times New Roman" w:cs="Times New Roman" w:eastAsia="Times New Roman" w:hAnsi="Times New Roman"/>
          <w:sz w:val="18"/>
          <w:szCs w:val="18"/>
          <w:color w:val="auto"/>
        </w:rPr>
      </w:pPr>
    </w:p>
    <w:p>
      <w:pPr>
        <w:ind w:left="424" w:right="20" w:hanging="424"/>
        <w:spacing w:after="0" w:line="244"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waive, settle, assign or release any Legal Proceeding or threatened Legal Proceeding, other than (A) as contemplated by the Merger Agreement in respect of any demands for appraisal of Shares or stockholder litigation relating to the Merger Agreement or the transactions contemplated thereby, (B) any legal proceeding relating to a breach of the Merger Agreement or (C) any legal proceeding that does not relate to any of the Transactions pursuant to a settlement that (i) results (a) in monetary obligations involving the payment of money damages by the Company or any of its Subsidiaries in an amount not greater than $250,000 individually or $500,000 in the aggregate (excluding monetary obligations that are funded by an indemnity obligation to, or an insurance policy of, the Company or its Subsidiaries), (b) does not involve the admission of wrongdoing by the Company or any of its Subsidiaries and does not involve any injunctive or equitable or other nonmonetary relief (other than immaterial and non-monetary relief incidental thereto) against the Company or any of its Subsidiaries or any products of the Company or any of its Subsidiaries and (c) provides for a complete release of the claims in dispute giving rise to such settlement, release, waiver or compromise; provided that the Company or any of its Subsidiaries may not settle, release, waive or compromise the Specified Litigation or any other Legal Proceeding or claim that (x) provides for the grant to any third party of a license or other grant of rights to (or covenant not to sue with respect to) any intellectual property rights or the splitting of any revenues in respect of the Company’s pharmaceutical product VYKAT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XR or (y) would impose any restrictions or changes on the business</w:t>
      </w:r>
    </w:p>
    <w:p>
      <w:pPr>
        <w:spacing w:after="0" w:line="133"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464"/>
          </w:cols>
          <w:pgMar w:left="976" w:top="270" w:right="459" w:bottom="1440" w:gutter="0" w:footer="0" w:header="0"/>
        </w:sectPr>
      </w:pPr>
    </w:p>
    <w:bookmarkStart w:id="46" w:name="page47"/>
    <w:bookmarkEnd w:id="46"/>
    <w:p>
      <w:pPr>
        <w:ind w:left="444"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operations of, or the admission of wrongdoing by, the Company or any of its Subsidiaries (other than customary confidentiality and non-disclosure obligations);</w:t>
      </w:r>
    </w:p>
    <w:p>
      <w:pPr>
        <w:spacing w:after="0" w:line="67" w:lineRule="exact"/>
        <w:rPr>
          <w:sz w:val="20"/>
          <w:szCs w:val="20"/>
          <w:color w:val="auto"/>
        </w:rPr>
      </w:pPr>
    </w:p>
    <w:p>
      <w:pPr>
        <w:ind w:left="424" w:right="120" w:hanging="424"/>
        <w:spacing w:after="0" w:line="258"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except (i) in such cases where the Company reasonably determines in good faith that the failure to commence suit would result in a material impairment of a valuable asset of its business (provided that the Company consults with Parent and considers in good faith the views and comments of Parent with respect to such Legal Proceedings prior to commencement thereof) or (ii) in connection with a breach of the Merger Agreement or any other agreements contemplated hereby or to otherwise enforce the terms of the Merger Agreement or any other agreements contemplated hereby;</w:t>
      </w:r>
    </w:p>
    <w:p>
      <w:pPr>
        <w:spacing w:after="0" w:line="88"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sell, license, transfer, assign, encumber, pledge, abandon, dedicate to the public, fail to maintain, or allow to lapse, in whole or in part, any material Company Intellectual Property Rights, other than as required by applicable Law or pursuant to any Incidental Contract;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 or abandon or discontinue any existing line of business;</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clinical trial of which Parent has not been informed prior to the date of the Merger Agreement and, unless mandated by any Governmental Authority, discontinue, terminate, suspend or materially modify any ongoing clinical trial;</w:t>
      </w:r>
    </w:p>
    <w:p>
      <w:pPr>
        <w:spacing w:after="0" w:line="67"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submissions or filings to the FDA or other Governmental Authority related to any Company Product without, to the extent reasonably practicable and legally permissible, (A) providing Parent with a reasonable opportunity to review and comment on such submissions or filings and (B) considering in good faith any of Parent’s reasonable comments that are received in a timely fashion;</w:t>
      </w:r>
    </w:p>
    <w:p>
      <w:pPr>
        <w:spacing w:after="0" w:line="81"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research or collaboration arrangement that contemplates payments by or to the Company or any of its Subsidiaries in excess of $500,000 in any twelve (12)-month period;</w:t>
      </w:r>
    </w:p>
    <w:p>
      <w:pPr>
        <w:spacing w:after="0" w:line="67"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any clinical data relating to or resulting from the Company’s pending clinical trials or any analysis or work product created by or on behalf of the Company based in whole or in part on such clinical data;</w:t>
      </w:r>
    </w:p>
    <w:p>
      <w:pPr>
        <w:spacing w:after="0" w:line="67"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or enter into any non-compete, exclusivity or similar agreement that would restrict or limit, in any material respect, the Company from engaging or competing in any line of business or geographic area;</w:t>
      </w:r>
    </w:p>
    <w:p>
      <w:pPr>
        <w:spacing w:after="0" w:line="67"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reasonable best efforts to keep in force insurance policies or replacement or revised provisions regarding insurance coverage with respect to material assets, operations and activities of the Company and its Subsidiaries as currently in effect or materially reduce the amount of any insurance coverage provided by existing insurance policies;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implement any stockholder rights plan or similar arrangement;</w:t>
      </w:r>
    </w:p>
    <w:p>
      <w:pPr>
        <w:spacing w:after="0" w:line="130" w:lineRule="exact"/>
        <w:rPr>
          <w:rFonts w:ascii="Times New Roman" w:cs="Times New Roman" w:eastAsia="Times New Roman" w:hAnsi="Times New Roman"/>
          <w:sz w:val="18"/>
          <w:szCs w:val="18"/>
          <w:color w:val="auto"/>
        </w:rPr>
      </w:pPr>
    </w:p>
    <w:p>
      <w:pPr>
        <w:ind w:left="424" w:right="100" w:hanging="424"/>
        <w:spacing w:after="0" w:line="258"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any transaction to the extent specifically permitted by any other clause described in the bullets above, (A) enter into any Contract that would, if entered into prior to the date hereof, be a material contract except for any statement of work, purchase order or similar ancillary agreement or documentation issued under an existing material contract, in each case not in excess of $500,000 individually or (B) modify, amend or terminate (other than any expiration in accordance with its terms) any material contract or waive, release, exercise or assign any material rights, material remedies or material claims thereunder;</w:t>
      </w:r>
    </w:p>
    <w:p>
      <w:pPr>
        <w:spacing w:after="0" w:line="88"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options under any Contract relating to “co-funding,” “co-commercialization” or similar cost-and-profit participation rights (whether an exercise to “opt in” or “opt out” of such rights) with respect to any Company Product to which such Contract relates;</w:t>
      </w:r>
    </w:p>
    <w:p>
      <w:pPr>
        <w:spacing w:after="0" w:line="67"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right to a third party to become a contract manufacturing organization for the Company or any of its Subsidiaries with respect to commercial supply of clinical materials or drug products (including key intermediates);</w:t>
      </w:r>
    </w:p>
    <w:p>
      <w:pPr>
        <w:spacing w:after="0" w:line="94"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444"/>
          </w:cols>
          <w:pgMar w:left="976" w:top="270" w:right="479" w:bottom="1440" w:gutter="0" w:footer="0" w:header="0"/>
        </w:sectPr>
      </w:pPr>
    </w:p>
    <w:bookmarkStart w:id="47" w:name="page48"/>
    <w:bookmarkEnd w:id="47"/>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 any material refunds, credits, rebates or allowances to customers outside the ordinary course of business;</w:t>
      </w:r>
    </w:p>
    <w:p>
      <w:pPr>
        <w:spacing w:after="0" w:line="130" w:lineRule="exact"/>
        <w:rPr>
          <w:rFonts w:ascii="Times New Roman" w:cs="Times New Roman" w:eastAsia="Times New Roman" w:hAnsi="Times New Roman"/>
          <w:sz w:val="18"/>
          <w:szCs w:val="18"/>
          <w:color w:val="auto"/>
        </w:rPr>
      </w:pPr>
    </w:p>
    <w:p>
      <w:pPr>
        <w:ind w:left="960" w:right="920" w:hanging="424"/>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update, or otherwise modify, in any material respect, any privacy policies unless required by applicable data protection requirements;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agree or commit, in writing or otherwise, to take any of the foregoing actions.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nothing in the Merger Agreement is intended to give Parent or Purchaser, directly or indirectly, the right to control or direct the business or operations of the Company or any of its subsidiaries at any time prior to the Effective Time. Prior to the Effective Time, the Company and its subsidiaries will exercise, consistent with the terms and conditions of the Merger Agreement, complete control and supervision over its and their business and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Proposals; Changes in Recommendation</w:t>
      </w:r>
    </w:p>
    <w:p>
      <w:pPr>
        <w:spacing w:after="0" w:line="11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will not (and will cause its subsidiaries and the members of the Company Board and its executive officers not to) and will use its reasonable best efforts to cause its other Representatives not to, directly or indirectly:</w:t>
      </w:r>
    </w:p>
    <w:p>
      <w:pPr>
        <w:spacing w:after="0" w:line="67" w:lineRule="exact"/>
        <w:rPr>
          <w:sz w:val="20"/>
          <w:szCs w:val="20"/>
          <w:color w:val="auto"/>
        </w:rPr>
      </w:pPr>
    </w:p>
    <w:p>
      <w:pPr>
        <w:ind w:left="960" w:right="20" w:hanging="424"/>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knowingly encourage or knowingly facilitate the submission of any inquiry, request, indication of interest, proposal or offer that constitutes, or could reasonably be expected to lead to, an Alternative Proposal;</w:t>
      </w:r>
    </w:p>
    <w:p>
      <w:pPr>
        <w:spacing w:after="0" w:line="67" w:lineRule="exact"/>
        <w:rPr>
          <w:rFonts w:ascii="Times New Roman" w:cs="Times New Roman" w:eastAsia="Times New Roman" w:hAnsi="Times New Roman"/>
          <w:sz w:val="18"/>
          <w:szCs w:val="18"/>
          <w:color w:val="auto"/>
        </w:rPr>
      </w:pPr>
    </w:p>
    <w:p>
      <w:pPr>
        <w:ind w:left="960" w:right="500" w:hanging="424"/>
        <w:spacing w:after="0" w:line="26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discussions or negotiations regarding, or furnish to any person any non-public information with respect to or in connection with or for the purpose of soliciting, knowingly encouraging or knowingly facilitating, any inquiry, request, indication of interest, proposal or offer that constitutes, or could reasonably be expected to lead to, an Alternative Proposal;</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recommend, submit to stockholders or declare advisable any Alternative Proposal;</w:t>
      </w:r>
    </w:p>
    <w:p>
      <w:pPr>
        <w:spacing w:after="0" w:line="130" w:lineRule="exact"/>
        <w:rPr>
          <w:rFonts w:ascii="Times New Roman" w:cs="Times New Roman" w:eastAsia="Times New Roman" w:hAnsi="Times New Roman"/>
          <w:sz w:val="18"/>
          <w:szCs w:val="18"/>
          <w:color w:val="auto"/>
        </w:rPr>
      </w:pPr>
    </w:p>
    <w:p>
      <w:pPr>
        <w:ind w:left="960" w:right="160" w:hanging="424"/>
        <w:spacing w:after="0" w:line="26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acquisition agreement, agreement in principle or similar agreement with respect to any inquiry, request, indication of interest, proposal or offer that constitutes, or could reasonably be expected to lead to, an Alternative Proposal (other than an Acceptable Confidentiality Agreement (as defined below));</w:t>
      </w:r>
    </w:p>
    <w:p>
      <w:pPr>
        <w:spacing w:after="0" w:line="81" w:lineRule="exact"/>
        <w:rPr>
          <w:rFonts w:ascii="Times New Roman" w:cs="Times New Roman" w:eastAsia="Times New Roman" w:hAnsi="Times New Roman"/>
          <w:sz w:val="18"/>
          <w:szCs w:val="18"/>
          <w:color w:val="auto"/>
        </w:rPr>
      </w:pPr>
    </w:p>
    <w:p>
      <w:pPr>
        <w:ind w:left="960" w:right="80" w:hanging="424"/>
        <w:spacing w:after="0" w:line="261"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permit the release of any person from, or waive or permit the waiver of any provision of, or fail to use its reasonable best efforts to enforce or cause to be enforced, any standstill or similar agreement to which the Company is a party, unless the Company Board determines in good faith, after consultation with independent financial advisors and outside legal counsel, that the failure to do so is inconsistent with the fiduciary duties of the Company Board to the Company Stockholders under applicable Law;</w:t>
      </w:r>
    </w:p>
    <w:p>
      <w:pPr>
        <w:spacing w:after="0" w:line="85"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exempt any person (other than Parent and its Subsidiaries) from the restriction on “business combinations” or any similar provision contained in applicable Takeover Laws or the Company’s organizational or other governing documents or grant a waiver under Section 203 of the DGCL, if applicable; or</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publicly propose or agree to do any of the foregoing.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“Alternative Proposal” means any proposal or offer from any person or “group” (as defined in Section 13(d) of the Exchange Act), other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and its Subsidiaries, relating to any:</w:t>
      </w:r>
    </w:p>
    <w:p>
      <w:pPr>
        <w:spacing w:after="0" w:line="112" w:lineRule="exact"/>
        <w:rPr>
          <w:sz w:val="20"/>
          <w:szCs w:val="20"/>
          <w:color w:val="auto"/>
        </w:rPr>
      </w:pPr>
    </w:p>
    <w:p>
      <w:pPr>
        <w:ind w:left="960" w:right="180" w:hanging="424"/>
        <w:spacing w:after="0" w:line="261"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acquisition (including through an exclusive license, partnering or collaboration) (whether in a single transaction or a series of related transactions) of assets of the Company and its Subsidiaries equal to 20% or more of the consolidated assets of the Company and its Subsidiaries or to which 20% or more of the consolidated revenues or earnings of the Company and its Subsidiaries are attributable,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8" w:name="page49"/>
    <w:bookmarkEnd w:id="48"/>
    <w:p>
      <w:pPr>
        <w:ind w:left="960" w:hanging="424"/>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 or indirect acquisition (whether in a single transaction or a series of related transactions) of beneficial ownership (within the meaning of Section 13(d) of the Exchange Act) of 20% or more of the outstanding Company Common Stock,</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 offer or exchange offer that if consummated would result in any person or “group” (as defined in Section 13(d) of the Exchange Act) beneficially owning 20% or more of the outstanding Company Common Stock, or</w:t>
      </w:r>
    </w:p>
    <w:p>
      <w:pPr>
        <w:spacing w:after="0" w:line="67" w:lineRule="exact"/>
        <w:rPr>
          <w:rFonts w:ascii="Times New Roman" w:cs="Times New Roman" w:eastAsia="Times New Roman" w:hAnsi="Times New Roman"/>
          <w:sz w:val="18"/>
          <w:szCs w:val="18"/>
          <w:color w:val="auto"/>
        </w:rPr>
      </w:pPr>
    </w:p>
    <w:p>
      <w:pPr>
        <w:jc w:val="both"/>
        <w:ind w:left="960" w:right="140" w:hanging="424"/>
        <w:spacing w:after="0" w:line="289" w:lineRule="auto"/>
        <w:tabs>
          <w:tab w:leader="none" w:pos="9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consolidation, share exchange, business combination, recapitalization, liquidation, dissolution or similar transaction involving the Company which is structured to permit such person or group to acquire beneficial ownership of at least 20% of the consolidated assets of the Company and its Subsidiaries or at least 20% of the outstanding Company Common Stock; in each case, other than the Transactions.</w:t>
      </w:r>
    </w:p>
    <w:p>
      <w:pPr>
        <w:spacing w:after="0" w:line="156"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at any time after the date of the Merger Agreement and prior to the Offer Acceptance Time, (i) the Company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Proposal made after the date of the Merger Agreement, (ii) the Company Board (or a committee thereof), after consultation with its independent financial advisors and outside legal counsel, determines in good faith that such Alternative Proposal constitutes or would reasonably be expected to lead to or result in a Superior Proposal and that failure to take actions is inconsistent with the fiduciary duties of the Company Board to the stockholders of the Company under applicable law and (iii) such Alternative Proposal was not solicited after the date of the Merger Agreement in material violation of the non-solicitation provisions of the Merger Agreement, then the Company and its representatives may (x) furnish information, including confidential information, with respect to the Company and its Subsidiaries to the person making such Alternative Proposal pursuant to a customary confidentiality agreement on terms that, taken as a whole, are not materially more favorable to such person than the provisions of the Confidentiality Agreement are to Parent (it being understood that such confidentiality agreement need not contain a standstill provision or otherwise prohibit the making, or amendment, of an Alternative Proposal) and that does not prohibit the Company from providing any information to Parent in accordance with or otherwise complying with the Company’s obligations under the Merger Agreement (which we refer to as an “Acceptable Confidentiality Agreement”); provided that an “Acceptable Confidentiality Agreement” does not include any confidentiality agreement that grants any exclusive right to negotiate with such counterparty; and (y) participate in discussions or negotiations regarding such Alternative Proposal with the person or group of persons making such Alternative Proposal. The Company must first notify Parent in advance that it intends to take the actions described in the preceding clauses (x) or (y) and provide to Parent any non-public information concerning the Company which was not previously provided or made available to Parent prior to or substantially concurrently with providing or making available to any person given such access described in the preceding clause (x). The Company will provide Parent with an accurate and complete copy of any Acceptable Confidentiality Agreement entered into promptly (and in any event within twenty-four (24) hours) of the execution thereof.</w:t>
      </w:r>
    </w:p>
    <w:p>
      <w:pPr>
        <w:spacing w:after="0" w:line="19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is required to promptly (and in any event within forty-eight (48) hours after receipt) advise Parent in writing of any Alternative Proposal or any inquiries, requests, indication of interests, proposals or offers that could reasonably be expected to lead to an Alternative Proposal (including any request for non-public information related to the Company or any of its Subsidiaries or for access to the business, properties, assets, books or records of the Company or any of its Subsidiaries, in each case in circumstances where it is reasonably apparent that such request could reasonably be expected to lead to the making of an Alternative Proposal). Such notification will include the material terms and conditions of any such Alternative Proposal or such inquiry, proposal, offer or request, including the identity of the person making any such Alternative Proposal or such inquiry, proposal, offer or request, and a copy of any written materials received from such person or such person’s representatives or provided by the Company or its representatives to such person or such person’s representatives related thereto (as well as written summaries of any material oral communications relating to the terms and conditions of any Alternative Proposal). The Company will keep Parent reasonably informed of material developments, discussions or negotiations (including with respect to any amendments or proposed amendments to any material terms or conditions) with respect to any such Alternative Proposal and promptly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70" w:right="439" w:bottom="1440" w:gutter="0" w:footer="0" w:header="0"/>
        </w:sectPr>
      </w:pPr>
    </w:p>
    <w:bookmarkStart w:id="49" w:name="page50"/>
    <w:bookmarkEnd w:id="49"/>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in any event within twenty-four (24) hours after receipt) provide Parent a copy of any written materials received from such person or such person’s Representatives or provided by the Company or its Representatives to such person or such person’s Representatives related thereto (as well as written summaries of any material oral communications relating to the terms and conditions of any Alternative Proposal). The Company agrees that it will not provide information that could reasonably be expected to lead to the making of an Alternative Proposal to any person pursuant to any confidentiality agreement entered into prior to the date of the Merger Agreement unless such person agrees prior to receipt of such information to waive any provision that would prohibit the Company from providing any information to Parent in accordance with the non-solicitation provision or would otherwise prohibit the Company from complying with its non-solicitation obligations.</w:t>
      </w:r>
    </w:p>
    <w:p>
      <w:pPr>
        <w:spacing w:after="0" w:line="187" w:lineRule="exact"/>
        <w:rPr>
          <w:sz w:val="20"/>
          <w:szCs w:val="20"/>
          <w:color w:val="auto"/>
        </w:rPr>
      </w:pPr>
    </w:p>
    <w:p>
      <w:pPr>
        <w:ind w:left="4" w:right="60" w:firstLine="440"/>
        <w:spacing w:after="0" w:line="267" w:lineRule="auto"/>
        <w:rPr>
          <w:sz w:val="20"/>
          <w:szCs w:val="20"/>
          <w:color w:val="auto"/>
        </w:rPr>
      </w:pPr>
      <w:r>
        <w:rPr>
          <w:rFonts w:ascii="Times New Roman" w:cs="Times New Roman" w:eastAsia="Times New Roman" w:hAnsi="Times New Roman"/>
          <w:sz w:val="17"/>
          <w:szCs w:val="17"/>
          <w:color w:val="auto"/>
        </w:rPr>
        <w:t xml:space="preserve">Pursuant to the Merger Agreement, “Superior Proposal” means any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Alternative Proposal made after the date of the Merger Agreement (other than an Alternative Proposal that has resulted from a material breach or material violation of the non-solicitation provisions of the Merger Agreement) on terms that the Company Board determines in good faith (after consultation with its independent financial advisor and its outside legal counsel), taking into account all the terms and conditions of the Alternative Proposal that the Company Board considers to be appropriate (including the identity of the person making the Alternative Proposal and the expected timing and likelihood of consummation, any governmental or other approval requirements (including divestitures and entry into other commitments and limitations)), break-up fees, expense reimbursement provisions, conditions to consummation and the availability of necessary financing (including, if a cash transaction (in whole or in part), the availability of such funds and the nature, terms and conditionality of any committed financing), would result in a transaction (i) that is more favorable to the Company’s stockholders than the Offer and the Merger (taking into account any proposal by Parent to amend the terms of the Merger Agreement), and</w:t>
      </w:r>
    </w:p>
    <w:p>
      <w:pPr>
        <w:spacing w:after="0" w:line="7" w:lineRule="exact"/>
        <w:rPr>
          <w:sz w:val="20"/>
          <w:szCs w:val="20"/>
          <w:color w:val="auto"/>
        </w:rPr>
      </w:pPr>
    </w:p>
    <w:p>
      <w:pPr>
        <w:ind w:left="4" w:right="600" w:hanging="4"/>
        <w:spacing w:after="0" w:line="260" w:lineRule="auto"/>
        <w:tabs>
          <w:tab w:leader="none" w:pos="26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reasonably capable of being completed on the terms proposed;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the definition of “Superior Proposal”, the references to “20%” in the definition of Alternative Proposal will be deemed references to “50%”.</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Company Board Recommendation</w:t>
      </w:r>
    </w:p>
    <w:p>
      <w:pPr>
        <w:spacing w:after="0" w:line="11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As described above, and subject to the provisions described below, the Company Board, at a meeting duly called and held, has made the Company Board Recommendation.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Prior to Closing, the Company Board will not:</w:t>
      </w:r>
    </w:p>
    <w:p>
      <w:pPr>
        <w:spacing w:after="0" w:line="131" w:lineRule="exact"/>
        <w:rPr>
          <w:sz w:val="20"/>
          <w:szCs w:val="20"/>
          <w:color w:val="auto"/>
        </w:rPr>
      </w:pPr>
    </w:p>
    <w:p>
      <w:pPr>
        <w:ind w:left="964" w:right="140" w:hanging="424"/>
        <w:spacing w:after="0" w:line="282" w:lineRule="auto"/>
        <w:tabs>
          <w:tab w:leader="none" w:pos="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withdraw, modify or qualify, or publicly propose to withhold, withdraw, modify or qualify, in any manner adverse to Parent the Company Board Recommendation;</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approve or recommend, or publicly propose to approve or recommend, any Alternative Proposal;</w:t>
      </w:r>
    </w:p>
    <w:p>
      <w:pPr>
        <w:spacing w:after="0" w:line="130" w:lineRule="exact"/>
        <w:rPr>
          <w:rFonts w:ascii="Times New Roman" w:cs="Times New Roman" w:eastAsia="Times New Roman" w:hAnsi="Times New Roman"/>
          <w:sz w:val="18"/>
          <w:szCs w:val="18"/>
          <w:color w:val="auto"/>
        </w:rPr>
      </w:pPr>
    </w:p>
    <w:p>
      <w:pPr>
        <w:ind w:left="964" w:right="300" w:hanging="424"/>
        <w:spacing w:after="0" w:line="282" w:lineRule="auto"/>
        <w:tabs>
          <w:tab w:leader="none" w:pos="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recommendation or public statement in connection with a tender offer or exchange offer other than a recommendation against such offer;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Company Board Recommendation in the Schedule 14D-9;</w:t>
      </w:r>
    </w:p>
    <w:p>
      <w:pPr>
        <w:spacing w:after="0" w:line="130" w:lineRule="exact"/>
        <w:rPr>
          <w:rFonts w:ascii="Times New Roman" w:cs="Times New Roman" w:eastAsia="Times New Roman" w:hAnsi="Times New Roman"/>
          <w:sz w:val="18"/>
          <w:szCs w:val="18"/>
          <w:color w:val="auto"/>
        </w:rPr>
      </w:pPr>
    </w:p>
    <w:p>
      <w:pPr>
        <w:ind w:left="964" w:right="20" w:hanging="424"/>
        <w:spacing w:after="0" w:line="282" w:lineRule="auto"/>
        <w:tabs>
          <w:tab w:leader="none" w:pos="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reaffirm its recommendation of the Merger Agreement within ten (10) Business Days after Parent so requests in writing, or, if earlier, two (2) Business Days prior to the Expiration Date; or</w:t>
      </w:r>
    </w:p>
    <w:p>
      <w:pPr>
        <w:spacing w:after="0" w:line="67" w:lineRule="exact"/>
        <w:rPr>
          <w:rFonts w:ascii="Times New Roman" w:cs="Times New Roman" w:eastAsia="Times New Roman" w:hAnsi="Times New Roman"/>
          <w:sz w:val="18"/>
          <w:szCs w:val="18"/>
          <w:color w:val="auto"/>
        </w:rPr>
      </w:pPr>
    </w:p>
    <w:p>
      <w:pPr>
        <w:ind w:left="964" w:right="120" w:hanging="424"/>
        <w:spacing w:after="0" w:line="261" w:lineRule="auto"/>
        <w:tabs>
          <w:tab w:leader="none" w:pos="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tender offer or exchange offer subject to Regulation 14D under the Exchange Act (other than by Parent and its Affiliates), fail to recommend, in a Solicitation/Recommendation Statement on Schedule 14D-9 or reject such tender offer or exchange offer within ten (10) Business Days of the commencement of such tender offer or exchange offer, or, if earlier, two (2) Business Days prior to the Expiration Date of such tender offer or exchange offer.</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action described in the foregoing bullet points is referred to as a “Change in Recommendation.”</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4"/>
          </w:cols>
          <w:pgMar w:left="436" w:top="270" w:right="479" w:bottom="1440" w:gutter="0" w:footer="0" w:header="0"/>
        </w:sectPr>
      </w:pPr>
    </w:p>
    <w:bookmarkStart w:id="50" w:name="page51"/>
    <w:bookmarkEnd w:id="50"/>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Agreement further provides that the Company Board will not approve, adopt or recommend, or publicly propose to approve, adopt or recommend, or allow the Company or any of its Subsidiaries to execute or enter into, any letter of intent, memorandum of understanding, agreement in principle, merger agreement, acquisition agreement, option agreement, joint venture agreement, partnership agreement, or other similar contract or any tender or exchange offer providing for, with respect to, in connection with, or that could reasonably be expected to lead to any Alternative Proposal or requiring, or that would reasonably expected to cause, the Company to abandon, terminate, materially delay or fail to consummate, or that would otherwise be reasonably likely to materially impede, interfere with or be inconsistent with, the Transactions (other than an Acceptable Confidentiality Agreement) (which we refer to as an “Alternative Acquisition Agreement”).</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At any time prior to the Offer Acceptance Time, the Company Board may (x) in response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Proposal that has not been withdrawn and that was not solicited after the date of the Merger Agreement in material violation of the non-solicitation provisions of the Merger Agreement or the occurrence of an Intervening Event, make a Change in Recommendation or (y) in response to a bona fide written Alternative Proposal that has not been withdrawn, terminate the Merger Agreement and enter into an Alternative Acquisition Agreement with respect to such Alternative Proposal; provided that:</w:t>
      </w:r>
    </w:p>
    <w:p>
      <w:pPr>
        <w:spacing w:after="0" w:line="89" w:lineRule="exact"/>
        <w:rPr>
          <w:sz w:val="20"/>
          <w:szCs w:val="20"/>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such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Proposal:</w:t>
      </w:r>
    </w:p>
    <w:p>
      <w:pPr>
        <w:spacing w:after="0" w:line="132" w:lineRule="exact"/>
        <w:rPr>
          <w:rFonts w:ascii="Times New Roman" w:cs="Times New Roman" w:eastAsia="Times New Roman" w:hAnsi="Times New Roman"/>
          <w:sz w:val="18"/>
          <w:szCs w:val="18"/>
          <w:color w:val="auto"/>
        </w:rPr>
      </w:pPr>
    </w:p>
    <w:p>
      <w:pPr>
        <w:ind w:left="1420" w:right="260" w:hanging="331"/>
        <w:spacing w:after="0" w:line="282" w:lineRule="auto"/>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determines in good faith, after consultation with its independent financial advisors and outside legal counsel, that such Alternative Proposal constitutes a Superior Proposal;</w:t>
      </w:r>
    </w:p>
    <w:p>
      <w:pPr>
        <w:spacing w:after="0" w:line="67" w:lineRule="exact"/>
        <w:rPr>
          <w:rFonts w:ascii="Times New Roman" w:cs="Times New Roman" w:eastAsia="Times New Roman" w:hAnsi="Times New Roman"/>
          <w:sz w:val="18"/>
          <w:szCs w:val="18"/>
          <w:color w:val="auto"/>
        </w:rPr>
      </w:pPr>
    </w:p>
    <w:p>
      <w:pPr>
        <w:ind w:left="1420" w:right="20" w:hanging="331"/>
        <w:spacing w:after="0" w:line="312" w:lineRule="auto"/>
        <w:tabs>
          <w:tab w:leader="none" w:pos="142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Board determines in good faith, after consultation with its independent financial advisors and outside legal counsel, that the failure to take such action would be inconsistent with its fiduciary duties to the Company Stockholders under applicable law;</w:t>
      </w:r>
    </w:p>
    <w:p>
      <w:pPr>
        <w:spacing w:after="0" w:line="45" w:lineRule="exact"/>
        <w:rPr>
          <w:rFonts w:ascii="Times New Roman" w:cs="Times New Roman" w:eastAsia="Times New Roman" w:hAnsi="Times New Roman"/>
          <w:sz w:val="17"/>
          <w:szCs w:val="17"/>
          <w:color w:val="auto"/>
        </w:rPr>
      </w:pPr>
    </w:p>
    <w:p>
      <w:pPr>
        <w:ind w:left="1420" w:hanging="331"/>
        <w:spacing w:after="0"/>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given Parent a written notice (which we refer to as a “Change in Recommendation Notice”) at least four</w:t>
      </w:r>
    </w:p>
    <w:p>
      <w:pPr>
        <w:spacing w:after="0" w:line="27" w:lineRule="exact"/>
        <w:rPr>
          <w:rFonts w:ascii="Times New Roman" w:cs="Times New Roman" w:eastAsia="Times New Roman" w:hAnsi="Times New Roman"/>
          <w:sz w:val="18"/>
          <w:szCs w:val="18"/>
          <w:color w:val="auto"/>
        </w:rPr>
      </w:pPr>
    </w:p>
    <w:p>
      <w:pPr>
        <w:ind w:left="142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Business Days prior to effecting a Change in Recommendation or terminating the Merger Agreement of its intent to take such action and specifying the reason therefor;</w:t>
      </w:r>
    </w:p>
    <w:p>
      <w:pPr>
        <w:spacing w:after="0" w:line="86" w:lineRule="exact"/>
        <w:rPr>
          <w:rFonts w:ascii="Times New Roman" w:cs="Times New Roman" w:eastAsia="Times New Roman" w:hAnsi="Times New Roman"/>
          <w:sz w:val="18"/>
          <w:szCs w:val="18"/>
          <w:color w:val="auto"/>
        </w:rPr>
      </w:pPr>
    </w:p>
    <w:p>
      <w:pPr>
        <w:jc w:val="both"/>
        <w:ind w:left="1420" w:hanging="331"/>
        <w:spacing w:after="0" w:line="266" w:lineRule="auto"/>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effecting such Change in Recommendation or terminating the Merger Agreement, the Company negotiates in good faith with Parent (to the extent Parent desires to negotiate) during such four (4) Business Day period to make such adjustments in the terms and conditions of the Merger Agreement so that such Alternative Proposal would cease to constitute a Superior Proposal; and</w:t>
      </w:r>
    </w:p>
    <w:p>
      <w:pPr>
        <w:spacing w:after="0" w:line="81" w:lineRule="exact"/>
        <w:rPr>
          <w:rFonts w:ascii="Times New Roman" w:cs="Times New Roman" w:eastAsia="Times New Roman" w:hAnsi="Times New Roman"/>
          <w:sz w:val="18"/>
          <w:szCs w:val="18"/>
          <w:color w:val="auto"/>
        </w:rPr>
      </w:pPr>
    </w:p>
    <w:p>
      <w:pPr>
        <w:ind w:left="1420" w:hanging="331"/>
        <w:spacing w:after="0" w:line="258" w:lineRule="auto"/>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such four (4) Business Day period, the Company Board determines in good faith (after consultation with its independent financial advisors and outside legal counsel), after considering any amendments to the terms and conditions of the Merger Agreement proposed by Parent in a binding, written, irrevocable offer during such four (4) Business Day period, that the failure to take such action would be inconsistent with the Company Board’s fiduciary duties to the Company Stockholders under applicable law (and that such Alternative Proposal continues to constitute a Superior Proposal); and</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Intervening Event;</w:t>
      </w:r>
    </w:p>
    <w:p>
      <w:pPr>
        <w:spacing w:after="0" w:line="130" w:lineRule="exact"/>
        <w:rPr>
          <w:rFonts w:ascii="Times New Roman" w:cs="Times New Roman" w:eastAsia="Times New Roman" w:hAnsi="Times New Roman"/>
          <w:sz w:val="18"/>
          <w:szCs w:val="18"/>
          <w:color w:val="auto"/>
        </w:rPr>
      </w:pPr>
    </w:p>
    <w:p>
      <w:pPr>
        <w:ind w:left="1420" w:right="240" w:hanging="331"/>
        <w:spacing w:after="0" w:line="282" w:lineRule="auto"/>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determines in good faith, after consultation with outside counsel, that the failure to take such action would be inconsistent with the fiduciary duties of the Company Board to the Company Stockholders under applicable Law;</w:t>
      </w:r>
    </w:p>
    <w:p>
      <w:pPr>
        <w:spacing w:after="0" w:line="67" w:lineRule="exact"/>
        <w:rPr>
          <w:rFonts w:ascii="Times New Roman" w:cs="Times New Roman" w:eastAsia="Times New Roman" w:hAnsi="Times New Roman"/>
          <w:sz w:val="18"/>
          <w:szCs w:val="18"/>
          <w:color w:val="auto"/>
        </w:rPr>
      </w:pPr>
    </w:p>
    <w:p>
      <w:pPr>
        <w:ind w:left="1420" w:right="340" w:hanging="331"/>
        <w:spacing w:after="0" w:line="266" w:lineRule="auto"/>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a Change in Recommendation Notice to Parent prior to effecting a Change in Recommendation of its intent to take such action and specifying the reason at least four (4) Business Days prior to making any such Change in Recommendation; and</w:t>
      </w:r>
    </w:p>
    <w:p>
      <w:pPr>
        <w:spacing w:after="0" w:line="81"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specified the Intervening Event in reasonable detail, (ii) the Company has given Parent the four (4) Business Days after the Change in Recommendation Notice to propose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1" w:name="page52"/>
    <w:bookmarkEnd w:id="51"/>
    <w:p>
      <w:pPr>
        <w:ind w:left="142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revisions to the terms of the Merger Agreement or make other proposals so that such Intervening Event would no longer necessitate a Change in Recommendation, and has its Representatives reasonably available to negotiate in good faith with Parent (to the extent Parent desires to negotiate) with respect to such proposed revisions or other proposal, if any, and (iii) after considering any amendments to the terms and conditions of the Merger Agreement proposed by Parent in a binding, written, irrevocable offer, if any, during such four (4) Business Day period, after consultation with outside legal counsel, the Company Board has determined, in good faith, that the failure to make the Change in Recommendation in response to such Intervening Event is inconsistent with the fiduciary duties of the Company Board to the Company Stockholders under applicable Law.</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delivery of a Change in Recommendation Notice, (i) in the case of a Superior Proposal, in the event of any material change to the financial terms (including any change to the amount or form of consideration payable) or other material revision to the material terms or conditions of such Alternative Proposal or (ii) in the case of an Intervening Event, in the event such Intervening Event changes in any material respect, the Company must provide a new Change in Recommendation Notice to Parent, and any Change in Recommendation or termination of the Merger Agreement to enter into an Alternative Acquisition Agreement with respect to such Superior Proposal following delivery of such new Change in Recommendation Notice will again be subject to the procedures set forth above, except that the references to four (4) Business Days will be deemed to be two (2) Business Days. Notwithstanding anything to the contrary in the Merger Agreement, none of (A) the determination in itself by the Company Board (or a committee thereof) that an Alternative Proposal would reasonably be expected to lead to a Superior Proposal; (B) the delivery, in itself, by the Company of a Change in Recommendation Notice or any other deliverables contemplated by Section 6.2 of the Merger Agreement; or (C) the public disclosure, in itself, of the items in clauses (A) and (B) will constitute a Change in Recommendation or violate the terms of Section 6.2 of the Merger Agreement.</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“Intervening Event” means any Effect or any material consequence of such Effect that (a) was not known or reasonably foreseeable to the Company Board as of or prior to the date of the Merger Agreement and (b) does not relate to or involve (i) any Alternative Proposal, (ii) any events, changes or circumstances relating to Parent, Purchaser or any of their Affiliates, (iii) the expiration or termination of any waiting periods or the receipt of any approvals, consents or clearances applicable to the Merger under any Antitrust Laws or (iv) changes after the date of the Merger Agreement in the market price or trading volume of the Company’s stock, in and of itself, or the fact that Company meets or exceeds internal or analysts’ expectations or projections of the Company’s revenue, earnings or other financial performance or results of operations for any period, in and of itself, or the fact that the Company meets or outperforms any internal budgets, plans or forecasts of its revenues, earnings or other financial performance or results of operations, in and of itself.</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Antitrust Filings</w:t>
      </w:r>
    </w:p>
    <w:p>
      <w:pPr>
        <w:spacing w:after="0" w:line="11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each of the parties to the Merger Agreement will cooperate with each other and use (and cause their respective subsidiaries to use) their respective reasonable best efforts to (i) take, or cause to be taken, all actions, and do, or cause to be done, all things, necessary, proper or advisable to cause the conditions to the closing to be satisfied as promptly as practicable (and in any event no later than the Outside Date) and to consummate and make effective, in the most expeditious manner practicable, the Offer and the Merger, including preparing and filing promptly and fully all documentation to effect all necessary filings, notifications, notices, petitions, statements, registrations, submissions of information, applications and other documents (including any required or recommended filings under applicable Antitrust Laws), and including, with respect to the Company, granting permission to Parent and Purchaser to include financial and other information relating to the Company and its Subsidiaries in customary marketing materials related to any financing related to the Transactions, subject to the Company’s prior review and approval of such inclusion (not to be unreasonably withheld, conditioned or delayed); (ii) obtain promptly (and in any event no later than the Outside Date) all approvals, consents, clearances, expirations or terminations of waiting periods, registrations, permits,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2" w:name="page53"/>
    <w:bookmarkEnd w:id="52"/>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authorizations and other confirmations from any Governmental Authority or third party necessary, proper or advisable to consummate the Offer and the Merger; (iii) defend any lawsuits or other Legal Proceedings, whether judicial or administrative, challenging the Merger Agreement or the consummation of the Offer and the Merger and (iv) obtain all necessary consents, approvals or waivers from third parties. Nothing in the Merger Agreement shall require Parent to (A) defend any lawsuit or other Legal Proceeding, whether judicial or administrative, brought by any Governmental Authority or third party challenging the Merger Agreement or seeking to enjoin, restrain, prevent, prohibit or make illegal consummation of the Merger or any of the other transactions contemplated hereby or imposes any damages, terms or conditions in connection with the Merger or any of the other transactions contemplated hereby, in each case in respect of Antitrust Laws; or (B) contest any Order in respect of Antitrust Laws that enjoins, restrains, prevents, prohibits or makes illegal consummation of the Merger or any of the other transactions contemplated hereby; provided, that if Parent determines to defend any such Legal Proceeding or contest any such Order, then each of Parent and the Company shall use reasonable best efforts to do so. Parent shall have the sole right to (i) direct, devise and implement the strategy for obtaining any necessary Consent of, for responding to any request from, inquiry or investigation by (including directing the timing, nature and substance of all such responses), and lead all meetings and communications (including any negotiations) with, any Governmental Authority that has authority to enforce any Antitrust Law and (ii) control the defense and settlement of any Legal Proceeding brought by or before any Governmental Authority in respect of Antitrust Laws. Parent shall consult with the Company and consider in good faith the views and comments of the Company in connection with the foregoing.</w:t>
      </w:r>
    </w:p>
    <w:p>
      <w:pPr>
        <w:spacing w:after="0" w:line="19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Each of the parties to the Merger Agreement agrees to make an appropriate filing of a Notification and Report Form pursuant to the HSR Act with respect to the Transactions as promptly as practicable and in any event within fifteen (15) Business Days after the date of the Merger Agreement and to supply as promptly as practicable any additional information and documentary material that may be requested by any Governmental Authority.</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on April 10, 2026, each of Neurocrine and Soleno filed a Premerger Notification and Report Form under the HSR Act with respect to the Offer and the Merger with the Antitrust Division of the United States Department of Justice and the Federal Trade Commission (which we refer to as the “FTC”).</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event that the Company or Parent receives a request for information or documentary material pursuant to the HSR Act (which we refer to as a “Second Request”), each shall, and shall cause its respective Subsidiaries to, use reasonable best efforts (and shall cooperate with each other) to submit an appropriate response to such Second Request as promptly as reasonably practicable, and to make available their respective Representatives to, on reasonable request, any Governmental Authority in connection with (i) the preparation of any Filing made by or on their behalf to any Governmental Authority in connection with the Transactions contemplated hereby or (ii) any Governmental Authority investigation, review or approval process. Parent and the Company shall jointly manage and direct all decisions and actions with respect to extending any waiting period under the HSR Act with respect to the Transactions, including by pull and refile or entering into or agreeing to any timing agreement with respect to the Merger with the United States Federal Trade Commission, the Antitrust Division of the United States Department of Justice or any other Governmental Authority; provided, that neither Parent nor Company, nor any of their Subsidiaries, shall enter into any agreement with the United States Federal Trade Commission, the Antitrust Division of the United States Department of Justice or any other Governmental Authority not to consummate the transactions contemplated by the Merger Agreement without the prior written consent of the other party (such consent not to be unreasonably withheld, conditioned or delayed).</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applicable Laws relating to the sharing of information and the terms and conditions of the Confidentiality Agreement, each of the Company and Parent will and will cause its Subsidiaries to, cooperate and consult with each other in connection with the making of all Filings pursuant to the terms of the Merger Agreement and keep each other apprised on a current basis of the status of matters relating to the completion of the Offer and the Merger, including: (i) (A) as far in advance as practicable, notifying the other party of,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3" w:name="page54"/>
    <w:bookmarkEnd w:id="53"/>
    <w:p>
      <w:pPr>
        <w:ind w:left="4" w:right="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providing the other party with a reasonable opportunity to consult with respect to, any Filing or communication or inquiry it or any of its Affiliates intends to make with any Governmental Authority other than a Taxing Authority (or any communication or inquiry it or any of its Affiliates intends to make with any third party in connection therewith) relating to the matters that are the subject of the Merger Agreement, (B) providing the other Party and its counsel, prior to submitting any such Filing or making any such communication or inquiry, a reasonable opportunity to review, and considering in good faith the comments of the other Party and such other Party’s Representatives in connection with any such Filing, communication or inquiry, and</w:t>
      </w:r>
    </w:p>
    <w:p>
      <w:pPr>
        <w:spacing w:after="0" w:line="3" w:lineRule="exact"/>
        <w:rPr>
          <w:sz w:val="20"/>
          <w:szCs w:val="20"/>
          <w:color w:val="auto"/>
        </w:rPr>
      </w:pPr>
    </w:p>
    <w:p>
      <w:pPr>
        <w:ind w:left="4" w:right="160" w:hanging="4"/>
        <w:spacing w:after="0" w:line="252" w:lineRule="auto"/>
        <w:tabs>
          <w:tab w:leader="none" w:pos="2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submission of such Filing or making of such communication or inquiry, providing the other party with a copy of any such Filing, communication or inquiry, if in written form, or, if in oral form, a summary of such communication or inquiry; (ii) as promptly as practicable following receipt, furnishing the other party with a copy of any Filing or written communication or inquiry, or, if in oral form, a summary of any such communication or inquiry, it or any of its Affiliates receives from any Governmental Authority other than a Taxing Authority or the SEC (or, in each case, any communication or inquiry it receives from any third party in connection therewith) relating to matters that are the subject of the Merger Agreement; and (iii) coordinating and reasonably cooperating with the other party in exchanging such information and providing such other assistance as the other party may reasonably request.</w:t>
      </w:r>
    </w:p>
    <w:p>
      <w:pPr>
        <w:spacing w:after="0" w:line="188"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Parent or their respective Representatives will notify and consult with the other Party in advance of any meeting or conference (including by telephone or videoconference) with any Governmental Authority other than a Taxing Authority, or any member of the staff of any such Governmental Authority, in respect of any Filing, Legal Proceeding (including the settlement of any Legal Proceeding) or other inquiry regarding the Transactions contemplated hereby and, to the extent permitted by such Governmental Authority, enable the other Party to participate. The Company and Parent may, as each deems advisable and necessary, reasonably designate any competitively sensitive material provided to the other under the Merger Agreement as “outside counsel only.” Such materials and the information contained therein will be given only to the outside legal counsel and will not be disclosed by such outside counsel and, subject to any additional confidentiality or joint defense agreement the Parties may mutually propose and enter into, to employees, officers or directors of the recipient unless express permission is obtained in advance from the source of the materials (the Company or the Parent, as the case may be) or its legal counsel.</w:t>
      </w:r>
    </w:p>
    <w:p>
      <w:pPr>
        <w:spacing w:after="0" w:line="188" w:lineRule="exact"/>
        <w:rPr>
          <w:sz w:val="20"/>
          <w:szCs w:val="20"/>
          <w:color w:val="auto"/>
        </w:rPr>
      </w:pPr>
    </w:p>
    <w:p>
      <w:pPr>
        <w:jc w:val="both"/>
        <w:ind w:left="4" w:right="160" w:firstLine="440"/>
        <w:spacing w:after="0" w:line="255" w:lineRule="auto"/>
        <w:rPr>
          <w:sz w:val="20"/>
          <w:szCs w:val="20"/>
          <w:color w:val="auto"/>
        </w:rPr>
      </w:pPr>
      <w:r>
        <w:rPr>
          <w:rFonts w:ascii="Times New Roman" w:cs="Times New Roman" w:eastAsia="Times New Roman" w:hAnsi="Times New Roman"/>
          <w:sz w:val="18"/>
          <w:szCs w:val="18"/>
          <w:color w:val="auto"/>
        </w:rPr>
        <w:t>Parent (including its subsidiaries) will not agree to or consummate any acquisition of any assets or businesses, whether by merger, consolidation or purchasing a substantial portion of the assets of or equity in any person, if the entering into of an agreement relating to or the consummation of such acquisition, merger, consolidation or purchase would, in the good faith judgment of Parent, reasonably be expected to: (i) impose any material delay in the expiration or termination of any applicable waiting period pursuant to the HSR Act or other Antitrust Laws in respect of the Transactions;</w:t>
      </w:r>
    </w:p>
    <w:p>
      <w:pPr>
        <w:spacing w:after="0" w:line="3" w:lineRule="exact"/>
        <w:rPr>
          <w:sz w:val="20"/>
          <w:szCs w:val="20"/>
          <w:color w:val="auto"/>
        </w:rPr>
      </w:pPr>
    </w:p>
    <w:p>
      <w:pPr>
        <w:ind w:left="4" w:right="400" w:hanging="4"/>
        <w:spacing w:after="0" w:line="260" w:lineRule="auto"/>
        <w:tabs>
          <w:tab w:leader="none" w:pos="26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increase the risk of not obtaining any approvals and expiration of waiting periods pursuant to the HSR Act or other Antitrust Laws in respect of the Transactions, or (iii) impede the occurrence of the closing and/or the consummation of the Transactions.</w:t>
      </w:r>
    </w:p>
    <w:p>
      <w:pPr>
        <w:spacing w:after="0" w:line="18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but except as provided in the foregoing, nothing in the Merger Agreement shall require Parent or any of its Subsidiaries to propose, negotiate, offer or effect any sale, divestiture, license or other disposition of any assets, rights or businesses of Parent or the Company or their respective Subsidiaries or otherwise commit to take any action that may limit Parent’s freedom of action with respect to any assets, rights or businesses of either Parent or the Company or their respective Subsidiaries. In no event shall the Company (or any of its Subsidiaries) propose, negotiate, offer or agree to any such actions without the prior written consent of Parent; provided, that the Company shall, and shall cause each subsidiary of the Company to, undertake such actions if requested by Parent if the effectiveness of such action is conditioned upon the occurrence of the Closing.</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Indemnification and Insurance</w:t>
      </w:r>
    </w:p>
    <w:p>
      <w:pPr>
        <w:spacing w:after="0" w:line="119"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Parent, the Surviving Company and the Surviving Company’s Subsidiaries will (and, Parent will cause the Surviving Company and its Subsidiaries to) honor and fulfill in all</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54" w:name="page55"/>
    <w:bookmarkEnd w:id="54"/>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respects the obligations of the Company and its Subsidiaries under (i) the indemnification agreements substantially in the form of the indemnification agreement publicly filed by the Company and available on EDGAR prior to the date of the Merger Agreement between (A) the Company and its Subsidiaries and any of their current or former directors and officers and any person who becomes a director or officer of the Company or any of its Subsidiaries prior to the Effective Time and (B) the Company and its Subsidiaries and any corporation, partnership, joint venture, trust, pension or other employee benefit plan or enterprise or other person serving or who served as a director, officer, member, manager, partner, trustee or other fiduciary of the Company or any of its Subsidiaries at the request of the Company or any of its Subsidiaries, in each case, prior to the Effective Time (which we refer to as the “Indemnified Persons”), and (ii) indemnification, expense advancement and exculpation provisions in the Company certificate of incorporation or bylaws of the Company and in the certificate of incorporation or bylaws (or equivalent governing documents) of any subsidiary of the Company, in each case of clauses (i) and (ii), as in effect on the date of the Merger Agreement and with respect to the Indemnified Persons’ acts and omissions occurring prior to the Effective Time. In addition, during the period commencing at the Effective Time and ending on the sixth (6th) anniversary of the Effective Time, the Surviving Company and its Subsidiaries will (and Parent will cause the Surviving Company and its Subsidiaries to) cause the formation and governing documents of the Surviving Company and its Subsidiaries to contain provisions with respect to elimination of liability of directors, indemnification, exculpation and the advancement of expenses that are no less favorable to the Indemnified Persons than the indemnification, exculpation and advancement of expenses provisions contained in the organizational and governing documents of the Company and its Subsidiaries as of the date of the Merger Agreement, and during such six (6) year period, such provisions will not be repealed, amended or otherwise modified (whether by merger, consolidation, division, conversion, domestication, transfer, continuance, share exchange, operation of law or otherwise) in any manner adverse to the Indemnified Persons except as provided below.</w:t>
      </w:r>
    </w:p>
    <w:p>
      <w:pPr>
        <w:spacing w:after="0" w:line="193"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From the Effective Time until the sixth (6th) anniversary of the closing date, Parent and the Surviving Company (which we refer to as, together with their successors and assigns, the “Indemnifying Parties”) will, to the fullest extent permitted under applicable laws and the Company certificate of incorporation or bylaws (as in effect on the date of the Merger Agreement), indemnify, defend and hold harmless each Indemnified Person in his or her capacity as an officer or director of the Company against all losses, claims, damages, liabilities (including amounts paid in settlement or compromise), fees, expenses, judgments or fines incurred by such Indemnified Person as an officer or director of the Company in connection with any pending or threatened legal proceeding based on or arising out of, in whole or in part, the fact that such Indemnified Person is or was a director or officer of the Company at or prior to the Effective Time and pertaining to any and all matters pending, existing or occurring at or prior to the Effective Time, whether asserted or claimed prior to, at or after the Effective Time, including any such matter arising under any claim based in whole or in part on, or arising in whole or in part out of, or pertaining to the Merger Agreement or the Transactions. Without limiting the foregoing, from the Effective Time until the sixth (6th) anniversary of the closing date, the Indemnifying Parties will also, to the fullest extent permitted under applicable laws and the certificate of incorporation of the Company (as in effect as of the date of the Merger Agreement), advance reasonable and documented out-of-pocket costs and expenses (including reasonable and documented attorneys’ fees) incurred by the Indemnified Persons in connection with matters for which such Indemnified Persons are eligible to be indemnified pursuant to this provision, subject to the execution by such Indemnified Persons of appropriate undertakings in favor of the Indemnifying Parties to repay such advanced costs and expenses if it is ultimately determined in a final and non-appealable judgment of a court of competent jurisdiction that such Indemnified Person is not entitled to be indemnified under this provision.</w:t>
      </w:r>
    </w:p>
    <w:p>
      <w:pPr>
        <w:spacing w:after="0" w:line="19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During the period commencing at the Effective Time and ending on the sixth (6th) anniversary of the Effective Time, Parent will, and will cause the Surviving Company to, maintain in effect for the benefit of the directors and officers of the Company, as of the date of the Merger Agreement and as of the Effective Time, an insurance and indemnification policy that provides coverage for events occurring prior to the Effective Time (which we refer to as the “D&amp;O Insurance”) that is substantially equivalent to and in any event providing coverage, terms, conditions, retentions, limits of liability, deductibles and amounts not less favorable to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5" w:name="page56"/>
    <w:bookmarkEnd w:id="5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insured persons than the policies of the Company in effect as of the date of the Merger Agreement; provided that the Surviving Company will not be required to pay an annual premium for the D&amp;O Insurance in excess of three hundred percent (300%) of the last annual premium paid prior to the date of the Merger Agreement, but in such case will purchase coverage as favorable to the insured persons as is available for such amount as long as such substitution does not result in gaps or lapses of coverage with respect to matters occurring at or prior to the Effective Time. The provisions of the immediately preceding sentence will be deemed to have been satisfied if prepaid policies have been obtained by the Company prior to the Effective Time. The Surviving Company will (and Parent will cause the Surviving Company to) maintain the D&amp;O Insurance “tail” policy in full force and effect and continue to honor their respective obligations thereunder, during the period commencing at the Effective Time and ending on the sixth (6th) anniversary of the Effective Time.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Matters</w:t>
      </w:r>
    </w:p>
    <w:p>
      <w:pPr>
        <w:spacing w:after="0" w:line="11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for a period of at least one (1) year following the Closing, Parent will provide, or will cause to be provided, to Continuing Employees, while in the continuing employ of the Parent or any of its Subsidiaries for such one (1) year period: (i) an annual base salary or hourly wage rate (as applicable) that is substantially comparable to the annual base salary or wage rate (as applicable) provided to the Continuing Employee as of immediately prior to the Effective Time and (ii) health and welfare benefits (but excluding equity or equity-based incentive opportunities, severance, retention, change in control, deferred compensation, post-employment welfare, and defined benefit pension benefits (which we refer to as, collectively, the “Excluded Benefits”)) that are substantially comparable in the aggregate to those provided to similarly situated employees of Parent and its Subsidiaries.</w:t>
      </w:r>
    </w:p>
    <w:p>
      <w:pPr>
        <w:spacing w:after="0" w:line="18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For purposes of eligibility to participate under the employee benefit plans of Parent (other than the Excluded Benefits), the Surviving Company or any of their respective Subsidiaries (which we refer to as, each, a “New Plan”), Parent shall use its reasonable best efforts to cause each Continuing Employee to be credited, to the extent applicable, with his or her years of service with the Company, its Subsidiaries or their respective predecessors before the Effective Time, to the same extent as such Continuing Employee was entitled before the Effective Time, to credit for such service under any similar Plan in which such Continuing Employee participated or was eligible to participate immediately prior to the Effective Time; provided that the foregoing will not apply to the extent that its application would result in a duplication of benefits. In addition and without limiting the generality of the foregoing, to the extent permitted under the applicable New Plan, Parent shall use its reasonable best efforts to cause each Continuing Employee to be immediately eligible to participate, without any waiting time, in each applicable New Plan to the extent that coverage under such New Plan is comparable to a Plan in which such Continuing Employee participated immediately prior to the Effective Time (such plans, which we refer to as, collectively, the “Old Plans”). For purposes of each New Plan providing medical, dental, pharmaceutical or vision benefits to any Continuing Employee, Parent will (or will cause the Surviving Company to) use reasonable best efforts to cause all eligibility waiting periods, pre-existing condition exclusions and actively-at-work requirements of such New Plan to be waived for such employee and his or her covered dependents, unless such conditions would not have been waived under the comparable Old Plans, and Parent will (or will cause the Surviving Company to) use reasonable best efforts to cause any eligible expenses incurred by such employee and his or her covered dependents during the portion of the plan year of the Old Plans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 to the extent permitted under the applicable New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the Company 401(k) Plan</w:t>
      </w:r>
    </w:p>
    <w:p>
      <w:pPr>
        <w:spacing w:after="0" w:line="119"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Effective as of no later than the day immediately preceding the closing date, the Company Board will adopt resolutions to terminate each and every employee benefit plan that is intended to be qualified under Section 401(a) of the Code (which we refer to as, each, a “401(k) Plan”), unless Parent provides written notice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56" w:name="page57"/>
    <w:bookmarkEnd w:id="56"/>
    <w:p>
      <w:pPr>
        <w:ind w:right="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that such 401(k) Plans will not be terminated. Unless Parent provides such written notice to the Company, the Company will provide Parent with evidence, no later than five (5) days prior to the closing date, that each 401(k) Plan has been terminated pursuant to resolutions of the Company Board. The Company will also take such other actions in furtherance of terminating each 401(k) Plan, as Parent may reasonably require.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Access and Information</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Until the earlier to occur of the termination of the Merger Agreement and the Effective Time, the Company will afford Parent and its representatives reasonable access during normal business hours, upon reasonable advance written notice, to the books, records, tax returns, work papers, other documents and personnel of the Company and its Subsidiaries, in each case to the extent reasonably requested by Parent and its Representatives; provided, that the Company may restrict or otherwise prohibit access to any documents or information to the extent that (a) any applicable law requires the Company or any of its Subsidiaries to restrict or otherwise prohibit access to such documents or information, (b) granting such access would violate any obligations of the Company or any of its Subsidiaries with respect to confidentiality to any third party or otherwise breach, contravene or violate, constitute a default under, or give a third party the right to terminate or accelerate an obligation under, any then effective Contract to which the Company or any of its Subsidiaries is a party, (c) access to such documents or information would reasonably be expected to result in a waiver of any attorney-client privilege, work product doctrine or other applicable privilege applicable to such documents or information or (d) such documents or information relate to the evaluation or negotiation of the Merger Agreement, the Transactions or, subject to the non-solicitation provisions of the Merger Agreement, an Alternative Proposal or Superior Proposal.</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that the Company does not provide access or information in reliance on clauses (a), (b) or (c) of the preceding sentence, it will use its reasonable best efforts to communicate or provide access to the applicable information to Parent in a way that would not violate any applicable law, contract or obligation or waive such a privilege. Any investigation conducted pursuant to the access contemplated by the Merger Agreement will be conducted in a manner that does not unreasonably interfere with the conduct of the business of the Company or its Subsidiaries or create a risk of damage or destruction to any property or assets of the Company or its Subsidiaries, will be subject to the Company’s reasonable security measures and insurance requirements, and will not include the right to perform invasive testing without the Company’s prior written consent, in its sole discretion. The terms and conditions of the Confidentiality Agreement will apply to any information obtained by Parent or any of its representatives in connection with any investigation conducted pursuant to the access contemplated by the Merger Agreement. Any access to any Company properties or facilities will be subject to the Company’s reasonable security measures and the applicable requirements of the Company’s leases, subleases and license agreements and will not include the right to perform any “invasive” testing or soil, air or groundwater sampling, including, any Phase I or Phase II environmental assessments. Nothing in the Merger Agreement will be construed to require the Company or any Representatives of any of the foregoing to prepare any reports, analyses, appraisals, opinions or other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Litigation</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will provide Parent with prompt notice of, and copies of all pleadings and material correspondence relating to, the Specified Litigation and any actual or threatened Legal Proceeding against the Company or any of its directors or officers by any holder of shares of Company Common Stock arising out of or relating to the Merger Agreement or the transactions contemplated by the Merger Agreement (which notice may be by email and to Parent’s outside counsel only). Subject to the execution of a customary joint defense agreement and subject to the preservation of the attorney-client or other applicable privilege, protection under the work product or other doctrine and protection of confidential information and except if the Company Board (or any committee thereof) has made a Change in Recommendation, the Company will give Parent the opportunity to participate (but not control), at Parent’s expense, in the defense, settlement, or compromise of the Specified Litigation and any such Legal Proceeding. The Company will not settle or otherwise compromise the Specified Litigation without the prior written consent of Parent (not to be unreasonably withheld, conditioned or delayed).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Covenants</w:t>
      </w:r>
    </w:p>
    <w:p>
      <w:pPr>
        <w:spacing w:after="0" w:line="11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contains other customary covenants, including covenants relating to FIRPTA documentation, public statements and disclosure, payoff letters matters with respect to Section 16 of the Exchange Act and the rules and regulations thereunder, Rule 14d-10(d)(2) under the Exchange Act, stock exchange delisting and deregistration, resignation of the officers and directors of the Company and its subsidiaries, Company Product matters and eliminating the effect of any takeover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Offer</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15—“Conditions to the Offer.”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Merger</w:t>
      </w:r>
    </w:p>
    <w:p>
      <w:pPr>
        <w:spacing w:after="0" w:line="11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Parent, Purchaser and the Company to effect the Merger are subject to the satisfaction, at or prior to the closing, of each of the following conditions:</w:t>
      </w:r>
    </w:p>
    <w:p>
      <w:pPr>
        <w:spacing w:after="0" w:line="67" w:lineRule="exact"/>
        <w:rPr>
          <w:sz w:val="20"/>
          <w:szCs w:val="20"/>
          <w:color w:val="auto"/>
        </w:rPr>
      </w:pPr>
    </w:p>
    <w:p>
      <w:pPr>
        <w:ind w:left="960" w:right="60" w:hanging="424"/>
        <w:spacing w:after="0" w:line="266"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order, judgment or injunction (whether temporary, preliminary or permanent) issued, enacted, promulgated, entered or enforced by a court of competent jurisdiction or other Governmental Authority restraining, prohibiting or rendering illegal the consummation of the Merger brought by a third party (which we refer to as the “Governmental Authority Closing Condition”) will be in effect; and</w:t>
      </w:r>
    </w:p>
    <w:p>
      <w:pPr>
        <w:spacing w:after="0" w:line="81"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(or Parent on Purchaser’s behalf) having accepted for payment or having caused to be accepted for payment all of the Shares validly tendered pursuant to the Offer and not validly withdrawn.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may be terminated prior to the Effective Time:</w:t>
      </w:r>
    </w:p>
    <w:p>
      <w:pPr>
        <w:spacing w:after="0" w:line="131" w:lineRule="exact"/>
        <w:rPr>
          <w:sz w:val="20"/>
          <w:szCs w:val="20"/>
          <w:color w:val="auto"/>
        </w:rPr>
      </w:pPr>
    </w:p>
    <w:p>
      <w:pPr>
        <w:ind w:left="960" w:hanging="424"/>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at any time prior to the Offer Acceptance Time.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w:t>
      </w:r>
    </w:p>
    <w:p>
      <w:pPr>
        <w:spacing w:after="0" w:line="130" w:lineRule="exact"/>
        <w:rPr>
          <w:rFonts w:ascii="Times New Roman" w:cs="Times New Roman" w:eastAsia="Times New Roman" w:hAnsi="Times New Roman"/>
          <w:sz w:val="18"/>
          <w:szCs w:val="18"/>
          <w:color w:val="auto"/>
        </w:rPr>
      </w:pPr>
    </w:p>
    <w:p>
      <w:pPr>
        <w:ind w:left="1420" w:right="120" w:hanging="331"/>
        <w:spacing w:after="0" w:line="256" w:lineRule="auto"/>
        <w:tabs>
          <w:tab w:leader="none" w:pos="14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Governmental Authority of competent jurisdiction that is within a jurisdiction that is material to the business and operations of the Company or Parent issues a final, non-appealable order, decree or ruling in each case that permanently restrains, enjoins or otherwise prohibits the acceptance for payment of Shares pursuant to the Offer or the Merger or makes the consummation of the Offer or the Merger illegal; provided, that this right to terminate the Merger Agreement is not available to the Company, on the one hand, or Parent, on the other hand, if such order was primarily due to the failure of the Company, on the one hand, or Parent or Purchaser, on the other hand, to perform in any material respect any of its obligations under the Merger Agreement;</w:t>
      </w:r>
    </w:p>
    <w:p>
      <w:pPr>
        <w:spacing w:after="0" w:line="92" w:lineRule="exact"/>
        <w:rPr>
          <w:rFonts w:ascii="Times New Roman" w:cs="Times New Roman" w:eastAsia="Times New Roman" w:hAnsi="Times New Roman"/>
          <w:sz w:val="18"/>
          <w:szCs w:val="18"/>
          <w:color w:val="auto"/>
        </w:rPr>
      </w:pPr>
    </w:p>
    <w:p>
      <w:pPr>
        <w:ind w:left="1420" w:hanging="331"/>
        <w:spacing w:after="0" w:line="254" w:lineRule="auto"/>
        <w:tabs>
          <w:tab w:leader="none" w:pos="14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does not occur on or before 5:00 p.m. Eastern Time on October 5, 2026 (which we refer to as the “Initial Outside Date”); provided, however, that if, as of the Initial Outside Date, all Section 15—“Conditions to the Offer” below have been satisfied or are capable of being satisfied (other than the Regulatory Condition to the Offer or the Governmental Authority Condition to the Offer (but only if the restraint, prohibition or illegality arises as a result of Antitrust Laws), the Minimum Condition and such other Offer Conditions that by their nature are to be satisfied or waived as of the Offer Acceptance Time), then the Outside Date shall automatically be extended (without any action by any Party) to January 5, 2027 (which we refer to as, such extended date, the “Extended Outside Date” and, together with the Initial Outside Date, the “Outside Date”); provided, further, that this right to terminate the Merger Agreement will not be available to any Party whose failure to comply with any provision of the Merger Agreement has been the cause of, or resulted in, the failure of the Closing to occur on or before the Outside Date;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68" w:right="479" w:bottom="1440" w:gutter="0" w:footer="0" w:header="0"/>
        </w:sectPr>
      </w:pPr>
    </w:p>
    <w:bookmarkStart w:id="58" w:name="page59"/>
    <w:bookmarkEnd w:id="58"/>
    <w:p>
      <w:pPr>
        <w:ind w:left="884" w:hanging="331"/>
        <w:spacing w:after="0" w:line="255" w:lineRule="auto"/>
        <w:tabs>
          <w:tab w:leader="none" w:pos="8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Offer (as may be extended in accordance with the Merger Agreement) expires as a result of the non-satisfaction of one or more Offer Conditions, without Purchaser accepting for payment any Shares tendered pursuant to the Offer; provided, however, that a party will not be permitted to exercise this right to terminate the Merger Agreement if the failure of the acceptance for payment of Shares or non-satisfaction of any such Offer Condition is attributable to a failure on the part of such party to perform in any material respect any covenant or agreement in the Merger Agreement required to be performed by it at or prior to the Offer Acceptance Time and such party has not cured such failure within 10 days after having received notice thereof from the other party (which we refer to as an “Offer Failure Termination”).</w:t>
      </w:r>
    </w:p>
    <w:p>
      <w:pPr>
        <w:spacing w:after="0" w:line="9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w:t>
      </w:r>
    </w:p>
    <w:p>
      <w:pPr>
        <w:spacing w:after="0" w:line="130" w:lineRule="exact"/>
        <w:rPr>
          <w:rFonts w:ascii="Times New Roman" w:cs="Times New Roman" w:eastAsia="Times New Roman" w:hAnsi="Times New Roman"/>
          <w:sz w:val="18"/>
          <w:szCs w:val="18"/>
          <w:color w:val="auto"/>
        </w:rPr>
      </w:pPr>
    </w:p>
    <w:p>
      <w:pPr>
        <w:ind w:left="884" w:right="100" w:hanging="331"/>
        <w:spacing w:after="0" w:line="266" w:lineRule="auto"/>
        <w:tabs>
          <w:tab w:leader="none" w:pos="8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Offer Acceptance Time, if, whether or not permitted to do so, the Company Board fails to include the Company Board Recommendation in the Schedule 14D-9 when mailed, or a Change in Recommendation occurs (which we refer to as a “Recommendation Failure Termination”); or</w:t>
      </w:r>
    </w:p>
    <w:p>
      <w:pPr>
        <w:spacing w:after="0" w:line="81" w:lineRule="exact"/>
        <w:rPr>
          <w:rFonts w:ascii="Times New Roman" w:cs="Times New Roman" w:eastAsia="Times New Roman" w:hAnsi="Times New Roman"/>
          <w:sz w:val="18"/>
          <w:szCs w:val="18"/>
          <w:color w:val="auto"/>
        </w:rPr>
      </w:pPr>
    </w:p>
    <w:p>
      <w:pPr>
        <w:ind w:left="884" w:right="40" w:hanging="331"/>
        <w:spacing w:after="0" w:line="253" w:lineRule="auto"/>
        <w:tabs>
          <w:tab w:leader="none" w:pos="88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Offer Acceptance Time, if (i) any of the representations and warranties of the Company contained in the Merger Agreement fails to be true and correct such that the condition precedent set forth in clause “(ii)” of Section 15—“Conditions to the Offer” below would not be satisfied or (ii) the Company has breached or failed to comply with any of its covenants or agreements under the Merger Agreement such that the condition precedent set forth in clause “(iii)” of Section 15—“Conditions to the Offer” below would not be satisfied, and such failure or breach with respect to any such representation, warranty, covenant or agreement (A) cannot be cured by the Outside Date or (B) if curable, continues to be unremedied as of three (3) Business Days prior to the Outside Date or, if earlier, the thirtieth (30th) day following delivery of notice to the Company regarding such failure or breach; provided, however, that Parent will not be entitled to exercise this right to terminate the Merger Agreement at any time during which the Parent or Purchaser is then in material breach of any representation, warranty, covenant or agreement under the Merger Agreement (which we refer to as a “Company Breach Termination”).</w:t>
      </w:r>
    </w:p>
    <w:p>
      <w:pPr>
        <w:spacing w:after="0" w:line="9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pacing w:after="0" w:line="130" w:lineRule="exact"/>
        <w:rPr>
          <w:rFonts w:ascii="Times New Roman" w:cs="Times New Roman" w:eastAsia="Times New Roman" w:hAnsi="Times New Roman"/>
          <w:sz w:val="18"/>
          <w:szCs w:val="18"/>
          <w:color w:val="auto"/>
        </w:rPr>
      </w:pPr>
    </w:p>
    <w:p>
      <w:pPr>
        <w:ind w:left="884" w:right="40" w:hanging="331"/>
        <w:spacing w:after="0" w:line="268" w:lineRule="auto"/>
        <w:tabs>
          <w:tab w:leader="none" w:pos="884"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prior to the Offer Acceptance Time, if (i) any of the representations and warranties of Parent or Purchaser contained in the Merger Agreement fail to be true and correct or (ii) Parent or Purchaser has breached or failed to comply in any material respect with any of its covenants or agreements under the Merger Agreement that Parent or Purchaser is required to comply with or perform at or prior to the Offer Acceptance Time, and such failure or breach with respect to any such representation, warranty, covenant or agreement would reasonably be expected to have, individually or in the aggregate, a Parent Material Adverse Effect and (A) cannot be cured by Parent or Purchaser, as applicable, by the Outside Date or (B) if curable, continues to be unremedied as of three</w:t>
      </w:r>
    </w:p>
    <w:p>
      <w:pPr>
        <w:spacing w:after="0" w:line="4" w:lineRule="exact"/>
        <w:rPr>
          <w:rFonts w:ascii="Times New Roman" w:cs="Times New Roman" w:eastAsia="Times New Roman" w:hAnsi="Times New Roman"/>
          <w:sz w:val="17"/>
          <w:szCs w:val="17"/>
          <w:color w:val="auto"/>
        </w:rPr>
      </w:pPr>
    </w:p>
    <w:p>
      <w:pPr>
        <w:ind w:left="884"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Business Days prior to the Outside Date or, if earlier, by the thirtieth (30th) day following delivery of notice to Parent regarding such failure or breach; provided, however, that the Company will not be entitled to exercise this right to terminate the Merger Agreement at any time during which the Company is then in material breach of any representation, warranty, covenant or agreement under the Merger Agreement;</w:t>
      </w:r>
    </w:p>
    <w:p>
      <w:pPr>
        <w:spacing w:after="0" w:line="94" w:lineRule="exact"/>
        <w:rPr>
          <w:rFonts w:ascii="Times New Roman" w:cs="Times New Roman" w:eastAsia="Times New Roman" w:hAnsi="Times New Roman"/>
          <w:sz w:val="17"/>
          <w:szCs w:val="17"/>
          <w:color w:val="auto"/>
        </w:rPr>
      </w:pPr>
    </w:p>
    <w:p>
      <w:pPr>
        <w:ind w:left="884" w:right="180" w:hanging="331"/>
        <w:spacing w:after="0" w:line="277" w:lineRule="auto"/>
        <w:tabs>
          <w:tab w:leader="none" w:pos="884"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Purchaser has failed to commence (within the meaning of Rule 14d-2 under the Exchange Act) the Offer within the period specified in Section 2.1(a) of the Merger Agreement, (ii) terminated the Offer prior to the effective Expiration Date (as may be extended in accordance with the Merger Agreement) unless otherwise permitted to do so pursuant to the Merger Agreement, or (iii) failed to accept and pay for all Shares validly tendered (and not validly withdrawn) when required to do so in accordance with the terms of the Merger Agreement; provided, however, the Company will not be permitted to terminate the Merger Agreement</w:t>
      </w:r>
    </w:p>
    <w:p>
      <w:pPr>
        <w:spacing w:after="0" w:line="100"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444"/>
          </w:cols>
          <w:pgMar w:left="976" w:top="270" w:right="479" w:bottom="1440" w:gutter="0" w:footer="0" w:header="0"/>
        </w:sectPr>
      </w:pPr>
    </w:p>
    <w:bookmarkStart w:id="59" w:name="page60"/>
    <w:bookmarkEnd w:id="59"/>
    <w:p>
      <w:pPr>
        <w:ind w:left="1420"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clause (i) or (iii) above if such failure of Purchaser was primarily due to the failure of the Company to perform in any material respect any of its obligations under the Merger Agreement; or</w:t>
      </w:r>
    </w:p>
    <w:p>
      <w:pPr>
        <w:spacing w:after="0" w:line="67" w:lineRule="exact"/>
        <w:rPr>
          <w:sz w:val="20"/>
          <w:szCs w:val="20"/>
          <w:color w:val="auto"/>
        </w:rPr>
      </w:pPr>
    </w:p>
    <w:p>
      <w:pPr>
        <w:ind w:left="1420" w:right="140" w:hanging="331"/>
        <w:spacing w:after="0" w:line="282" w:lineRule="auto"/>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terminating the Merger Agreement to enter into a definitive agreement relating to a Superior Proposal (which we refer to as a “Superior Proposal Termination”).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Termination</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the event the Merger Agreement is validly terminated pursuant to its terms, then each of the parties will be relieved of its duties and obligations arising under the Merger Agreement after the date of such termination and such termination will be without liability to any party, except certain provisions of the Merger Agreement and the Confidentiality Agreement will survive the termination of the Merger Agreement and remain in full force and effect, and, subject to the Company Termination Fee described below, the termination of the Merger Agreement will not relieve any party from any liability for common law fraud or willful breach.</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Fee</w:t>
      </w:r>
    </w:p>
    <w:p>
      <w:pPr>
        <w:spacing w:after="0" w:line="11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 termination fee of $95,250,000 (which we refer to as the “Company Termination Fee”) will be payable by the Company (or the Company will cause to be paid) to Parent (or its designee) in the event that:</w:t>
      </w:r>
    </w:p>
    <w:p>
      <w:pPr>
        <w:spacing w:after="0" w:line="67" w:lineRule="exact"/>
        <w:rPr>
          <w:sz w:val="20"/>
          <w:szCs w:val="20"/>
          <w:color w:val="auto"/>
        </w:rPr>
      </w:pPr>
    </w:p>
    <w:p>
      <w:pPr>
        <w:ind w:left="960" w:hanging="424"/>
        <w:spacing w:after="0" w:line="253"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Agreement is terminated by (A) the Company or Parent pursuant to an Outside Date Termination or an Offer Failure Termination and, in either case, (x) the Minimum Condition has not been satisfied as of such termination, (y) the conditions to the Offer in clauses “(v)” and “(vi)” of Section 15—“Conditions to the Offer” are satisfied at the time of such termination and (z) in the case of termination by the Company, the right to terminate the Merger Agreement pursuant to an Outside Date Termination is available to Parent, or (B) by Parent pursuant to a Company Breach Termination (solely if the relevant breach giving rise to a right of a Company Breach Termination constitutes a willful breach); following the execution and delivery of the Merger Agreement and prior to such termination of the Merger Agreement,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Alternative Proposal is publicly proposed or publicly disclosed (whether or not conditional) or made known to the Company Board prior to, and not publicly and unconditionally withdrawn at the time of, the Expiration Date or the termination of the Merger Agreement; and the Company consummates an Alternative Proposal within twelve (12) months after the date the Merger Agreement is terminated or enters into an Alternative Acquisition Agreement within twelve (12) months after the date the Merger Agreement is terminated and the applicable Alternative Proposal is subsequently consummated, whether before or after the expiration of such twelve (12)-month period; provided, that for purposes of this provision, the references to “20% or more” in the definition of “Alternative Proposal” are deemed to be references to “more than 50%”;</w:t>
      </w:r>
    </w:p>
    <w:p>
      <w:pPr>
        <w:spacing w:after="0" w:line="92" w:lineRule="exact"/>
        <w:rPr>
          <w:rFonts w:ascii="Times New Roman" w:cs="Times New Roman" w:eastAsia="Times New Roman" w:hAnsi="Times New Roman"/>
          <w:sz w:val="18"/>
          <w:szCs w:val="18"/>
          <w:color w:val="auto"/>
        </w:rPr>
      </w:pPr>
    </w:p>
    <w:p>
      <w:pPr>
        <w:ind w:left="960" w:right="840" w:hanging="424"/>
        <w:spacing w:after="0" w:line="282"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Parent pursuant to a Recommendation Failure Termination, in which case the Company Termination Fee will be payable within two (2) Business Days after the termination of the Merger Agreement;</w:t>
      </w:r>
    </w:p>
    <w:p>
      <w:pPr>
        <w:spacing w:after="0" w:line="67" w:lineRule="exact"/>
        <w:rPr>
          <w:rFonts w:ascii="Times New Roman" w:cs="Times New Roman" w:eastAsia="Times New Roman" w:hAnsi="Times New Roman"/>
          <w:sz w:val="18"/>
          <w:szCs w:val="18"/>
          <w:color w:val="auto"/>
        </w:rPr>
      </w:pPr>
    </w:p>
    <w:p>
      <w:pPr>
        <w:ind w:left="960" w:right="860" w:hanging="424"/>
        <w:spacing w:after="0" w:line="312" w:lineRule="auto"/>
        <w:tabs>
          <w:tab w:leader="none" w:pos="9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is terminated by the Company pursuant to a Superior Proposal Termination, in which case the Company Termination Fee will be payable immediately prior to or simultaneously with the termination of the Merger Agreement; or</w:t>
      </w:r>
    </w:p>
    <w:p>
      <w:pPr>
        <w:spacing w:after="0" w:line="45" w:lineRule="exact"/>
        <w:rPr>
          <w:rFonts w:ascii="Times New Roman" w:cs="Times New Roman" w:eastAsia="Times New Roman" w:hAnsi="Times New Roman"/>
          <w:sz w:val="17"/>
          <w:szCs w:val="17"/>
          <w:color w:val="auto"/>
        </w:rPr>
      </w:pPr>
    </w:p>
    <w:p>
      <w:pPr>
        <w:ind w:left="960" w:hanging="424"/>
        <w:spacing w:after="0" w:line="256"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Parent or the Company pursuant to an Offer Failure Termination and, as of the time of termination, all of the conditions set forth in Section 15—“Conditions to the Offer” below are satisfied (other than the Minimum Condition and such other Offer Conditions that by their nature are to be satisfied or waived as of the Offer Acceptance Time) except that (i) the condition to the Offer in clause “(v)” of Section 15—“Conditions to the Offer” below is not satisfied at the time of such termination or (ii) the condition to the Offer in clause “(vi)” of Section 15—“Conditions to the Offer” below (but only if the restraint, prohibition or illegality arises as a result of Antitrust Laws) is not satisfied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0" w:name="page61"/>
    <w:bookmarkEnd w:id="60"/>
    <w:p>
      <w:pPr>
        <w:ind w:left="98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time of such termination, then, in either case, Parent will pay, or cause to be paid, to the Company or its designee an amount equal to $141,500,000 (which we refer to as the “Reverse Termination Fee”) within two (2) Business Days after the date of termination.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no event will the Company be required to pay the Company Termination Fee on more than one occasion.</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the event that Parent or its designee receives full payment pursuant to the Company Termination Fee or the Company or its designee receives full payment pursuant to the Reverse Termination Fee, the receipt of the Company Termination Fee or the Reverse Termination Fee, as applicable, will constitute liquidated damages and not a penalty. Notwithstanding anything in the Merger Agreement to the contrary, in the event the Merger Agreement is validly terminated under the circumstances in which the Company Termination Fee is paid: (i) the payment by the Company of the Company Termination Fee will be the sole and exclusive remedy of Parent and Purchaser each and each of their respective affiliates, each of the direct and indirect stockholders, partners, managers or other equity or security holders of Parent and Purchaser or any of their respective affiliates and any Representative of any of the foregoing (which we refer to as, each, a “Parent Related Party” and, collectively, the “Parent Related Parties”), (ii) (A) none of Parent, Purchaser, any other Parent Related Party or any other person will, and none of Parent, Purchaser, any other Parent Related Party or any other person will be entitled to bring, and Parent and Purchaser hereby irrevocably covenant not to bring, threaten, commence, maintain or seek (and further covenant to cause each other Parent Related Party not to bring, threaten, commence, maintain or seek) any recovery in connection with and (B) none of the Company, any affiliates thereof, any direct or indirect stockholder, partner, manager or other equity or security holder of the Company or any affiliate thereof or any Representative of any of the foregoing (which we refer to as, each, a “Company Related Party” and, collectively, the “Company Related Parties”) will have any liability for or with respect to, in the case of each of clauses (A) and (B), any action, suit, claim, proceeding, investigation, arbitration or inquiry or other legal proceeding against the Company or any other Company Related Party arising out of the Merger Agreement, any of the Transactions, any breach of any agreement or covenant or any inaccuracy in any representation or warranty set forth in the Merger Agreement, any matters forming the basis for such termination or any loss suffered as a result of the failure of the Merger or any other Transactions to be consummated; provided, however, that payment of the Termination Fee will not be liquidated damages in the case of common law fraud or a willful breach of the Merger Agreement by the Company.</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in the event the Merger Agreement is validly terminated under the circumstances in which the Reverse Termination Fee is paid: (i) the payment by Parent of the Reverse Termination Fee will be the sole and exclusive remedy of the Company Related Parties, (ii) (A) no Company Related Party or any other person will, and no Company Related Party or any other person will be entitled to bring, and the Company hereby irrevocably covenants not to bring, threaten, commence, maintain or seek (and further covenants to cause each other Company Related Party not to bring, threaten, commence, maintain or seek) any recovery in connection with and (B) none of the Parent Related Parties will have any liability for or with respect to, in the case of each of clauses “(A)” and “(B)”, any action, suit, claim, proceeding, investigation, arbitration or inquiry or other Legal Proceeding against the Parent Related Party arising out of the Merger Agreement, any of the Transactions, any breach of any agreement or covenant or any inaccuracy in any representation or warranty set forth in the Merger Agreement, any matters forming the basis for such termination or any loss suffered as a result of the failure of the Merger or any other Transactions to be consummated; provided, however, that payment of the Reverse Termination Fee will not be liquidated damages in the case of common law fraud or a willful breach of the Merger Agreement by Parent or Purchaser.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Specific Performance</w:t>
      </w:r>
    </w:p>
    <w:p>
      <w:pPr>
        <w:spacing w:after="0" w:line="119" w:lineRule="exact"/>
        <w:rPr>
          <w:sz w:val="20"/>
          <w:szCs w:val="20"/>
          <w:color w:val="auto"/>
        </w:rPr>
      </w:pPr>
    </w:p>
    <w:p>
      <w:pPr>
        <w:ind w:right="200" w:firstLine="440"/>
        <w:spacing w:after="0" w:line="289" w:lineRule="auto"/>
        <w:rPr>
          <w:sz w:val="20"/>
          <w:szCs w:val="20"/>
          <w:color w:val="auto"/>
        </w:rPr>
      </w:pPr>
      <w:r>
        <w:rPr>
          <w:rFonts w:ascii="Times New Roman" w:cs="Times New Roman" w:eastAsia="Times New Roman" w:hAnsi="Times New Roman"/>
          <w:sz w:val="17"/>
          <w:szCs w:val="17"/>
          <w:color w:val="auto"/>
        </w:rPr>
        <w:t>The parties to the Merger Agreement have agreed that irreparable damage would occur in the event that any provision of the Merger Agreement was not performed in accordance with its specific terms or otherwise breached, and that money damages or other legal remedies would not be an adequate remedy for any such damages. Accordingly, the parties to the Merger Agreement have acknowledged and agreed that in the event 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1" w:name="page62"/>
    <w:bookmarkEnd w:id="61"/>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breach or threatened breach by the Company, on the one hand, or Parent and/or Purchaser, on the other hand, of any of their respective covenants or obligations set forth in the Merger Agreement, the Company, on the one hand, and Parent and Purchaser, on the other hand, will be entitled (without proof of actual damages or otherwise or posting or securing any bond or other security), in addition to any other remedy to which they are entitled to under law or equity, to seek an injunction or injunctions to prevent or restrain breaches or threatened breaches of the Merger Agreement, by the other (as applicable), and to specifically enforce the terms and provisions of the Merger Agreement to prevent breaches or threatened breaches of, or to enforce compliance with, the covenants and obligations of the other under the Merger Agreement. The parties to the Merger Agreement have agreed not to raise any objections to the availability of the equitable remedy of specific performance to prevent or restrain breaches or threatened breaches of the Merger Agreement by such party (or parties), and to specifically enforce the terms and provisions of the Merger Agreement to prevent breaches or threatened breaches of, or to enforce compliance with, the covenants and obligations of such party (or parties) under the Merger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the Merger Agreement involving willful breach or common law fraud; provided, however, that in no event will Parent or Purchaser be entitled to both the payment of the Company Termination Fee, on the one hand, and either specific performance or any other monetary or other remedies, on the other hand.</w:t>
      </w:r>
    </w:p>
    <w:p>
      <w:pPr>
        <w:spacing w:after="0" w:line="3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Fees and Expenses</w:t>
      </w:r>
    </w:p>
    <w:p>
      <w:pPr>
        <w:spacing w:after="0" w:line="119"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Each party will pay its own expenses incident to preparing for, entering into and carrying out the Merger Agreement and the consummation of the Transactions, except that Parent will pay 100% of the fees payable in connection with the filings required to be made under the HSR Act and any other Antitrust Law.</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Merger Agreement is governed by Delaware law.</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Tender and Support Agreement</w:t>
      </w:r>
    </w:p>
    <w:p>
      <w:pPr>
        <w:spacing w:after="0" w:line="12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description of the Tender Agreements is qualified in its entirety by reference to the Tender Agreement themselves, a form of which is filed as Exhibit (d)(2) to the Schedule TO, which you may examine and copy as set forth in Section 8—“Certain Information Concerning Neurocrine and Purchaser” above.</w:t>
      </w:r>
    </w:p>
    <w:p>
      <w:pPr>
        <w:spacing w:after="0" w:line="17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entering into the Merger Agreement, Parent and Purchaser entered into a Tender Agreement with each of Anish Bhatnagar, Soleno’s Chief Executive Officer and Chairman of the Company Board, and James Mackaness, Soleno’s former Chief Financial Officer (which we refer to as, each, a “Supporting Stockholder”). As of April 5, 2026, the Supporting Stockholders owned an aggregate of approximately 1.01% of the outstanding Shares.</w:t>
      </w:r>
    </w:p>
    <w:p>
      <w:pPr>
        <w:spacing w:after="0" w:line="180"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Pursuant to the Tender Agreements, each Supporting Stockholder agreed to tender all of such Supporting Stockholder’s Shares as of the date of the Tender Agreement and any additional Shares such Supporting Stockholder acquires prior to the Tender Agreement Expiration Time (as defined below) into the Offer no later than the tenth (10th) Business Day after the commencement of the Offer. If such Supporting Stockholder acquires any Shares after the tenth (10th) Business Day after the commencement of the Offer such Holder will tender into the Offer such Shares prior to the earlier of</w:t>
      </w:r>
    </w:p>
    <w:p>
      <w:pPr>
        <w:spacing w:after="0" w:line="3" w:lineRule="exact"/>
        <w:rPr>
          <w:sz w:val="20"/>
          <w:szCs w:val="20"/>
          <w:color w:val="auto"/>
        </w:rPr>
      </w:pPr>
    </w:p>
    <w:p>
      <w:pPr>
        <w:ind w:left="4" w:right="40" w:hanging="4"/>
        <w:spacing w:after="0" w:line="255"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Business Days following the date that such Holder acquired such Shares and (y) the Tender Agreement Expiration Time. Unless the Tender Agreement terminates in accordance with its terms, once any Supporting Stockholder has tendered its Shares in accordance with the Tender Agreement, such Supporting Stockholder will not withdraw such Supporting Stockholder’s Shares from the Offer at any time.</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4"/>
          </w:cols>
          <w:pgMar w:left="436" w:top="270" w:right="479" w:bottom="1440" w:gutter="0" w:footer="0" w:header="0"/>
        </w:sectPr>
      </w:pPr>
    </w:p>
    <w:bookmarkStart w:id="62" w:name="page63"/>
    <w:bookmarkEnd w:id="62"/>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Tender Agreement further provides that from the date of the Tender Agreement until the Tender Agreement Expiration Time, each Supporting Stockholder will not cause or permit any transfer of any of such Supporting Stockholder’s Shares, other than in connection with certain limited exceptions, and will not tender, agree to tender or permit to be tendered any of such Supporting Stockholder’s Shares in response to, or otherwise in connection with, any tender or exchange offer other than the Offer. The Tender Agreement also provides that each Supporting Stockholder will not</w:t>
      </w:r>
    </w:p>
    <w:p>
      <w:pPr>
        <w:spacing w:after="0" w:line="3" w:lineRule="exact"/>
        <w:rPr>
          <w:sz w:val="20"/>
          <w:szCs w:val="20"/>
          <w:color w:val="auto"/>
        </w:rPr>
      </w:pPr>
    </w:p>
    <w:p>
      <w:pPr>
        <w:ind w:left="4" w:right="40" w:hanging="4"/>
        <w:spacing w:after="0" w:line="251" w:lineRule="auto"/>
        <w:tabs>
          <w:tab w:leader="none" w:pos="2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Shares into a voting trust, or enter into a voting agreement or similar arrangement, or grant or permit the grant of any proxy, power of attorney or other authorization or consent in, or with respect to, the Shares, (ii) create any lien, claim, pledge, grant, hypothecation, obligation, option, charge, proxy, voting trust or other encumbrance or restriction on title, transfer or exercise of any rights of a Holder in respect of such Shares (which we refer to as a “Lien”) on the Shares, except Liens arising under or pursuant to, or imposed by, (A) applicable Law, (B) the Tender Agreement, the Merger Agreement or the Transactions, (C) any Company Stock Awards, any employee benefit plan of the Company, (D) community property laws, (E) any restrictions under applicable federal or state securities laws, (F) security interests or other encumbrances incurred in connection with standard margin account arrangements, (G) securing indebtedness of the Holder, which Liens, upon or prior to Transfer of the Shares in accordance with the terms of the Tender Agreement, will be released, or (H) arising in connection with any Permitted Transfers and (iii) enter into any Contract with respect to any Transfer or Lien prohibited by the terms of the Tender Agreement.</w:t>
      </w:r>
    </w:p>
    <w:p>
      <w:pPr>
        <w:spacing w:after="0" w:line="193"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Tender Agreement, each Supporting Stockholder waived, and agreed not to exercise or assert, on such Supporting Stockholder’s own behalf or on behalf of any other holder of Shares, any rights of appraisal, any dissenters’ rights or any similar rights relating to the Merger that such Supporting Stockholder may have by virtue of, or with respect to, any Shares owned by such Supporting Stockholder.</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Tender Agreement will terminate and the covenants and agreements set forth therein will terminate automatically, without any notice or other action by any person, and shall have no further force and effect as of the earliest to occur of (i) the Effective Time; (ii) the valid termination of the Merger Agreement in accordance with its terms; (iii) any modification or amendment to, or the waiver of any provision of, the Merger Agreement as in effect on the date of the Tender Agreement or the Offer that is effected, in either case, without the Holders’ prior written consent, that results in the Merger Consideration failing to include at least $53.00 in cash per Share; or (iv) the effectiveness of a written agreement executed by the parties to the Tender Agreement to terminate the Tender Agreement (which we refer to as, the earliest of such times in clauses (i) through (iv), the “Tender Agreement Expiration Time”).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w:t>
      </w:r>
    </w:p>
    <w:p>
      <w:pPr>
        <w:spacing w:after="0" w:line="121"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description of the Confidentiality Agreement is qualified in its entirety by reference to such Confidentiality Agreement, which has been filed as Exhibit (d)(3) to the Schedule TO, which may be obtained in the manner set forth in Section 8—“Certain Information Concerning Neurocrine and Purchaser” above.</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On February 24, 2026, Parent and the Company entered into a Confidentiality Agreement (which we refer to as the “Confidentiality Agreement”) pursuant to which, among other things, Parent and the Company agreed, subject to certain exceptions, to keep confidential certain non-public information relating to Parent and the Company in connection with a possible transaction involving Parent and the Company.</w:t>
      </w:r>
    </w:p>
    <w:p>
      <w:pPr>
        <w:spacing w:after="0" w:line="176"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The Confidentiality Agreement contains a customary standstill provision for the benefit of the Company, which is binding on Parent for a period of one (1) year from the date of the Confidentiality Agreement and automatically terminates in the event that (i) either of the parties enter into a definitive written agreement with any person other than Parent or the Company or its controlled affiliates to consummate a transaction involving the acquisition of all or a majority of voting power of each class of such party’s equity securities or all or substantially all of the consolidated assets of such party and its consolidated subsidiaries or (ii) a tender or exchange offer for all or a majority of each class of a party’s outstanding equity securities is commenced by any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63" w:name="page64"/>
    <w:bookmarkEnd w:id="63"/>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other than Parent or the Company or its controlled affiliates and within ten (10) Business Days thereafter the board of directors of the party receiving such tender offer has not publicly taken a position rejecting such tender or exchange offer.</w:t>
      </w:r>
    </w:p>
    <w:p>
      <w:pPr>
        <w:spacing w:after="0" w:line="306" w:lineRule="exact"/>
        <w:rPr>
          <w:sz w:val="20"/>
          <w:szCs w:val="20"/>
          <w:color w:val="auto"/>
        </w:rPr>
      </w:pPr>
    </w:p>
    <w:p>
      <w:pPr>
        <w:ind w:left="960" w:hanging="532"/>
        <w:spacing w:after="0"/>
        <w:tabs>
          <w:tab w:leader="none" w:pos="9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Purpose of the Offer; Plans for Soleno</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Purpose of the Offer</w:t>
      </w:r>
      <w:r>
        <w:rPr>
          <w:rFonts w:ascii="Times New Roman" w:cs="Times New Roman" w:eastAsia="Times New Roman" w:hAnsi="Times New Roman"/>
          <w:sz w:val="18"/>
          <w:szCs w:val="18"/>
          <w:color w:val="auto"/>
        </w:rPr>
        <w:t>. The purpose of the Offer and the Merger is for Neurocrine, through Purchaser, to acquire control of, and the entire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Soleno. The Offer, as the first step in the acquisition of Soleno, is intended to facilitate the acquisition of all outstanding Shares. The purpose of the Merger is to acquire all outstanding Shares not tendered and purchased pursuant to the Offer. If the Offer is successful, Purchaser intends to consummate the Merger as soon as practicable following the Offer Acceptance Time, subject to the satisfaction or waiver of the other conditions set forth in the Merger Agreement.</w:t>
      </w:r>
    </w:p>
    <w:p>
      <w:pPr>
        <w:spacing w:after="0" w:line="185"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If you sell your Shares in the Offer, you will cease to have any equity interest in Soleno or any right to participate in its earnings and future growth. If you do not tender your Shares, but the Merger is consummated, you will also no longer have an equity interest in Soleno. Similarly, after selling your Shares in the Offer or the subsequent Merger, you will not bear the risk of any decrease in the value of Soleno.</w:t>
      </w:r>
    </w:p>
    <w:p>
      <w:pPr>
        <w:spacing w:after="0" w:line="17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Merger Without a Stockholder Vote</w:t>
      </w:r>
      <w:r>
        <w:rPr>
          <w:rFonts w:ascii="Times New Roman" w:cs="Times New Roman" w:eastAsia="Times New Roman" w:hAnsi="Times New Roman"/>
          <w:sz w:val="18"/>
          <w:szCs w:val="18"/>
          <w:color w:val="auto"/>
        </w:rPr>
        <w:t>. If the Offer is consummated, we will not seek the approval of the remaining public stockholders of Soleno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effecting the Merger. Section 251(h) of the DGCL provides that following consummation of a successful tender offer for a public corporation (the shares of which are listed on a national securities exchange or held of record by more than 2,000 holders immediately prior to the execution of the Merger Agreement), and subject to certain statutory provisions, if the acquiring corporation holds at least the amount of shares of each class of stock of the target corporation that would otherwise be required to adopt a merger agreement for the target corporation, and the other stockholders receive the same consideration for their stock in the merger as was payable in the tender offer, the acquiring corporation can effect a merger without the vote of the other stockholders of the target corporation. Accordingly, if we consummate the Offer, we will effect the closing of the Merger without a vote of the stockholders of Soleno in accordance with Section 251(h) of the DGCL, upon the terms and subject to the satisfaction or waiver of the conditions to the Merger as soon as practicable following the Offer Acceptance Time.</w:t>
      </w:r>
    </w:p>
    <w:p>
      <w:pPr>
        <w:spacing w:after="0" w:line="188" w:lineRule="exact"/>
        <w:rPr>
          <w:sz w:val="20"/>
          <w:szCs w:val="20"/>
          <w:color w:val="auto"/>
        </w:rPr>
      </w:pPr>
    </w:p>
    <w:p>
      <w:pPr>
        <w:ind w:right="10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Plans for Soleno</w:t>
      </w:r>
      <w:r>
        <w:rPr>
          <w:rFonts w:ascii="Times New Roman" w:cs="Times New Roman" w:eastAsia="Times New Roman" w:hAnsi="Times New Roman"/>
          <w:sz w:val="17"/>
          <w:szCs w:val="17"/>
          <w:color w:val="auto"/>
        </w:rPr>
        <w:t>. If we accept Shares for payment pursuant to the Offer, we will obtain control over the management of Soleno and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shortly thereafter. Neurocrine and Purchaser are conducting a detailed review of Soleno and its assets, corporate structure, capitalization, operations, properties, policies, management and personnel, and will consider what changes would be desirable in light of the circumstances that exist upon completion of the Offer. Neurocrine and Purchaser will continue to evaluate the business and operations of Soleno during the pendency of the Offer and after the consummation of the Offer and the Merger and will take such actions as they deem appropriate under the circumstances then existing. Thereafter, Neurocrine intends to review such information as part of a comprehensive review of Soleno’s business, operations, capitalization and management with a view to optimizing development of Soleno’s potential in conjunction with Soleno’s and Neurocrine’s existing businesses. We expect that all aspects of Soleno’s business will be fully integrated into Neurocrine. However, plans may change based on further analysis, including changes in Soleno’s business, corporate structure, charter, bylaws, capitalization, Board of Directors and management.</w:t>
      </w:r>
    </w:p>
    <w:p>
      <w:pPr>
        <w:spacing w:after="0" w:line="17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Except as set forth in this Offer to Purchase, including as contemplated in this Section 12—“Purpose of the Offer; Plans for Soleno,” and Section 13—“Certain Effects of the Offer,” Neurocrine and Purchaser have no present plans or proposals that would relate to or result in (i) any extraordinary corporate transaction involving Soleno (such as a merger, reorganization, liquidation, relocation of any operations or sale or other transfer of a material amount of assets), (ii) any sale or transfer of a material amount of assets of Soleno, (iii) any material change in Soleno’s capitalization or dividend policy, (iv) any other material change in Soleno’s corporate structure or business, (v) changes to the management of Soleno or the Company Board, (vi) a class of securities of Soleno being delisted from a national securities exchange or ceasing to be authorized to be quoted in an inter-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4" w:name="page65"/>
    <w:bookmarkEnd w:id="64"/>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dealer quotation system of a registered national securities association or (vii) a class of equity securities of Soleno being eligible for termination of registration pursuant to Section 12(g) of the Exchange Act.</w:t>
      </w:r>
    </w:p>
    <w:p>
      <w:pPr>
        <w:spacing w:after="0" w:line="162"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To the best knowledge of Neurocrine and Purchaser, no employment, equity contribution, or other agreement, arrangement or understanding between any executive officer or director of Soleno, on the one hand, and Neurocrine, Purchaser or Soleno, on the other hand, existed as of the date of the Merger Agreement, nor had there been any discussions regarding such agreements, arrangements or understandings prior to the announcement of the Offer, and the Offer is not conditioned upon any executive officer or director of Soleno entering into any such agreement, arrangement or understanding.</w:t>
      </w:r>
    </w:p>
    <w:p>
      <w:pPr>
        <w:spacing w:after="0" w:line="164"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It is possible that certain members of Soleno’s current management team will enter into new employment arrangements with Neurocrine or the Surviving Company after the completion of the Offer and the Merger. Any such arrangements with the existing management team are currently expected to be entered into after the completion of the Offer and will not become effective until after the completion of the Merger, if at all. There can be no assurance that any parties will reach an agreement on any terms, or at all.</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and officers of the Surviving Company at and immediately following the Effective Time will consist of the members of the Board of Directors and officers, respectively, of Purchaser immediately prior to the Effective Time.</w:t>
      </w:r>
    </w:p>
    <w:p>
      <w:pPr>
        <w:spacing w:after="0" w:line="162"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At the Effective Time, the certificate of incorporation of the Surviving Company will be amended and restated in its entirety so as to read in the form set forth on Exhibit A to the Merger Agreement, and the bylaws of the Surviving Company will be amended and restated in its entirety so as to read in the form set forth on Exhibit B to the Merger Agreement.</w:t>
      </w:r>
    </w:p>
    <w:p>
      <w:pPr>
        <w:spacing w:after="0" w:line="320" w:lineRule="exact"/>
        <w:rPr>
          <w:sz w:val="20"/>
          <w:szCs w:val="20"/>
          <w:color w:val="auto"/>
        </w:rPr>
      </w:pPr>
    </w:p>
    <w:p>
      <w:pPr>
        <w:ind w:left="960" w:hanging="532"/>
        <w:spacing w:after="0"/>
        <w:tabs>
          <w:tab w:leader="none" w:pos="9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Effects of the Offer</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2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Market for the Shares</w:t>
      </w:r>
      <w:r>
        <w:rPr>
          <w:rFonts w:ascii="Times New Roman" w:cs="Times New Roman" w:eastAsia="Times New Roman" w:hAnsi="Times New Roman"/>
          <w:sz w:val="18"/>
          <w:szCs w:val="18"/>
          <w:color w:val="auto"/>
        </w:rPr>
        <w:t>. If the Offer is successful, there will be no market for the Shares because Purchaser intends to consummate the Merger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soon as practicable following the Offer Acceptance Time and subject to the satisfaction or waiver of certain conditions set forth in the Merger Agreement.</w:t>
      </w:r>
    </w:p>
    <w:p>
      <w:pPr>
        <w:spacing w:after="0" w:line="173"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Quotation</w:t>
      </w:r>
      <w:r>
        <w:rPr>
          <w:rFonts w:ascii="Times New Roman" w:cs="Times New Roman" w:eastAsia="Times New Roman" w:hAnsi="Times New Roman"/>
          <w:sz w:val="18"/>
          <w:szCs w:val="18"/>
          <w:color w:val="auto"/>
        </w:rPr>
        <w:t>. The Shares are currently listed on Nasdaq. Immediately following the consummation of the Merger (which is expected to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soon as practicable following the Offer Acceptance Time), the Shares will no longer meet the requirements for continued listing on Nasdaq because the only stockholder will be Neurocrine. Immediately following the consummation of the Merger, we intend and will cause Soleno to delist the Shares from Nasdaq.</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The Shares are currently “margin securities” under the Regulations of the Board of Governors of the Federal Reserve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refer to as the “Federal Reserve Board”), which has the effect, among other things, of allowing brokers to extend credit on the collateral of the Shares. Depending upon factors similar to those described above regarding the market for the Shares and stock quotations, it is possible that, following the Offer, the Shares would no longer constitute “margin securities” for the purposes of the margin regulations of the Federal Reserve Board and, therefore, could no longer be used as collateral for loans made by brokers.</w:t>
      </w:r>
    </w:p>
    <w:p>
      <w:pPr>
        <w:spacing w:after="0" w:line="183"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Exchange Act Registration</w:t>
      </w:r>
      <w:r>
        <w:rPr>
          <w:rFonts w:ascii="Times New Roman" w:cs="Times New Roman" w:eastAsia="Times New Roman" w:hAnsi="Times New Roman"/>
          <w:sz w:val="18"/>
          <w:szCs w:val="18"/>
          <w:color w:val="auto"/>
        </w:rPr>
        <w:t>. The Shares are currently registered under the Exchange Act. Such registration may be terminated upon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Soleno to the SEC if the Shares are neither listed on a national securities exchange nor held by 300 or more holders of record. Termination of registration of the Shares under the Exchange Act would substantially reduce the information required to be furnished by Soleno to its stockholders and to the SEC and would make certain provisions of the Exchange Act no longer applicable to Soleno, such as the short-swing profit recovery provisions of Section 16(b) of the Exchange Act, the requirement of furnishing a proxy statement or information statement in connection with stockholders’ meetings or actions in lieu of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65" w:name="page66"/>
    <w:bookmarkEnd w:id="65"/>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meeting pursuant to Sections 14(a) and 14(c) of the Exchange Act in connection with stockholders’ meetings and the related requirement of furnishing an annual report to stockholders and the requirements of Rule 13e-3 under the Exchange Act with respect to “going private” transactions. Furthermore, the ability of “affiliates” of Soleno and persons holding “restricted securities” of Soleno to dispose of such securities pursuant to Rule 144 promulgated under the Securities Act may be impaired or eliminated. We intend to and will cause Soleno to terminate the registration of the Shares under the Exchange Act as soon as possible after consummation of the Merger if the requirements for termination of registration are met.</w:t>
      </w:r>
    </w:p>
    <w:p>
      <w:pPr>
        <w:spacing w:after="0" w:line="328" w:lineRule="exact"/>
        <w:rPr>
          <w:sz w:val="20"/>
          <w:szCs w:val="20"/>
          <w:color w:val="auto"/>
        </w:rPr>
      </w:pPr>
    </w:p>
    <w:p>
      <w:pPr>
        <w:ind w:left="960" w:hanging="532"/>
        <w:spacing w:after="0"/>
        <w:tabs>
          <w:tab w:leader="none" w:pos="9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Dividends and Distributions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during the pre-closing period, except as otherwise required or expressly permitted in the Merger Agreement, the Acquired Corporations will not declare, set aside, or pay any dividend or make any other distribution in respect of any shares of its capital stock (including the Shares). See Section 11—“The Transaction Documents—The Merger Agreement—Operating Covenants” above.</w:t>
      </w:r>
    </w:p>
    <w:p>
      <w:pPr>
        <w:spacing w:after="0" w:line="320" w:lineRule="exact"/>
        <w:rPr>
          <w:sz w:val="20"/>
          <w:szCs w:val="20"/>
          <w:color w:val="auto"/>
        </w:rPr>
      </w:pPr>
    </w:p>
    <w:p>
      <w:pPr>
        <w:ind w:left="960" w:hanging="532"/>
        <w:spacing w:after="0"/>
        <w:tabs>
          <w:tab w:leader="none" w:pos="9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Conditions to the Offer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withdrawn) pursuant to the Offer is subject to the satisfaction of the conditions set forth in the clauses below.</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 of the Offer or the Merger Agreement to the contrary, Purchaser shall not be required to accept for payment or (subject to any applicable rules and regulations of the SEC, including Rule 14e-1(c) under the Exchange Act) pay for, and may delay the acceptance for payment of, or (subject to any such rules and regulations) the payment for, any validly tendered (and not validly withdrawn) Shares, and, to the extent permitted by the Merger Agreement, may (x) terminate the Offer: (i) upon termination of the Merger Agreement; and (ii) at any scheduled Expiration Date (subject to any extensions of the Offer pursuant to the terms of the Merger Agreement) or (y) amend the Offer as otherwise permitted by the Merger Agreement, if (in the case of (x) or (y)): (A) the Minimum Condition shall not be satisfied as of one (1) minute following 11:59 p.m. Eastern Time on the Expiration Date of the Offer; or (B) any of the additional conditions set forth in clauses “(ii)” through “(viii)” below shall not be satisfied or waived in writing by Neurocrine as of one (1) minute following 11:59 p.m. Eastern Time on the Expiration Date of the Offer:</w:t>
      </w:r>
    </w:p>
    <w:p>
      <w:pPr>
        <w:spacing w:after="0" w:line="97" w:lineRule="exact"/>
        <w:rPr>
          <w:sz w:val="20"/>
          <w:szCs w:val="20"/>
          <w:color w:val="auto"/>
        </w:rPr>
      </w:pPr>
    </w:p>
    <w:p>
      <w:pPr>
        <w:ind w:left="960" w:right="20" w:hanging="532"/>
        <w:spacing w:after="0" w:line="266"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validly tendered and not validly withdrawn Shares that, considered together with all other Shares (if any) beneficially owned by Neurocrine and its subsidiaries, represent one more Share than 50% of the total number of Shares outstanding at the time of the expiration of the Offer (i.e., the Minimum Condition);</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Soleno (a) set forth in Section 4.1(d) (Organization and Qualification), Section 4.2(a) and</w:t>
      </w:r>
    </w:p>
    <w:p>
      <w:pPr>
        <w:spacing w:after="0" w:line="27" w:lineRule="exact"/>
        <w:rPr>
          <w:rFonts w:ascii="Times New Roman" w:cs="Times New Roman" w:eastAsia="Times New Roman" w:hAnsi="Times New Roman"/>
          <w:sz w:val="18"/>
          <w:szCs w:val="18"/>
          <w:color w:val="auto"/>
        </w:rPr>
      </w:pPr>
    </w:p>
    <w:p>
      <w:pPr>
        <w:ind w:left="9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Section 4.2(d) (Capitalization) of the Merger Agreement were true and correct in all respects as of the date of the Merger Agreement and will be true and correct in all respects at and as of the Offer Acceptance Time as if made at and as of the Offer Acceptance Time, except for </w:t>
      </w:r>
      <w:r>
        <w:rPr>
          <w:rFonts w:ascii="Times New Roman" w:cs="Times New Roman" w:eastAsia="Times New Roman" w:hAnsi="Times New Roman"/>
          <w:sz w:val="17"/>
          <w:szCs w:val="17"/>
          <w:i w:val="1"/>
          <w:iCs w:val="1"/>
          <w:color w:val="auto"/>
        </w:rPr>
        <w:t xml:space="preserve">de minimis </w:t>
      </w:r>
      <w:r>
        <w:rPr>
          <w:rFonts w:ascii="Times New Roman" w:cs="Times New Roman" w:eastAsia="Times New Roman" w:hAnsi="Times New Roman"/>
          <w:sz w:val="17"/>
          <w:szCs w:val="17"/>
          <w:color w:val="auto"/>
        </w:rPr>
        <w:t>inaccuracies; (b) set forth in Section 4.1 (Organization and Qualification) (other than Section 4.1(d)), Section 4.3 (Corporate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Power; Enforceability), Section 4.4 (Company Board Approval), Section 4.5 (No Vote Required), Section 4.10 (Brokers; Certain Expenses), Section 4.24 (Opinion of Financial Advisor of Soleno) and Section 4.25 (State Takeover Statutes Inapplicable) of the Merger Agreement were true and correct (in each case, without giving effect to any limitation as to “materiality” or “Company Material Adverse Effect” set forth in any such representation or warranty) in all material respects as of the date of the Merger Agreement, and will be so true and correct in all material respects at and as of the Offer Acceptance Time as if made at and as of the Offer Acceptance Time; (c) set forth in clause “(a)” of the first sentence of Section 4.9 (Absence of Certain Changes) were true and correct in all respects as of the date of the Merger Agreement and will be true and correct in all respects at and as of the Offer Acceptance Time as if made at and as of such time; and</w:t>
      </w:r>
    </w:p>
    <w:p>
      <w:pPr>
        <w:spacing w:after="0" w:line="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set forth in the Merger Agreement (other than those referred to in the immediately preceding clauses “(a)”,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66" w:name="page67"/>
    <w:bookmarkEnd w:id="66"/>
    <w:p>
      <w:pPr>
        <w:ind w:left="9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or “(c)”) were true and correct in all respects (in each case, without giving effect to any limitation as to “materiality” or “Company Material Adverse Effect” set forth in any such representation or warranty) as of the date of the Merger Agreement, and will be so true and correct in all respects at and as of the Offer Acceptance Time as if made at and as of such time, except where the failure of such representations and warranties (considered collectively) to be so true and correct would not reasonably be expected to have, individually or in the aggregate, a Company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of the immediately preceding clauses “(a)”, “(b)”, “(c)” or “(d)”, the accuracy of those representations or warranties that address matters only as of a specific date shall be measured (subject to the applicable materiality standard as set forth in the applicable clause) as of such date only (i.e., the Representations Condition);</w:t>
      </w:r>
    </w:p>
    <w:p>
      <w:pPr>
        <w:spacing w:after="0" w:line="94" w:lineRule="exact"/>
        <w:rPr>
          <w:sz w:val="20"/>
          <w:szCs w:val="20"/>
          <w:color w:val="auto"/>
        </w:rPr>
      </w:pPr>
    </w:p>
    <w:p>
      <w:pPr>
        <w:ind w:left="960" w:right="560" w:hanging="532"/>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Soleno shall have complied with or performed in all material respects all of the covenants and agreements that Soleno is required to comply with or perform at or prior to the Offer Acceptance Time (i.e., the Obligations Condition);</w:t>
      </w:r>
    </w:p>
    <w:p>
      <w:pPr>
        <w:spacing w:after="0" w:line="67"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shall not have been any Company Material Adverse Effect (i.e., the Company Material Adverse Effect Condition);</w:t>
      </w:r>
    </w:p>
    <w:p>
      <w:pPr>
        <w:spacing w:after="0" w:line="67"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waiting periods under the HSR Act and the required antitrust approvals shall have expired or been terminated (including any timing agreement entered into with any Governmental Authority) and any approvals or clearances required thereunder shall have been obtained (i.e., the Regulatory Condition to the Offer);</w:t>
      </w:r>
    </w:p>
    <w:p>
      <w:pPr>
        <w:spacing w:after="0" w:line="81" w:lineRule="exact"/>
        <w:rPr>
          <w:rFonts w:ascii="Times New Roman" w:cs="Times New Roman" w:eastAsia="Times New Roman" w:hAnsi="Times New Roman"/>
          <w:sz w:val="18"/>
          <w:szCs w:val="18"/>
          <w:color w:val="auto"/>
        </w:rPr>
      </w:pPr>
    </w:p>
    <w:p>
      <w:pPr>
        <w:ind w:left="960" w:right="120" w:hanging="532"/>
        <w:spacing w:after="0" w:line="261"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jurisdiction that is within a jurisdiction that is material to the business and operations of Soleno or Neurocrine shall have issued an order, decree or ruling (whether temporary, preliminary or permanent) that (x) restrains, enjoins or otherwise prohibits the acceptance for payment of Shares pursuant to the Offer or the Merger or (y) makes the consummation of the Offer or the Merger illegal (i.e., the Governmental Authority Condition to the Offer);</w:t>
      </w:r>
    </w:p>
    <w:p>
      <w:pPr>
        <w:spacing w:after="0" w:line="85"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Neurocrine and Purchaser shall have received a certificate executed on behalf of Soleno by Soleno’s Chief Executive Officer, acting in such capacity, and not in his or her capacity as an individual, confirming that the conditions set forth in clauses “(ii),” “(iii)” and “(iv)” of this Annex I have been duly satisfied (i.e., the Officer Certificate Condition);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shall not have been terminated in accordance with its terms (i.e., the Termination Condition).</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foregoing conditions are for the sole benefit of Neurocrine and Purchaser, may be asserted by Neurocrine or Purchaser and (except for the Minimum Condition) may be waived by Neurocrine or Purchaser in whole or in part at any time and from time to time in the sole discretion of Neurocrine or Purchaser, subject in each case to the terms of the Merger Agreement and the applicable rules and regulations of the SEC.</w:t>
      </w:r>
    </w:p>
    <w:p>
      <w:pPr>
        <w:spacing w:after="0" w:line="320" w:lineRule="exact"/>
        <w:rPr>
          <w:sz w:val="20"/>
          <w:szCs w:val="20"/>
          <w:color w:val="auto"/>
        </w:rPr>
      </w:pPr>
    </w:p>
    <w:p>
      <w:pPr>
        <w:ind w:left="960" w:hanging="532"/>
        <w:spacing w:after="0"/>
        <w:tabs>
          <w:tab w:leader="none" w:pos="9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Legal Matters; Regulatory Approvals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Except as described in this Section 16, based on our examination of publicly available information filed by Soleno with the SEC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information concerning Soleno, we are not aware of any governmental license or regulatory permit that appears to be material to Soleno’s business that might be adversely affected by our acquisition of Shares as contemplated herein or of any approval or other action by any governmental, administrative or regulatory authority or agency, domestic or foreign, that would be required for the acquisition or ownership of Shares by Purchaser or Neurocrine as contemplated herein. Should any such approval or other action be required, we currently contemplate that, except as described below under “State Takeover Laws,” such approval or other action will be sought. While we do not currently intend to delay acceptance for payment of Shares tendered pursuant to the Offer pending the outcome of any such matter, there can be no assurance that any such approval or other action, if needed, would be obtained or would be obtained without substantial conditions or that if such approvals were not obtained or such other actions were not taken, adverse consequences might not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67" w:name="page68"/>
    <w:bookmarkEnd w:id="67"/>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 to Soleno’s business, any of which under certain conditions specified in the Merger Agreement, could cause us to elect to terminate the Offer without the purchase of Shares thereunder under certain conditions. See Section 15—“Conditions to the Offer.”</w:t>
      </w:r>
    </w:p>
    <w:p>
      <w:pPr>
        <w:spacing w:after="0" w:line="160"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Compliance with the HSR Act</w:t>
      </w:r>
      <w:r>
        <w:rPr>
          <w:rFonts w:ascii="Times New Roman" w:cs="Times New Roman" w:eastAsia="Times New Roman" w:hAnsi="Times New Roman"/>
          <w:sz w:val="18"/>
          <w:szCs w:val="18"/>
          <w:color w:val="auto"/>
        </w:rPr>
        <w:t>. Under the HSR Act, and the related rules and regulations promulgated thereunder, certain transactions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until notifications have been given and information has been furnished to the FTC and the Antitrust Division and all statutory waiting period requirements have been satisfied.</w:t>
      </w:r>
    </w:p>
    <w:p>
      <w:pPr>
        <w:spacing w:after="0" w:line="1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At any time, including before or after the expiration of the statutory waiting periods under the HSR Act if a filing has been made pursuant the HSR Act, or before or after the effective time, the U.S. Department of Justice or the FTC may take action under the antitrust laws, including seeking to enjoin the completion of the Offer or Merger, to rescind the Offer or Merger or to conditionally permit completion of the Offer or Merger subject to regulatory conditions or other remedies. In addition, U.S. state attorneys general could take action under the antitrust laws as they deem necessary or desirable in the public interest, including, without limitation, seeking to enjoin the completion of the Offer or Merger or permitting completion subject to regulatory conditions. Private parties may also seek to take legal action under the antitrust laws under some circumstances. Although neither Neurocrine nor Soleno believes that the Offer or Merger violates the antitrust laws, there can be no assurance that a challenge to the Offer or Merger on antitrust grounds will not be made or, if such a challenge is made, that it would not be successful.</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Section 15—“Conditions to the Offer.”</w:t>
      </w:r>
    </w:p>
    <w:p>
      <w:pPr>
        <w:spacing w:after="0" w:line="22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State Takeover Laws</w:t>
      </w:r>
      <w:r>
        <w:rPr>
          <w:rFonts w:ascii="Times New Roman" w:cs="Times New Roman" w:eastAsia="Times New Roman" w:hAnsi="Times New Roman"/>
          <w:sz w:val="18"/>
          <w:szCs w:val="18"/>
          <w:color w:val="auto"/>
        </w:rPr>
        <w:t>. Soleno is incorporated under the laws of the State of Delaware. In general, Section 203 of the DGCL prevents a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from engaging in a “business combination” (defined to include mergers and certain other actions) with an “interested stockholder” (including a person who owns or has the right to acquire 15% or more of a corporation’s outstanding voting stock) for a period of three (3) years following the date such person became an “interested stockholder” of such corporation unless, among other things, the “business combination” or the transaction by which such person became an “interested stockholder” is approved by the board of directors of such corporation before such person became an “interested stockholder.” The Company Board has taken all action necessary under the DGCL to ensure that no such restrictions apply to the Offer, the Merger, the Tender Agreements or any other transactions contemplated by the Merger Agreement and has approved the Merger Agreement and the transactions contemplated thereby, including the Offer and the Merger, for purposes of Section 203 of the DGCL. We have also represented to Soleno that neither Neurocrine nor Purchaser, for the three (3) years prior to the date of the Merger Agreement, has been an “interested stockholder” of Soleno under Section 203(c) of the DGCL.</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Soleno, directly or through subsidiaries, may be deemed to be conducting business in a number of states throughout the United States, some of which have enacted takeover laws. We do not know whether any of these laws will, by their terms, apply to the Offer or the Merger and have not attempted to comply with any such laws. Should any person seek to apply any state takeover law, we will take such action as then appears desirable, which may include challenging the validity or applicability of any such statute in appropriate court proceedings. In the event any person asserts that the takeover laws of any state are applicable to the Offer or the Merger, and an appropriate court does not determine that it is inapplicable or invalid as applied to the Offer or the Merger, we may be required to file certain information with, or receive approvals from, the relevant state authorities. In addition, if enjoined, we may be unable to accept for payment any Shares tendered pursuant to the Offer, or be delayed in continuing or consummating the Offer and the Merger. In such case, we may not be obligated to accept for payment any Shares tendered in the Offer. See Section 15—“Conditions to the Offer.”</w:t>
      </w:r>
    </w:p>
    <w:p>
      <w:pPr>
        <w:spacing w:after="0" w:line="186"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Going Private Transactions</w:t>
      </w:r>
      <w:r>
        <w:rPr>
          <w:rFonts w:ascii="Times New Roman" w:cs="Times New Roman" w:eastAsia="Times New Roman" w:hAnsi="Times New Roman"/>
          <w:sz w:val="18"/>
          <w:szCs w:val="18"/>
          <w:color w:val="auto"/>
        </w:rPr>
        <w:t>. The SEC has adopted Rule 13e-3 under the Exchange Act, which is applicable to certain “going private”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which may under certain circumstances be applicable to the Merger or other business combination following the purchase of Shares pursuant to the Offer in which we seek to acquire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68" w:name="page69"/>
    <w:bookmarkEnd w:id="68"/>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remaining Shares not then held by us. We believe that Rule 13e-3 under the Exchange Act will not be applicable to the Merger because (i) we were not, at the time the Merger Agreement was executed, and are not, an affiliate of Soleno (for purposes of the Exchange Act), (ii) it is anticipated that the Merger will be effected as soon as practicable after the consummation of the Offer (and in any event within one (1) year following the consummation of the Offer) and (iii) in the Merger, stockholders will receive the same consideration per Share as the Offer Price.</w:t>
      </w:r>
    </w:p>
    <w:p>
      <w:pPr>
        <w:spacing w:after="0" w:line="178"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Stockholder Approval Not Required</w:t>
      </w:r>
      <w:r>
        <w:rPr>
          <w:rFonts w:ascii="Times New Roman" w:cs="Times New Roman" w:eastAsia="Times New Roman" w:hAnsi="Times New Roman"/>
          <w:sz w:val="18"/>
          <w:szCs w:val="18"/>
          <w:color w:val="auto"/>
        </w:rPr>
        <w:t>. Section 251(h) of the DGCL provides that stockholder approval of a merger is not required if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are met, including that (1) the acquiring company consummates a tender offer for any and all of the outstanding common stock of Soleno to be acquired that, absent Section 251(h) of the DGCL, would be entitled to vote on the merger, and (2) following the consummation of such tender offer, the acquiring company owns at least such percentage of the stock of Soleno to be acquired that, absent Section 251(h) of the DGCL, would be required to adopt the merger. If the Minimum Condition is satisfied and we accept Shares for payment pursuant to the Offer, we will have received a sufficient number of Shares to ensure that Soleno will not be required to submit the adoption of the Merger Agreement to a vote of the stockholders of Soleno. Following the consummation of the Offer and subject to the satisfaction of the remaining conditions set forth in the Merger Agreement, Neurocrine, Purchaser and Soleno will take all necessary and appropriate action to effect the Merger as soon as practicable after the Offer Acceptance Time, without a meeting of stockholders of Soleno in accordance with Section 251(h) of the DGCL.</w:t>
      </w:r>
    </w:p>
    <w:p>
      <w:pPr>
        <w:spacing w:after="0" w:line="335" w:lineRule="exact"/>
        <w:rPr>
          <w:sz w:val="20"/>
          <w:szCs w:val="20"/>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Appraisal Rights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No appraisal rights are available to the holders or beneficial owners of Shares in connection with the Offer. Unless otherwise specified expressly herein, all references to a “beneficial owner” are to a person who is the beneficial owner of Shares held either in voting trust or by a nominee on behalf of such person. If the Merger is consummated, appraisal rights will be available in connection with the Merger as further described below, but, although the availability of appraisal rights depends on the Merger being consummated, stockholders and beneficial owners who wish to exercise such appraisal rights must do so within the later of the consummation of the Offer and twenty (20) days after the date that the notice of appraisal rights is given. If the Merger is consummated, the holders and beneficial owners of Shares immediately prior to the Effective Time who (i) did not tender their Shares in the Offer; (ii) demand appraisal in accordance with the procedures set forth in Section 262 of the DGCL; and (iii) do not thereafter withdraw their demand for appraisal of such Shares or otherwise lose their appraisal rights, in each case in accordance with the DGCL, will be entitled to have their Shares appraised by the Delaware Court of Chancery and receive payment of the “fair value” of such Shares, exclusive of any element of value arising from the accomplishment or expectation of the Merger, together with interest, if any, as determined by such court.</w:t>
      </w:r>
    </w:p>
    <w:p>
      <w:pPr>
        <w:spacing w:after="0" w:line="19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any Shares could be based upon considerations other than, or in addition to, the consideration paid in the Offer and the market value of such Shares. Holders and beneficial owners of Shares should recognize that the value so determined could be higher or lower than, or the same as, the Offer Price or the consideration payable in the Merger (which is equivalent in amount to the Offer Price). Moreover, we may argue in an appraisal proceeding that, for purposes of such proceeding, the fair value of such Shares is less than such amount.</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Under Section 262 of the DGCL, where a merger is approved under Section 251(h), either a constituent corporation before the effective date of the merger, or the surviving corporation within ten (10) days thereafter, shall notify each of the holders of any class or series of stock of such constituent corporation who are entitled to appraisal rights of the approval of the merger and that appraisal rights are available for any or all shares of such class or series of stock of such constituent corporation, and shall include in such notice a copy of Section 262 of the DGCL or information directing the stockholders to a publicly available electronic resource at which Section 262 of the DGCL may be accessed without subscription or cost. </w:t>
      </w:r>
      <w:r>
        <w:rPr>
          <w:rFonts w:ascii="Times New Roman" w:cs="Times New Roman" w:eastAsia="Times New Roman" w:hAnsi="Times New Roman"/>
          <w:sz w:val="18"/>
          <w:szCs w:val="18"/>
          <w:b w:val="1"/>
          <w:bCs w:val="1"/>
          <w:color w:val="auto"/>
        </w:rPr>
        <w:t>The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14D-9 will constitute the formal notice of appraisal rights under Section 262 of the DGCL.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69" w:name="page70"/>
    <w:bookmarkEnd w:id="6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will be described more fully in the Schedule 14D-9, if a stockholder or beneficial owner elects to exercise appraisal rights under Section 262 of the DGCL, such stockholder or beneficial owner must do all of the following:</w:t>
      </w:r>
    </w:p>
    <w:p>
      <w:pPr>
        <w:spacing w:after="0" w:line="67" w:lineRule="exact"/>
        <w:rPr>
          <w:sz w:val="20"/>
          <w:szCs w:val="20"/>
          <w:color w:val="auto"/>
        </w:rPr>
      </w:pPr>
    </w:p>
    <w:p>
      <w:pPr>
        <w:ind w:left="960" w:right="20" w:hanging="424"/>
        <w:spacing w:after="0" w:line="254"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later of the consummation of the Offer and twenty (20) days after the mailing of the Schedule 14D-9, deliver to Soleno a written demand for appraisal of Shares held or beneficially owned, which demand must reasonably inform Soleno of the identity of the stockholder or beneficial owner, as applicable, and that the stockholder or beneficial owner, as applicable intends thereby to demand appraisal of such Shares (and, in the case of a demand made by a beneficial owner, the demand must reasonably identify the holder of record of the Shares for which the demand is made, be accompanied by documentary evidence of the beneficial owner’s beneficial ownership of the Shares for which appraisal is demanded, include a statement that such documentary evidence is a true and correct copy of what it purports to be and provide an address at which the beneficial owner consents to receive notices given by the Surviving Company in the Merger under Section 262 and to be set forth on the verified list required by subsection (f) of Section 262);</w:t>
      </w:r>
    </w:p>
    <w:p>
      <w:pPr>
        <w:spacing w:after="0" w:line="9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their Shares in the Offer; and</w:t>
      </w:r>
    </w:p>
    <w:p>
      <w:pPr>
        <w:spacing w:after="0" w:line="130" w:lineRule="exact"/>
        <w:rPr>
          <w:rFonts w:ascii="Times New Roman" w:cs="Times New Roman" w:eastAsia="Times New Roman" w:hAnsi="Times New Roman"/>
          <w:sz w:val="18"/>
          <w:szCs w:val="18"/>
          <w:color w:val="auto"/>
        </w:rPr>
      </w:pPr>
    </w:p>
    <w:p>
      <w:pPr>
        <w:jc w:val="both"/>
        <w:ind w:left="960" w:right="240" w:hanging="424"/>
        <w:spacing w:after="0" w:line="266"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the Shares from the date on which the written demand for appraisal is made through the Effective Time (if a stockholder who demanded appraisal transfers or a beneficial owner who demanded appraisal ceases to beneficially own the Shares before the Effective Time, such person will lose appraisal rights with respect to the Shares).</w:t>
      </w:r>
    </w:p>
    <w:p>
      <w:pPr>
        <w:spacing w:after="0" w:line="172"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foregoing description is a summary of the appraisal rights of stockholders and beneficial owners under the DGCL and the procedures to be followed by stockholders and beneficial owners desiring to exercise any appraisal rights available thereunder. The foregoing summary is qualified in its entirety by reference to Section 262 of the DGCL. The proper exercise of appraisal rights requires strict and timely adherence to the applicable provisions of the DGCL. A copy of Section 262 of the DGCL may be accessed without subscription or cost at the following website: https://delcode.delaware.gov/title8/c001/sc09/index.html#262.</w:t>
      </w:r>
    </w:p>
    <w:p>
      <w:pPr>
        <w:spacing w:after="0" w:line="179"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provided above is for informational purposes only with respect to your alternatives if the Merger is consummated. If you tender your Shares pursuant to the Offer, you will not be entitled to exercise appraisal rights with respect to your Shares but, instead, subject to the Offer Conditions, you will receive the Offer Price for your Shares.</w:t>
      </w:r>
    </w:p>
    <w:p>
      <w:pPr>
        <w:spacing w:after="0" w:line="319" w:lineRule="exact"/>
        <w:rPr>
          <w:sz w:val="20"/>
          <w:szCs w:val="20"/>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Fees and Expenses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Neurocrine has retained MacKenzie Partners, Inc. to be the Information Agent and Equiniti Trust Company, LLC to be the Depositary in connection with the Offer. The Information Agent may contact holders of Shares by mail, telephone, telecopy, telegraph and personal interview and may request banks, brokers, dealers and other nominees to forward materials relating to the Offer to beneficial owners of Shares.</w:t>
      </w:r>
    </w:p>
    <w:p>
      <w:pPr>
        <w:spacing w:after="0" w:line="176"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Information Agent and the Depositary will each receive reasonable and customary compensation for their respective services in connection with the Offer, will be reimbursed for reasonable out-of-pocket expenses and will be indemnified against certain liabilities and expenses in connection therewith, including certain liabilities under federal securities laws.</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Neither Neurocrine nor Purchaser will pay any fees or commissions to any broker or dealer or to any other person (other than to the Depositary and the Information Agent) in connection with the solicitation of tenders of Shares pursuant to the Offer. Brokers, dealers, commercial banks and trust companies will, upon request, be reimbursed by Purchaser for customary mailing and handling expenses incurred by them in forwarding offering materials to their customers. In those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0" w:name="page71"/>
    <w:bookmarkEnd w:id="70"/>
    <w:p>
      <w:pPr>
        <w:ind w:left="960" w:hanging="532"/>
        <w:spacing w:after="0"/>
        <w:tabs>
          <w:tab w:leader="none" w:pos="9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making of the Offer in jurisdictions other than the U.S. may be restricted or prohibited by law. We are not currently aware of any jurisdiction where the making of the Offer is restricted or prohibited by law. If we become aware of any such restriction or prohibition on the making of the Offer or the acceptance of the Shares, we will make a good faith effort to comply or seek to have such prohibition or restriction declared inapplicable to the Offer. If, after a good faith effort, we cannot comply, we will not make the Offer to, nor will we accept tenders from or on behalf of, the holders of Shares in that jurisdiction. If you are in any doubt as to your eligibility to participate in the Offer, you should contact your professional adviser immediately. In those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18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No person has been authorized to give any information or to make any representation on behalf of Neurocrine or Purchaser not contained herein or in the Letter of Transmittal, and, if given or made, such information or representation must not be relied upon as having been authorized. No broker, dealer, bank, trust company, fiduciary or other person shall be deemed to be the agent of Purchaser, Depositary or the Information Agent for the purpose of the Offer.</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Neurocrine and Purchaser have filed with the SEC a Tender Offer Statement on Schedule TO pursuant to Rule 14d-3 of the General Rules and Regulations under the Exchange Act, together with exhibits furnishing certain additional information with respect to the Offer, and may file amendments thereto. Soleno has advised Neurocrine and Purchaser that it will file with the SEC on the date on which Neurocrine and Purchaser file the Offer documents with the SEC its Solicitation/Recommendation Statement on Schedule 14D-9 setting forth the recommendation of the Company Board with respect to the Offer and the reasons for such recommendation and furnishing certain additional related information. Copies of such documents, and any amendments thereto, may, when filed, be obtained from the SEC in the manner set forth under Section 7—“Certain Information Concerning Soleno” above.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Sigma Merger Sub,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66" w:right="4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I—INFORMATION RELATING TO NEUROCRINE AND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Neurocrine</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Neurocrine’s directors and executive officers as of April 20, 2026. The current business address of each person is c/o Neurocrine Biosciences, Inc., 6027 Edgewood Bend Court, San Diego, California 92130, and the business telephone number is (858) 617-7600. Except as provided below, all directors and executive officers listed below are citizens of the United States.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Kyle W. Gano, Ph.D.</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C. Abernethy</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Benevich</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 Boyer</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Chief Corporate Affairs Officer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S. Cooke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Ingrid Delaet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Chief Regulatory Officer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Sanjay Keswani, M.D.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Darin M. Lippoldt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Jude Onyia, Ph.D.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Ratz, Ph.D.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Chief Technical Operations Officer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C. Gorman, Ph.D.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A. Lyons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Johanna Mercier</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J. Morrow</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V. Norwalk</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A. Poon</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F. Pops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H. Rastetter, Ph.D.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Shalini Sharp</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A. Sherwin, M.D.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Neurocrine</w:t>
      </w:r>
    </w:p>
    <w:p>
      <w:pPr>
        <w:spacing w:after="0" w:line="117"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Kyle W. Gano, Ph.D. </w:t>
      </w:r>
      <w:r>
        <w:rPr>
          <w:rFonts w:ascii="Times New Roman" w:cs="Times New Roman" w:eastAsia="Times New Roman" w:hAnsi="Times New Roman"/>
          <w:sz w:val="18"/>
          <w:szCs w:val="18"/>
          <w:color w:val="auto"/>
        </w:rPr>
        <w:t>was appointed to serve as President and CEO of Neurocrine in October 2024 after having served as Chief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Strategy Officer since 2020 and Chief Business Development Officer since 2011. From 2001 to 2011, Dr. Gano held several positions of increasing responsibility at Neurocrine spanning marketing analytics to business development. He has served on Neurocrine’s Board of Directors since October 2024 and currently serves on the Board of Directors of the Pharmaceutical Research and Manufacturers of America (PhRMA). Dr. Gano received his B.S. in Chemistry from the University of Oregon, B.S. in Biochemistry from the University of Washington, and his M.B.A. and Ph.D. in Organic Chemistry from the University of California, Los Angeles.</w:t>
      </w:r>
    </w:p>
    <w:p>
      <w:pPr>
        <w:spacing w:after="0" w:line="182"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C. Abernethy </w:t>
      </w:r>
      <w:r>
        <w:rPr>
          <w:rFonts w:ascii="Times New Roman" w:cs="Times New Roman" w:eastAsia="Times New Roman" w:hAnsi="Times New Roman"/>
          <w:sz w:val="18"/>
          <w:szCs w:val="18"/>
          <w:color w:val="auto"/>
        </w:rPr>
        <w:t>was appointed Chief Financial Officer in November 2017 and is responsible for leading corporate finance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technology, investor relations, and facilities at Neurocrine Biosciences. Mr. Abernethy also currently serves on the Board of Directors of The Jacobs &amp; Cushman San Diego Food Bank and California Life Sciences, each a nonprofit organization, and on the Board of Directors of Fate Therapeutics, Inc., a publicly traded clinical-stage biopharmaceutical company. Mr. Abernethy has over 15 years of biotech and medical device experience in finance and investor relations. He joined Neurocrine Biosciences from Zimmer Biomet, where he held various positions from February 2009 to November 2017, including most recently, Vice President, Investor Relations and Treasurer and Vice President of Finance for the Americas and Global Product Engines. He began his career with KPMG LLP and became a certified public accountant (inactive). Mr. Abernethy earned his B.S. in Accounting and Business Administration from Grace College and an MBA from the University of Chicago.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66" w:right="439" w:bottom="1440" w:gutter="0" w:footer="0" w:header="0"/>
        </w:sectPr>
      </w:pPr>
    </w:p>
    <w:bookmarkStart w:id="72" w:name="page73"/>
    <w:bookmarkEnd w:id="72"/>
    <w:p>
      <w:pPr>
        <w:ind w:firstLine="440"/>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Eric Benevich </w:t>
      </w:r>
      <w:r>
        <w:rPr>
          <w:rFonts w:ascii="Times New Roman" w:cs="Times New Roman" w:eastAsia="Times New Roman" w:hAnsi="Times New Roman"/>
          <w:sz w:val="17"/>
          <w:szCs w:val="17"/>
          <w:color w:val="auto"/>
        </w:rPr>
        <w:t>was appointed Chief Commercial Officer in May 2015 and is responsible for all aspects of commercial development, marketing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sales of the Neurocrine Biosciences product portfolio. Mr. Benevich has over 30 years of commercial experience in the pharmaceutical industry and previously served in various positions of increasing responsibility at AstraZeneca, Amgen, Peninsula Pharmaceuticals and Avanir Pharmaceuticals in the sales and marketing of drugs such as Prilosec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Enbrel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Neudexta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Mr. Benevich also currently serves on the board of aTyr Pharma, Inc., a publicly traded clinical stage biotechnology company. Mr. Benevich has a BBA in International Business from Washington State University.</w:t>
      </w:r>
    </w:p>
    <w:p>
      <w:pPr>
        <w:spacing w:after="0" w:line="18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W. Boyer </w:t>
      </w:r>
      <w:r>
        <w:rPr>
          <w:rFonts w:ascii="Times New Roman" w:cs="Times New Roman" w:eastAsia="Times New Roman" w:hAnsi="Times New Roman"/>
          <w:sz w:val="18"/>
          <w:szCs w:val="18"/>
          <w:color w:val="auto"/>
        </w:rPr>
        <w:t>was appointed Chief Corporate Affairs Officer in September 2019 and is responsible for patient advocacy and engagement,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communications, government relations, and public policy at Neurocrine Biosciences. Mr. Boyer brings nearly 20 years of experience in public affairs, specializing in the life sciences and biopharmaceutical sectors. He joins Neurocrine Biosciences after nine years with the BGR Group, where he served as a Principal and the Head of the Health &amp; Lifesciences Practice, leading the firm’s healthcare advocacy, policy and strategy development, and strategic consulting team. During his tenure at the BGR Group, Mr. Boyer led public policy, advocacy, and strategic communications initiatives for a wide range of healthcare clients. Prior to joining the BGR Group, Mr. Boyer served as Special Assistant to the President for Legislative Affairs under President George W. Bush, Assistant Commissioner for Legislation at the U.S. Food and Drug Administration, and Special Assistant to the Secretary at the U.S. Department of Health and Human Services. In addition to his public service, Mr. Boyer held senior advocacy positions at the Biotechnology Innovation Organization (BIO) and the Pharmaceutical Research and Manufacturers of America (PhRMA). Mr. Boyer holds a B.A. in Government from Georgetown University.</w:t>
      </w:r>
    </w:p>
    <w:p>
      <w:pPr>
        <w:spacing w:after="0" w:line="18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S. Cooke </w:t>
      </w:r>
      <w:r>
        <w:rPr>
          <w:rFonts w:ascii="Times New Roman" w:cs="Times New Roman" w:eastAsia="Times New Roman" w:hAnsi="Times New Roman"/>
          <w:sz w:val="18"/>
          <w:szCs w:val="18"/>
          <w:color w:val="auto"/>
        </w:rPr>
        <w:t>was appointed Chief Human Resources Officer in September 2017. She joined Neurocrine Biosciences from the Sanford Burnham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Prebys Medical Research Institute where she served as Senior Vice President for Human Resources and was a member of the executive management team. Previously, Ms. Cooke held multiple positions at Life Technologies, including being the human resource partner to the Chief Operating Officer, Division Presidents and Global Function Leads. Prior to Life Technologies, she ran human resources and was a member of the executive management team at SGX Pharmaceuticals. Ms. Cooke began her career at PepsiCo., The Pepsi Bottling Group, and Gateway, where she held positions of increasing responsibility in human resources. She holds a Bachelor of Arts in Economics from Colorado College.</w:t>
      </w:r>
    </w:p>
    <w:p>
      <w:pPr>
        <w:spacing w:after="0" w:line="18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Ingrid Delaet, Ph.D. </w:t>
      </w:r>
      <w:r>
        <w:rPr>
          <w:rFonts w:ascii="Times New Roman" w:cs="Times New Roman" w:eastAsia="Times New Roman" w:hAnsi="Times New Roman"/>
          <w:sz w:val="18"/>
          <w:szCs w:val="18"/>
          <w:color w:val="auto"/>
        </w:rPr>
        <w:t>was appointed Vice President, Regulatory Affairs in 2021, and Chief Regulatory Officer in October 2022. She is responsible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leading the regulatory affairs, quality assurance and medical writing management teams. Dr. Delaet has more than 25 years of drug development experience in several therapeutic areas, including immunology, hepatology, cardiovascular, and metabolic diseases. Prior to joining Neurocrine Biosciences, she served as Senior Vice President, Regulatory Affairs at Intercept Pharmaceuticals, which she joined in 2016. Between 1997 and 2016, Dr. Delaet held various positions of increasing responsibility at Bristol-Myers Squibb in the United States, first in Clinical Research and Development and then in Global Regulatory Affairs, where she served as Therapeutic Area Lead for Immunology. Prior to Bristol-Myers Squibb, she held positions in clinical research at CellPro, Inc. and Wyeth-Ayerst Research. She received her Ph.D. in Immunology and her M.Sc. in Pharmaceutical Sciences from The Free University of Brussels, Belgium.</w:t>
      </w:r>
    </w:p>
    <w:p>
      <w:pPr>
        <w:spacing w:after="0" w:line="18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Sanjay Keswani, M.D. </w:t>
      </w:r>
      <w:r>
        <w:rPr>
          <w:rFonts w:ascii="Times New Roman" w:cs="Times New Roman" w:eastAsia="Times New Roman" w:hAnsi="Times New Roman"/>
          <w:sz w:val="18"/>
          <w:szCs w:val="18"/>
          <w:color w:val="auto"/>
        </w:rPr>
        <w:t>was appointed Chief Medical Officer in June 2025 and is responsible for all clinical development and medical affairs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Neurocrine Biosciences. Dr. Keswani has more than 20 years of pharmaceutical industry experience with broad R&amp;D expertise across multiple therapeutic areas, including neurology, autoimmune diseases, neuroimmunology and psychiatry. He joined Neurocrine Biosciences from ImmunoBrain, a clinical-stage biotechnology firm, where he served as President and Chief Executive Officer from January 2024 until he joined Neurocrine Biosciences in June 2025. From June 2019 to February 2022, Dr. Keswani served as Executive Vice President and Chief Medical Officer of Annexon, Inc., a biopharmaceutical company focused on complement-mediated autoimmune and neurodegenerative diseases, and in February 2022 he joined MiroBio Ltd., a privately held biotechnology company developing checkpoint agonist antibodies for autoimmune disease, as Chief Medical Officer. Prior to joining Annexon, he was Chief Executive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66" w:right="459" w:bottom="1440" w:gutter="0" w:footer="0" w:header="0"/>
        </w:sectPr>
      </w:pPr>
    </w:p>
    <w:bookmarkStart w:id="73" w:name="page74"/>
    <w:bookmarkEnd w:id="7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 of Rheos Medicines, Inc., and earlier held senior research and development leadership positions at F. Hoffmann-La Roche Ltd., including Senior Vice President and Global Head of Neuroscience, Ophthalmology and Rare Diseases Research and Early Development, and at Bristol-Myers Squibb Company, where he served as Vice President of Exploratory and Clinical Translational Research across multiple therapeutic areas. Dr. Keswani also serves on the Board of Directors of Nura Bio, Inc., a privately held biotechnology company. Dr. Keswani is an elected Fellow of the Royal College of Physicians, United Kingdom, and a former Neurology Faculty member at The Johns Hopkins Hospital. He graduated with honors from St. Bartholomew’s Hospital and holds a First-Class honors BSc degree from St. Mary’s Hospital, London in Pathology &amp; Basic Medical Sciences (Immunology). He completed his residency in Neurology and fellowships in Neuroimmunology and Neurophysiology at The Johns Hopkins Hospital.</w:t>
      </w:r>
    </w:p>
    <w:p>
      <w:pPr>
        <w:spacing w:after="0" w:line="18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Darin M. Lippoldt </w:t>
      </w:r>
      <w:r>
        <w:rPr>
          <w:rFonts w:ascii="Times New Roman" w:cs="Times New Roman" w:eastAsia="Times New Roman" w:hAnsi="Times New Roman"/>
          <w:sz w:val="18"/>
          <w:szCs w:val="18"/>
          <w:color w:val="auto"/>
        </w:rPr>
        <w:t>was appointed Chief Legal Officer and Corporate Secretary in 2014 and has oversight of all legal, intellectual property,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matters. Mr. Lippoldt served as Chair of the Biotechnology Innovation Organization (BIO) General Counsels’ Committee from 2023-2025. Prior to joining Neurocrine Biosciences, Mr. Lippoldt served as Executive Vice President, General Counsel, Chief Compliance Officer and Corporate Secretary of Volcano Corporation, a company he joined in 2010. Prior to Volcano, Mr. Lippoldt served as Associate General Counsel at Amylin Pharmaceuticals, Inc. He previously practiced corporate and securities law with the law firms of Fulbright &amp; Jaworski LLP and Matthews and Branscomb, P.C. Mr. Lippoldt received a B.B.A. in Finance, an M.A. in International Relations and a J.D. from St. Mary’s University.</w:t>
      </w:r>
    </w:p>
    <w:p>
      <w:pPr>
        <w:spacing w:after="0" w:line="18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Jude Onyia, Ph.D. </w:t>
      </w:r>
      <w:r>
        <w:rPr>
          <w:rFonts w:ascii="Times New Roman" w:cs="Times New Roman" w:eastAsia="Times New Roman" w:hAnsi="Times New Roman"/>
          <w:sz w:val="18"/>
          <w:szCs w:val="18"/>
          <w:color w:val="auto"/>
        </w:rPr>
        <w:t>was appointed Chief Scientific Officer in November 2021 and leads the drug discovery and non-clinical development teams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bolstering and advancing Neurocrine’s pipeline of therapeutic candidates. Additionally, in February 2023, Dr. Onyia joined Voyager Therapeutics, Inc.’s board of directors. A scientist with more than 25 years of experience in the pharmaceutical industry, Dr. Onyia is the former Vice President of Biotechnology Discovery Research at Eli Lilly and Company. At Eli Lilly, Dr. Onyia contributed to the discovery and/or advancement of more than 60 clinical candidates across multiple therapeutic areas, which led to seven or more approved medicines. He also was responsible for more than 50 pre-candidate programs across multiple therapeutic areas. Dr. Onyia holds a B.S. in Forest Biology from the State University of New York (SUNY) College of Environmental Science and Forestry, as well as a Ph.D. in Cell and Molecular Biology from the SUNY Health Science Center, both at Syracuse NY.</w:t>
      </w:r>
    </w:p>
    <w:p>
      <w:pPr>
        <w:spacing w:after="0" w:line="18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Ratz, Ph.D. </w:t>
      </w:r>
      <w:r>
        <w:rPr>
          <w:rFonts w:ascii="Times New Roman" w:cs="Times New Roman" w:eastAsia="Times New Roman" w:hAnsi="Times New Roman"/>
          <w:sz w:val="18"/>
          <w:szCs w:val="18"/>
          <w:color w:val="auto"/>
        </w:rPr>
        <w:t>was appointed Senior Vice President, Drug Development, Delivery and Device in January 2025, and Chief Technical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Officer in February 2026. He is responsible for leading Neurocrine’s global technical development, manufacturing and supply chain functions, supporting Neurocrine’s expansion beyond small molecules into biologics and device-based therapies. Dr. Ratz joined Neurocrine Biosciences after a nearly 30-year career at Eli Lilly, where he contributed to the successful development and registration of more than 25 medicines across multiple therapeutic areas and drug modalities, supporting both biologic and small molecule portfolios. From February 2020 to December 2024, he served as Senior Vice President, Delivery, Device and Connected Solutions at Eli Lilly, where he led the integrated design and development of devices, drug-device combination products, and packaging systems for both the biotech and small molecule portfolios. Prior to that, Dr. Ratz served as Senior Director of Process Chemistry and Chemical Engineering and Head of Global Outsourcing for Eli Lilly’s small molecule portfolio. Dr. Ratz holds a B.S. in Chemistry from Indiana University, as well as a Ph.D. in Chemistry from Harvard University.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of Neurocrine</w:t>
      </w:r>
    </w:p>
    <w:p>
      <w:pPr>
        <w:spacing w:after="0" w:line="117"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C. Gorman, Ph.D. </w:t>
      </w:r>
      <w:r>
        <w:rPr>
          <w:rFonts w:ascii="Times New Roman" w:cs="Times New Roman" w:eastAsia="Times New Roman" w:hAnsi="Times New Roman"/>
          <w:sz w:val="18"/>
          <w:szCs w:val="18"/>
          <w:color w:val="auto"/>
        </w:rPr>
        <w:t>has served on the Board of Directors since January 2008. Dr. Gorman served as the President and CEO of Neurocrine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January 2008 through October 2024, after having served as Executive Vice President and Chief Operating Officer beginning in 2006. Prior to that, he served as Executive Vice President and Chief Business Officer, and Senior Vice President of Business Development. Dr. Gorman currently serves as a director of Xencor, Inc. a publicly traded clinical-stage biopharmaceutical company. From 1990 until 1993, Dr. Gorman was a principal of Avalon Medical Partners, L.P. where he was responsible for the early stage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60"/>
          </w:cols>
          <w:pgMar w:left="440" w:top="270" w:right="499" w:bottom="1440" w:gutter="0" w:footer="0" w:header="0"/>
        </w:sectPr>
      </w:pPr>
    </w:p>
    <w:bookmarkStart w:id="74" w:name="page75"/>
    <w:bookmarkEnd w:id="74"/>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founding of the company and several other biotechnology companies such as Onyx Pharmaceuticals, Inc., Metra Biosystems, Inc., Idun Pharmaceuticals, Inc. and ARIAD Pharmaceuticals, Inc. Dr. Gorman received his Ph.D. in immunology and M.B.A. in Finance from the University of California, Los Angeles and did further post-doctoral training at The Rockefeller University.</w:t>
      </w:r>
    </w:p>
    <w:p>
      <w:pPr>
        <w:spacing w:after="0" w:line="17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Gary A. Lyons </w:t>
      </w:r>
      <w:r>
        <w:rPr>
          <w:rFonts w:ascii="Times New Roman" w:cs="Times New Roman" w:eastAsia="Times New Roman" w:hAnsi="Times New Roman"/>
          <w:sz w:val="18"/>
          <w:szCs w:val="18"/>
          <w:color w:val="auto"/>
        </w:rPr>
        <w:t>has served on the Board of Directors since joining Neurocrine Biosciences in February 1993. Mr. Lyons served as the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CEO of Neurocrine from February 1993 through January 2008. Prior to joining Neurocrine, Mr. Lyons held a number of senior management positions at Genentech, Inc., including Vice President of Business Development and Vice President of Sales. Mr. Lyons is currently the Chairman of the Board of Directors of Travere Therapeutics, a publicly traded ultra-orphan disease commercial-stage company. Mr. Lyons previously served on the Board of Directors of Rigel Pharmaceuticals, Inc., Fresh Tracks Therapeutics, Inc. (formerly Brickell Biotech, Inc.), Eledon Pharmaceuticals, Inc. (formerly Novus Therapeutics), and Facet Biotech Corporation. Mr. Lyons holds a B.S. in Marine Biology from the University of New Hampshire and an M.B.A. from Northwestern University’s J.L. Kellogg Graduate School of Management.</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Johanna Mercier </w:t>
      </w:r>
      <w:r>
        <w:rPr>
          <w:rFonts w:ascii="Times New Roman" w:cs="Times New Roman" w:eastAsia="Times New Roman" w:hAnsi="Times New Roman"/>
          <w:sz w:val="18"/>
          <w:szCs w:val="18"/>
          <w:color w:val="auto"/>
        </w:rPr>
        <w:t>has served on the Board of Directors since April 2021. Ms. Mercier serves as the Chief Commercial and Corporate Affairs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Gilead Sciences, overseeing the global commercialization of the company’s medicines across virology, oncology and inflammation. She has been central to Gilead’s portfolio diversification, strengthening the company’s long-term growth prospects, expanding patient access and shaping commercial strategy. Ms. Mercier led the swift launch and global access strategy of Gilead’s COVID-19 antiviral on an accelerated timeline during the height of the COVID-19 pandemic, while also driving Gilead’s response to the crisis, including product donations. Today, she leads efforts to establish a new investigational product as a long-acting option for HIV prevention, and to expand access for people in high-incidence, resource-limited countries through innovative launch preparations and voluntary licensing agreements. A passionate advocate for the future of transformational healthcare and improving patient access on a global scale, Ms. Mercier also serves on the Board of Directors of Arcus Biosciences, Inc., a publicly traded company. Prior to joining Gilead in 2019, Johanna spent 25 years at Bristol-Myers Squibb, where she held senior leadership roles across the U.S. and international markets. She received her bachelor’s degree in biology from the University of Montreal and her MBA from Concordia University.</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George J. Morrow </w:t>
      </w:r>
      <w:r>
        <w:rPr>
          <w:rFonts w:ascii="Times New Roman" w:cs="Times New Roman" w:eastAsia="Times New Roman" w:hAnsi="Times New Roman"/>
          <w:sz w:val="18"/>
          <w:szCs w:val="18"/>
          <w:color w:val="auto"/>
        </w:rPr>
        <w:t>has served on the Board of Directors since October 2015. Mr. Morrow served as Executive Vice President, Global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at Amgen Inc., a global biotechnology company, from 2003 until his retirement in 2011. He joined Amgen in 2001 as Executive Vice President, Worldwide Sales and Marketing. His responsibilities included oversight of all commercial functions for Amgen’s broad spectrum of products in more than 50 countries worldwide, and the introduction of multiple new products into global markets. From 1992 to 2001, Mr. Morrow held executive management and commercial positions within several subsidiaries of Glaxo Wellcome, including Group Vice President for Commercial Operations (U.S.), Managing Director (U.K.), and most recently as President and Chief Executive Officer of Glaxo Wellcome, Inc. (U.S.). Mr. Morrow currently serves on the Board of Directors of Align Technology, Inc., a publicly traded global medical device company. He has previously served on the boards of Vical, Inc., Otonomy, Inc., Glaxo Wellcome, Inc., Human Genome Sciences, Inc., Safeway, Inc., National Commerce Bank, the Johns Hopkins School of Public Health, and the Duke University Fuqua School of Business. Mr. Morrow holds a B.S. in Chemistry from Southampton College, Long Island University, an M.S. in Biochemistry from Bryn Mawr College and an M.B.A. from Duke University.</w:t>
      </w:r>
    </w:p>
    <w:p>
      <w:pPr>
        <w:spacing w:after="0" w:line="18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Leslie V. Norwalk </w:t>
      </w:r>
      <w:r>
        <w:rPr>
          <w:rFonts w:ascii="Times New Roman" w:cs="Times New Roman" w:eastAsia="Times New Roman" w:hAnsi="Times New Roman"/>
          <w:sz w:val="18"/>
          <w:szCs w:val="18"/>
          <w:color w:val="auto"/>
        </w:rPr>
        <w:t>has served on the Board of Directors since September 2019. Since 2007, Ms. Norwalk has served as Strategic Counsel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companies at Epstein Becker Green, EBG Advisors, and National Health Advisors. Ms. Norwalk advises several private equity firms on healthcare matters. She serves as a director of CVS Health Corporation, Globus Medical, Inc., and Arvinas, Inc., all publicly traded companies, as well as several privately held healthcare companies. Ms. Norwalk previously served on the Board of Directors of Centene, Endologix, Magellan Health, Modivcare Inc., NuVasive, Inc., prior to its acquisition by Globus Medical, and Press Ganey. Ms. Norwalk began her career in the public sector in The White House Office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70" w:right="439" w:bottom="1440" w:gutter="0" w:footer="0" w:header="0"/>
        </w:sectPr>
      </w:pPr>
    </w:p>
    <w:bookmarkStart w:id="75" w:name="page76"/>
    <w:bookmarkEnd w:id="75"/>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Presidential Personnel under the first Bush administration, following which she practiced law at the Washington, D.C. office of Epstein Becker Green, P.C. From 2001 to 2007, she served in several roles at the Centers for Medicare &amp; Medicaid Services (CMS) under the George W. Bush administration, including serving as Deputy Administrator, and Counselor and Policy Advisor, before assuming the role of Acting Administrator. Ms. Norwalk holds a J.D. from the George Mason University School of Law and a B.A. in Economics and International Relations from Wellesley College.</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Christine A. Poon </w:t>
      </w:r>
      <w:r>
        <w:rPr>
          <w:rFonts w:ascii="Times New Roman" w:cs="Times New Roman" w:eastAsia="Times New Roman" w:hAnsi="Times New Roman"/>
          <w:sz w:val="18"/>
          <w:szCs w:val="18"/>
          <w:color w:val="auto"/>
        </w:rPr>
        <w:t>has served on the Board of Directors since July 2023. Ms. Poon is the former Executive-in-Residence in the Department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and Human Resources at the Max M. Fisher College of Business at The Ohio State University, where she served as Dean and the John W. Berry, Sr. Chair in Business from 2009 to 2014. She served as Vice Chairman and Member of the Board of Directors of Johnson &amp; Johnson from 2005 until her retirement in March 2009. Ms. Poon joined Johnson &amp; Johnson in 2000 as Company Group Chair in the Pharmaceuticals Group. She became a member of Johnson &amp; Johnson’s Executive Committee and Worldwide Chair, Pharmaceuticals Group, in 2001, and served as Worldwide Chair, Medicines and Nutritionals, from 2003 to 2005. Prior to joining Johnson &amp; Johnson, she spent 15 years at Bristol-Myers Squibb in various management positions. Ms. Poon was also a Vice Chair of the Supervisory Board of Royal Philips Electronics and served on the Board of Directors of Decibel Therapeutics, Inc., and The Sherwin-Williams Company. She currently serves on the Board of Directors of Prudential Financial, Inc., and Regeneron Pharmaceuticals, Inc., where she serves as the lead independent director. Ms. Poon was named Woman of the Year by the Healthcare Businesswomen’s Association in 2004 and named Business Leader of the Future by CNBC/Wall Street Journal in 2005.</w:t>
      </w:r>
    </w:p>
    <w:p>
      <w:pPr>
        <w:spacing w:after="0" w:line="185"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F. Pops </w:t>
      </w:r>
      <w:r>
        <w:rPr>
          <w:rFonts w:ascii="Times New Roman" w:cs="Times New Roman" w:eastAsia="Times New Roman" w:hAnsi="Times New Roman"/>
          <w:sz w:val="18"/>
          <w:szCs w:val="18"/>
          <w:color w:val="auto"/>
        </w:rPr>
        <w:t>has served on the Board of Directors since April 1998. Mr. Pops is the Chairman and Chief Executive Officer of Alkermes plc.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joined Alkermes as Chief Executive Officer in February 1991. Under his leadership, Alkermes has grown from a privately held research-based company with 25 employees to an international, publicly traded pharmaceutical company with more than 2,000 employees. In addition to Alkermes, he currently serves on the Board of Directors of the Biotechnology Innovation Organization (BIO) and the Pharmaceutical Research and Manufacturers of America (PhRMA). Previously, Mr. Pops served on the Board of Directors of Epizyme, Inc., a biotechnology company focused on epigenetics, and Acceleron Pharma, Inc., a biopharmaceutical company. He holds a B.A. in Economics from Stanford University.</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H. Rastetter, Ph.D. </w:t>
      </w:r>
      <w:r>
        <w:rPr>
          <w:rFonts w:ascii="Times New Roman" w:cs="Times New Roman" w:eastAsia="Times New Roman" w:hAnsi="Times New Roman"/>
          <w:sz w:val="18"/>
          <w:szCs w:val="18"/>
          <w:color w:val="auto"/>
        </w:rPr>
        <w:t>has served on the Board of Directors since February 2010 and as Chairman of the Board of Directors since May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he serves as the Chairman of the Board of Directors for Fate Therapeutics, a publicly traded company focused on cellular therapies, as well as for Daré Bioscience, Inc. (previously known as Cerulean Pharma Inc.), a publicly traded company focused on women’s healthcare. Dr. Rastetter also serves on the Board of Directors of Iambic Therapeutics, Inc., a private company using artificial intelligence and laboratory automation to design and develop medicinal chemicals initially for oncology indications. Dr. Rastetter previously served as the Chairman of Grail, Inc., and as a director of the board of Regulus Therapeutics, Inc., prior to its acquisition by Novartis AG. Dr. Rastetter serves as an advisor to Illumina Ventures, and is the Chairman of San Diego Squared, a nonprofit focused on STEM awareness and education for students in underserved communities. Dr. Rastetter was a partner in the venture capital firm, Venrock, from 2006 through early 2013 and was Executive Chairman of Biogen Idec, Inc. from 2003 to 2005. Earlier, he served as Chairman and Chief Executive Officer of IDEC Pharmaceuticals Corporation until its merger with Biogen Inc. in 2003; he joined IDEC Corporation as its Chief Executive Officer at the company’s founding in 1986. From 1984 to 1986, Dr. Rastetter was Director of Corporate Ventures at Genentech, where from 1982 to 1984 he held scientific positions. He held a series of faculty positions including Associate Professor at the Massachusetts Institute of Technology (“MIT”) from 1975 to 1982. Dr. Rastetter has an S.B. degree in Chemistry from MIT and received M.A. and doctorate degrees in Chemistry from Harvard University.</w:t>
      </w:r>
    </w:p>
    <w:p>
      <w:pPr>
        <w:spacing w:after="0" w:line="187"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Shalini Sharp </w:t>
      </w:r>
      <w:r>
        <w:rPr>
          <w:rFonts w:ascii="Times New Roman" w:cs="Times New Roman" w:eastAsia="Times New Roman" w:hAnsi="Times New Roman"/>
          <w:sz w:val="18"/>
          <w:szCs w:val="18"/>
          <w:color w:val="auto"/>
        </w:rPr>
        <w:t>has served as a member of our Board of Directors since February 2020. Ms. Sharp served as Executive Vice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Ultragenyx Pharmaceuticals Inc., a publicly traded biopharmaceutical company, from 2012 to 2020. Previously, from 2003 to 2012, Ms. Sharp held positions 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76" w:name="page77"/>
    <w:bookmarkEnd w:id="76"/>
    <w:p>
      <w:pPr>
        <w:ind w:right="2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increasing responsibility at Agenus, Inc., a publicly traded clinical-stage immune-oncology company, including as Chief Financial Officer, and also served as a member of its Board of Directors from 2012 to 2018. Earlier in her career, Ms. Sharp worked at Elan Pharmaceuticals, McKinsey &amp; Company, and Goldman Sachs. Ms. Sharp currently serves on the Boards of Directors of BeOne Medicines Ltd. (formerly BeiGene, Ltd.), a publicly traded oncology company, Organon &amp; Co, a publicly traded healthcare company, and Septerna, Inc., a publicly traded clinical-stage biotechnology company. She also serves on the Board of Directors of Iambic Therapeutics, Inc., a private company using artificial intelligence and laboratory automation to design and develop medicinal chemicals initially for oncology indications, and serves as Chair of the Board of Directors for Mahzi Therapeutics, a private company focused on rare neurodevelopmental disorders. Ms. Sharp previously served on the Board of Directors of Mirati Therapeutics, prior to its acquisition by Bristol-Myers Squibb Company, Sutro Biopharma, Inc., Panacea Acquisition Corp., prior to its merger with Nuvation Bio, Precision BioSciences, Inc., TB Alliance, Array Biopharma, prior to its acquisition by Pfizer, and Agenus Inc. She holds a B.A. and an M.B.A. from Harvard University.</w:t>
      </w:r>
    </w:p>
    <w:p>
      <w:pPr>
        <w:spacing w:after="0" w:line="190" w:lineRule="exact"/>
        <w:rPr>
          <w:sz w:val="20"/>
          <w:szCs w:val="20"/>
          <w:color w:val="auto"/>
        </w:rPr>
      </w:pPr>
    </w:p>
    <w:p>
      <w:pPr>
        <w:jc w:val="both"/>
        <w:ind w:right="14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Stephen A. Sherwin, M.D. </w:t>
      </w:r>
      <w:r>
        <w:rPr>
          <w:rFonts w:ascii="Times New Roman" w:cs="Times New Roman" w:eastAsia="Times New Roman" w:hAnsi="Times New Roman"/>
          <w:sz w:val="17"/>
          <w:szCs w:val="17"/>
          <w:color w:val="auto"/>
        </w:rPr>
        <w:t>has served on the Board of Directors since April 1999. Dr. Sherwin currently divides his time between advisory work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life sciences industry and patient care and teaching in his specialty of medical oncology. He is a Clinical Professor of Medicine at the University of California, San Francisco, and a volunteer Attending Physician in Hematology-Oncology at the Zuckerberg San Francisco General Hospital.</w:t>
      </w:r>
    </w:p>
    <w:p>
      <w:pPr>
        <w:spacing w:after="0" w:line="1"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Dr. Sherwin currently serves on the Board of Directors of Biogen Inc., a publicly traded company, and Innovent Biologics, Inc., a biopharmaceutical company publicly listed on the Main Board of the Hong Kong Stock Exchange. He is also an Advisory Partner with Third Rock Ventures. Previously, Dr. Sherwin was Chairman and Chief Executive Officer of Cell Genesys, a cancer immunotherapy company, from 1990 until the company’s merger in 2009 with BioSante Pharmaceuticals (now ANI Pharmaceuticals). He was also a Co-founder and Chairman of Abgenix, an antibody company which was acquired by Amgen in 2006, and co-founder and Chairman of Ceregene, a gene therapy company which was acquired by Sangamo Biosciences in 2013. From 1983 to 1990, Dr. Sherwin held various positions in clinical research at Genentech, most recently that of Vice President. Prior to 1983, he was on the staff of the National Cancer Institute. In addition, Dr. Sherwin previously served on the Board of Directors of Aduro Biotech, BioPlus Acquisition Corporation, and Neon Therapeutics. He also served on the Board of Directors of the Biotechnology Innovation Organization (BIO) from 2001 to 2014 and as its Chairman from 2009 to 2011, and was a member of the President’s Council of Advisors in Science and Technology (PCAST) Working Group on Drug Development from 2011 to 2013. Dr. Sherwin holds a B.A. in biology, summa cum laude, from Yale University and an M.D. from Harvard Medical School, is board-certified in internal medicine and medical oncology, and is a Fellow of the American College of Physicians.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Purchaser’s directors and executive officers. The current business address of each person is c/o Neurocrine Biosciences, Inc., 6027 Edgewood Bend Court, San Diego, California 92130, and the business telephone number is (858) 617-7600. Except as provided below, all directors and executive officers listed below are citizens of the United States.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Kyle W. Gano, Ph.D.</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Director</w:t>
            </w:r>
          </w:p>
        </w:tc>
      </w:t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Darin M. Lippoldt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Secretary, Director</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Purchaser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biographies of Kyle W. Gano, Ph.D. and Darin M. Lippoldt under “—Neurocrine—Executive Officers of Neurocrine”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77" w:name="page78"/>
    <w:bookmarkEnd w:id="77"/>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Letter of Transmittal and certificates evidencing Shares and any other required documents should be sent or delivered by each stockholder or its, his or her broker, dealer, commercial bank, trust company or other nominee to the Depositary at one of its addresses set forth below:</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173990</wp:posOffset>
            </wp:positionV>
            <wp:extent cx="462915" cy="462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160" w:type="dxa"/>
            <w:vAlign w:val="bottom"/>
            <w:gridSpan w:val="4"/>
          </w:tcPr>
          <w:p>
            <w:pPr>
              <w:jc w:val="center"/>
              <w:ind w:right="1460"/>
              <w:spacing w:after="0"/>
              <w:rPr>
                <w:sz w:val="20"/>
                <w:szCs w:val="20"/>
                <w:color w:val="auto"/>
              </w:rPr>
            </w:pPr>
            <w:r>
              <w:rPr>
                <w:rFonts w:ascii="Times New Roman" w:cs="Times New Roman" w:eastAsia="Times New Roman" w:hAnsi="Times New Roman"/>
                <w:sz w:val="18"/>
                <w:szCs w:val="18"/>
                <w:color w:val="auto"/>
                <w:w w:val="99"/>
              </w:rPr>
              <w:t>If delivering by express mail, courier,</w:t>
            </w:r>
          </w:p>
        </w:tc>
        <w:tc>
          <w:tcPr>
            <w:tcW w:w="2500" w:type="dxa"/>
            <w:vAlign w:val="bottom"/>
          </w:tcPr>
          <w:p>
            <w:pPr>
              <w:spacing w:after="0"/>
              <w:rPr>
                <w:sz w:val="17"/>
                <w:szCs w:val="17"/>
                <w:color w:val="auto"/>
              </w:rPr>
            </w:pPr>
          </w:p>
        </w:tc>
        <w:tc>
          <w:tcPr>
            <w:tcW w:w="186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By mail:</w:t>
            </w:r>
          </w:p>
        </w:tc>
      </w:tr>
      <w:tr>
        <w:trPr>
          <w:trHeight w:val="196"/>
        </w:trPr>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2"/>
          </w:tcPr>
          <w:p>
            <w:pPr>
              <w:jc w:val="center"/>
              <w:ind w:right="400"/>
              <w:spacing w:after="0" w:line="196" w:lineRule="exact"/>
              <w:rPr>
                <w:sz w:val="20"/>
                <w:szCs w:val="20"/>
                <w:color w:val="auto"/>
              </w:rPr>
            </w:pPr>
            <w:r>
              <w:rPr>
                <w:rFonts w:ascii="Times New Roman" w:cs="Times New Roman" w:eastAsia="Times New Roman" w:hAnsi="Times New Roman"/>
                <w:sz w:val="18"/>
                <w:szCs w:val="18"/>
                <w:color w:val="auto"/>
                <w:w w:val="99"/>
              </w:rPr>
              <w:t>or other expedited service:</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40" w:type="dxa"/>
            <w:vAlign w:val="bottom"/>
          </w:tcPr>
          <w:p>
            <w:pPr>
              <w:spacing w:after="0"/>
              <w:rPr>
                <w:sz w:val="17"/>
                <w:szCs w:val="17"/>
                <w:color w:val="auto"/>
              </w:rPr>
            </w:pPr>
          </w:p>
        </w:tc>
      </w:tr>
      <w:tr>
        <w:trPr>
          <w:trHeight w:val="245"/>
        </w:trPr>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200" w:type="dxa"/>
            <w:vAlign w:val="bottom"/>
          </w:tcPr>
          <w:p>
            <w:pPr>
              <w:spacing w:after="0"/>
              <w:rPr>
                <w:sz w:val="18"/>
                <w:szCs w:val="18"/>
                <w:color w:val="auto"/>
              </w:rPr>
            </w:pPr>
          </w:p>
        </w:tc>
        <w:tc>
          <w:tcPr>
            <w:tcW w:w="416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rPr>
              <w:t>Attn: Onbase - Reorganization Department</w:t>
            </w: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9"/>
              </w:rPr>
              <w:t>Suite # 101</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200" w:type="dxa"/>
            <w:vAlign w:val="bottom"/>
          </w:tcPr>
          <w:p>
            <w:pPr>
              <w:spacing w:after="0"/>
              <w:rPr>
                <w:sz w:val="18"/>
                <w:szCs w:val="18"/>
                <w:color w:val="auto"/>
              </w:rPr>
            </w:pPr>
          </w:p>
        </w:tc>
        <w:tc>
          <w:tcPr>
            <w:tcW w:w="416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34"/>
        </w:trPr>
        <w:tc>
          <w:tcPr>
            <w:tcW w:w="436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Mendota Heights, MN 55120</w:t>
            </w:r>
          </w:p>
        </w:tc>
      </w:tr>
    </w:tbl>
    <w:p>
      <w:pPr>
        <w:spacing w:after="0" w:line="21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Questions and requests for assistance may be directed to the Information Agent at its addresses and telephone numbers set forth below. Requests for copies of the Offer to Purchase, the related Letter of Transmittal and other materials related to the Offer may be directed to the Information Agent. Such copies will be furnished promptly at Purchaser’s expense. Stockholders may also contact brokers, dealers, commercial banks or trust companies for assistance concerning the Offer. Purchaser will not pay any fees or commissions to any broker or dealer or any other person (other than the Information Agent or the Depositary) for soliciting tenders of Shares pursuant to the Offer.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173990</wp:posOffset>
            </wp:positionV>
            <wp:extent cx="1680210" cy="4972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168021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Penn Plaza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929-5500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 Toll-Free (800) 322-2885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tenderoffer@mackenziepartners.com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78" w:name="page79"/>
    <w:bookmarkEnd w:id="78"/>
    <w:p>
      <w:pPr>
        <w:ind w:left="9740"/>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Tender Shares of Common Stock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$53.00 per share, payable in cash pursuant to the Offer to Purchase dated April 20, 2026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9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undersigned represents that I (we) have full authority to surrender without restriction the certificate(s) listed below. You are hereby authorized and instructed to deliver to the address indicated below (unless otherwise instructed in the boxes in the following page) a check representing a cash payment for shares of common stock, par value $0.001 per share, of Soleno Therapeutics, Inc. (“Soleno”) (collectively, the “Shares”) tendered pursuant to this Letter of Transmittal, at a price of $53.00 per share, payable in cash, without interest and less any applicable withholding taxes, upon the terms and subject to the conditions set forth in the Offer to Purchase, dated April 20, 2026 (as it may be amended or supplemented from time to time, the “Offer to Purchase” and, together with this Letter of Transmittal, as it may be amended or supplemented from time to time, the “Offer”).</w:t>
      </w:r>
    </w:p>
    <w:p>
      <w:pPr>
        <w:spacing w:after="0" w:line="7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ONE MINUTE FOLLOWING 11:59 P.M. EASTERN TIME ON MAY 15, 2026, UNLESS THE OFFER IS EXTENDED OR EARLIER TERMINATED.</w:t>
      </w:r>
    </w:p>
    <w:p>
      <w:pPr>
        <w:spacing w:after="0" w:line="5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Method of delivery of the certificate(s) is at the option and risk of the owner thereof. See Instruction 2.</w:t>
      </w:r>
    </w:p>
    <w:p>
      <w:pPr>
        <w:spacing w:after="0" w:line="1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Mail or deliver this Letter of Transmittal, together with the certificate(s) representing your shares,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94615</wp:posOffset>
            </wp:positionV>
            <wp:extent cx="462915" cy="4629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160" w:type="dxa"/>
            <w:vAlign w:val="bottom"/>
            <w:gridSpan w:val="4"/>
          </w:tcPr>
          <w:p>
            <w:pPr>
              <w:jc w:val="center"/>
              <w:ind w:right="1460"/>
              <w:spacing w:after="0"/>
              <w:rPr>
                <w:sz w:val="20"/>
                <w:szCs w:val="20"/>
                <w:color w:val="auto"/>
              </w:rPr>
            </w:pPr>
            <w:r>
              <w:rPr>
                <w:rFonts w:ascii="Times New Roman" w:cs="Times New Roman" w:eastAsia="Times New Roman" w:hAnsi="Times New Roman"/>
                <w:sz w:val="18"/>
                <w:szCs w:val="18"/>
                <w:color w:val="auto"/>
                <w:w w:val="99"/>
              </w:rPr>
              <w:t>If delivering by express mail, courier,</w:t>
            </w:r>
          </w:p>
        </w:tc>
        <w:tc>
          <w:tcPr>
            <w:tcW w:w="2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2"/>
          </w:tcPr>
          <w:p>
            <w:pPr>
              <w:jc w:val="center"/>
              <w:ind w:right="400"/>
              <w:spacing w:after="0" w:line="182" w:lineRule="exact"/>
              <w:rPr>
                <w:sz w:val="20"/>
                <w:szCs w:val="20"/>
                <w:color w:val="auto"/>
              </w:rPr>
            </w:pPr>
            <w:r>
              <w:rPr>
                <w:rFonts w:ascii="Times New Roman" w:cs="Times New Roman" w:eastAsia="Times New Roman" w:hAnsi="Times New Roman"/>
                <w:sz w:val="18"/>
                <w:szCs w:val="18"/>
                <w:color w:val="auto"/>
                <w:w w:val="99"/>
              </w:rPr>
              <w:t>or other expedited service:</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By mail:</w:t>
            </w:r>
          </w:p>
        </w:tc>
        <w:tc>
          <w:tcPr>
            <w:tcW w:w="1240" w:type="dxa"/>
            <w:vAlign w:val="bottom"/>
          </w:tcPr>
          <w:p>
            <w:pPr>
              <w:spacing w:after="0"/>
              <w:rPr>
                <w:sz w:val="17"/>
                <w:szCs w:val="17"/>
                <w:color w:val="auto"/>
              </w:rPr>
            </w:pPr>
          </w:p>
        </w:tc>
      </w:tr>
      <w:tr>
        <w:trPr>
          <w:trHeight w:val="333"/>
        </w:trPr>
        <w:tc>
          <w:tcPr>
            <w:tcW w:w="200" w:type="dxa"/>
            <w:vAlign w:val="bottom"/>
          </w:tcPr>
          <w:p>
            <w:pPr>
              <w:spacing w:after="0"/>
              <w:rPr>
                <w:sz w:val="24"/>
                <w:szCs w:val="24"/>
                <w:color w:val="auto"/>
              </w:rPr>
            </w:pPr>
          </w:p>
        </w:tc>
        <w:tc>
          <w:tcPr>
            <w:tcW w:w="416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9"/>
              </w:rPr>
              <w:t>Suite # 101</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rPr>
              <w:t>Attn: Onbase - Reorganization Department</w:t>
            </w:r>
          </w:p>
        </w:tc>
      </w:tr>
      <w:tr>
        <w:trPr>
          <w:trHeight w:val="216"/>
        </w:trPr>
        <w:tc>
          <w:tcPr>
            <w:tcW w:w="200" w:type="dxa"/>
            <w:vAlign w:val="bottom"/>
          </w:tcPr>
          <w:p>
            <w:pPr>
              <w:spacing w:after="0"/>
              <w:rPr>
                <w:sz w:val="18"/>
                <w:szCs w:val="18"/>
                <w:color w:val="auto"/>
              </w:rPr>
            </w:pPr>
          </w:p>
        </w:tc>
        <w:tc>
          <w:tcPr>
            <w:tcW w:w="416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436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34"/>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Mendota Heights, MN 55120</w:t>
            </w:r>
          </w:p>
        </w:tc>
      </w:tr>
    </w:tbl>
    <w:p>
      <w:pPr>
        <w:spacing w:after="0" w:line="1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offer of Sigma Merger Sub, Inc. to purchase all outstanding Shares of Soleno Therapeutics, Inc., the undersigned encloses herewith and surrenders the following certificate(s) representing Shares of Soleno Therapeutics, Inc.:</w:t>
      </w:r>
    </w:p>
    <w:p>
      <w:pPr>
        <w:spacing w:after="0" w:line="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DESCRIPTION OF SHARES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003415" cy="2434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003415" cy="243459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Borders>
              <w:top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Name(s) and Address(es) of Registered Owner(s)</w:t>
            </w:r>
          </w:p>
        </w:tc>
        <w:tc>
          <w:tcPr>
            <w:tcW w:w="1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Shares Tendered</w:t>
            </w:r>
          </w:p>
        </w:tc>
        <w:tc>
          <w:tcPr>
            <w:tcW w:w="1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224"/>
        </w:trPr>
        <w:tc>
          <w:tcPr>
            <w:tcW w:w="4200" w:type="dxa"/>
            <w:vAlign w:val="bottom"/>
            <w:tcBorders>
              <w:right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(If blank, please fill in exactly as name(s) appear(s) on share</w:t>
            </w: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5"/>
          </w:tcPr>
          <w:p>
            <w:pPr>
              <w:jc w:val="center"/>
              <w:ind w:right="39"/>
              <w:spacing w:after="0"/>
              <w:rPr>
                <w:sz w:val="20"/>
                <w:szCs w:val="20"/>
                <w:color w:val="auto"/>
              </w:rPr>
            </w:pPr>
            <w:r>
              <w:rPr>
                <w:rFonts w:ascii="Times New Roman" w:cs="Times New Roman" w:eastAsia="Times New Roman" w:hAnsi="Times New Roman"/>
                <w:sz w:val="16"/>
                <w:szCs w:val="16"/>
                <w:color w:val="auto"/>
              </w:rPr>
              <w:t>(attach additional list if necessary)</w:t>
            </w:r>
          </w:p>
        </w:tc>
        <w:tc>
          <w:tcPr>
            <w:tcW w:w="1340" w:type="dxa"/>
            <w:vAlign w:val="bottom"/>
            <w:tcBorders>
              <w:bottom w:val="single" w:sz="8" w:color="auto"/>
            </w:tcBorders>
          </w:tcPr>
          <w:p>
            <w:pPr>
              <w:spacing w:after="0"/>
              <w:rPr>
                <w:sz w:val="19"/>
                <w:szCs w:val="19"/>
                <w:color w:val="auto"/>
              </w:rPr>
            </w:pPr>
          </w:p>
        </w:tc>
      </w:tr>
      <w:tr>
        <w:trPr>
          <w:trHeight w:val="202"/>
        </w:trPr>
        <w:tc>
          <w:tcPr>
            <w:tcW w:w="4200" w:type="dxa"/>
            <w:vAlign w:val="bottom"/>
            <w:tcBorders>
              <w:right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certificate(s))</w:t>
            </w:r>
          </w:p>
        </w:tc>
        <w:tc>
          <w:tcPr>
            <w:tcW w:w="1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Certificated Shares**</w:t>
            </w: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82"/>
        </w:trPr>
        <w:tc>
          <w:tcPr>
            <w:tcW w:w="420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Total Number</w:t>
            </w:r>
          </w:p>
        </w:tc>
        <w:tc>
          <w:tcPr>
            <w:tcW w:w="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r>
      <w:tr>
        <w:trPr>
          <w:trHeight w:val="202"/>
        </w:trPr>
        <w:tc>
          <w:tcPr>
            <w:tcW w:w="420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 Shares</w:t>
            </w:r>
          </w:p>
        </w:tc>
        <w:tc>
          <w:tcPr>
            <w:tcW w:w="8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Number of</w:t>
            </w:r>
          </w:p>
        </w:tc>
        <w:tc>
          <w:tcPr>
            <w:tcW w:w="12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420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Represented</w:t>
            </w:r>
          </w:p>
        </w:tc>
        <w:tc>
          <w:tcPr>
            <w:tcW w:w="8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Shares</w:t>
            </w:r>
          </w:p>
        </w:tc>
        <w:tc>
          <w:tcPr>
            <w:tcW w:w="120" w:type="dxa"/>
            <w:vAlign w:val="bottom"/>
          </w:tcPr>
          <w:p>
            <w:pPr>
              <w:spacing w:after="0"/>
              <w:rPr>
                <w:sz w:val="17"/>
                <w:szCs w:val="17"/>
                <w:color w:val="auto"/>
              </w:rPr>
            </w:pPr>
          </w:p>
        </w:tc>
        <w:tc>
          <w:tcPr>
            <w:tcW w:w="11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Book Entry</w:t>
            </w:r>
          </w:p>
        </w:tc>
        <w:tc>
          <w:tcPr>
            <w:tcW w:w="13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DRIP shares</w:t>
            </w:r>
          </w:p>
        </w:tc>
      </w:tr>
      <w:tr>
        <w:trPr>
          <w:trHeight w:val="203"/>
        </w:trPr>
        <w:tc>
          <w:tcPr>
            <w:tcW w:w="4200" w:type="dxa"/>
            <w:vAlign w:val="bottom"/>
            <w:tcBorders>
              <w:right w:val="single" w:sz="8" w:color="auto"/>
            </w:tcBorders>
          </w:tcPr>
          <w:p>
            <w:pPr>
              <w:spacing w:after="0"/>
              <w:rPr>
                <w:sz w:val="17"/>
                <w:szCs w:val="17"/>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Certificate</w:t>
            </w:r>
          </w:p>
        </w:tc>
        <w:tc>
          <w:tcPr>
            <w:tcW w:w="160" w:type="dxa"/>
            <w:vAlign w:val="bottom"/>
            <w:tcBorders>
              <w:right w:val="single" w:sz="8" w:color="auto"/>
            </w:tcBorders>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by</w:t>
            </w:r>
          </w:p>
        </w:tc>
        <w:tc>
          <w:tcPr>
            <w:tcW w:w="8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Surrendered</w:t>
            </w:r>
          </w:p>
        </w:tc>
        <w:tc>
          <w:tcPr>
            <w:tcW w:w="120" w:type="dxa"/>
            <w:vAlign w:val="bottom"/>
          </w:tcPr>
          <w:p>
            <w:pPr>
              <w:spacing w:after="0"/>
              <w:rPr>
                <w:sz w:val="17"/>
                <w:szCs w:val="17"/>
                <w:color w:val="auto"/>
              </w:rPr>
            </w:pPr>
          </w:p>
        </w:tc>
        <w:tc>
          <w:tcPr>
            <w:tcW w:w="11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Shares</w:t>
            </w:r>
          </w:p>
        </w:tc>
        <w:tc>
          <w:tcPr>
            <w:tcW w:w="13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to be</w:t>
            </w:r>
          </w:p>
        </w:tc>
      </w:tr>
      <w:tr>
        <w:trPr>
          <w:trHeight w:val="227"/>
        </w:trPr>
        <w:tc>
          <w:tcPr>
            <w:tcW w:w="4200" w:type="dxa"/>
            <w:vAlign w:val="bottom"/>
            <w:tcBorders>
              <w:right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Number(s)*</w:t>
            </w:r>
          </w:p>
        </w:tc>
        <w:tc>
          <w:tcPr>
            <w:tcW w:w="16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Certificate(s) *</w:t>
            </w:r>
          </w:p>
        </w:tc>
        <w:tc>
          <w:tcPr>
            <w:tcW w:w="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Surrendered</w:t>
            </w:r>
          </w:p>
        </w:tc>
        <w:tc>
          <w:tcPr>
            <w:tcW w:w="13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tendered</w:t>
            </w:r>
          </w:p>
        </w:tc>
      </w:tr>
      <w:tr>
        <w:trPr>
          <w:trHeight w:val="199"/>
        </w:trPr>
        <w:tc>
          <w:tcPr>
            <w:tcW w:w="420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96"/>
        </w:trPr>
        <w:tc>
          <w:tcPr>
            <w:tcW w:w="420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96"/>
        </w:trPr>
        <w:tc>
          <w:tcPr>
            <w:tcW w:w="420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96"/>
        </w:trPr>
        <w:tc>
          <w:tcPr>
            <w:tcW w:w="420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96"/>
        </w:trPr>
        <w:tc>
          <w:tcPr>
            <w:tcW w:w="4200" w:type="dxa"/>
            <w:vAlign w:val="bottom"/>
            <w:tcBorders>
              <w:right w:val="single" w:sz="8" w:color="auto"/>
            </w:tcBorders>
          </w:tcPr>
          <w:p>
            <w:pPr>
              <w:spacing w:after="0"/>
              <w:rPr>
                <w:sz w:val="17"/>
                <w:szCs w:val="17"/>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Shares</w:t>
            </w:r>
          </w:p>
        </w:tc>
        <w:tc>
          <w:tcPr>
            <w:tcW w:w="16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82"/>
        </w:trPr>
        <w:tc>
          <w:tcPr>
            <w:tcW w:w="4200" w:type="dxa"/>
            <w:vAlign w:val="bottom"/>
            <w:tcBorders>
              <w:right w:val="single" w:sz="8" w:color="auto"/>
            </w:tcBorders>
          </w:tcPr>
          <w:p>
            <w:pPr>
              <w:spacing w:after="0"/>
              <w:rPr>
                <w:sz w:val="15"/>
                <w:szCs w:val="15"/>
                <w:color w:val="auto"/>
              </w:rPr>
            </w:pPr>
          </w:p>
        </w:tc>
        <w:tc>
          <w:tcPr>
            <w:tcW w:w="4300" w:type="dxa"/>
            <w:vAlign w:val="bottom"/>
            <w:gridSpan w:val="6"/>
          </w:tcPr>
          <w:p>
            <w:pPr>
              <w:ind w:left="260"/>
              <w:spacing w:after="0" w:line="182" w:lineRule="exact"/>
              <w:rPr>
                <w:sz w:val="20"/>
                <w:szCs w:val="20"/>
                <w:color w:val="auto"/>
              </w:rPr>
            </w:pPr>
            <w:r>
              <w:rPr>
                <w:rFonts w:ascii="Times New Roman" w:cs="Times New Roman" w:eastAsia="Times New Roman" w:hAnsi="Times New Roman"/>
                <w:sz w:val="16"/>
                <w:szCs w:val="16"/>
                <w:color w:val="auto"/>
              </w:rPr>
              <w:t>*   Need not be completed by book-entry stockholders.</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3"/>
        </w:trPr>
        <w:tc>
          <w:tcPr>
            <w:tcW w:w="4200" w:type="dxa"/>
            <w:vAlign w:val="bottom"/>
            <w:tcBorders>
              <w:right w:val="single" w:sz="8" w:color="auto"/>
            </w:tcBorders>
          </w:tcPr>
          <w:p>
            <w:pPr>
              <w:spacing w:after="0"/>
              <w:rPr>
                <w:sz w:val="17"/>
                <w:szCs w:val="17"/>
                <w:color w:val="auto"/>
              </w:rPr>
            </w:pPr>
          </w:p>
        </w:tc>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6"/>
                <w:szCs w:val="16"/>
                <w:color w:val="auto"/>
              </w:rPr>
              <w:t>** Unless otherwise indicated, it will be assumed that all</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4200" w:type="dxa"/>
            <w:vAlign w:val="bottom"/>
            <w:tcBorders>
              <w:right w:val="single" w:sz="8" w:color="auto"/>
            </w:tcBorders>
          </w:tcPr>
          <w:p>
            <w:pPr>
              <w:spacing w:after="0"/>
              <w:rPr>
                <w:sz w:val="17"/>
                <w:szCs w:val="17"/>
                <w:color w:val="auto"/>
              </w:rPr>
            </w:pPr>
          </w:p>
        </w:tc>
        <w:tc>
          <w:tcPr>
            <w:tcW w:w="4300" w:type="dxa"/>
            <w:vAlign w:val="bottom"/>
            <w:gridSpan w:val="6"/>
          </w:tcPr>
          <w:p>
            <w:pPr>
              <w:ind w:left="260"/>
              <w:spacing w:after="0"/>
              <w:rPr>
                <w:sz w:val="20"/>
                <w:szCs w:val="20"/>
                <w:color w:val="auto"/>
              </w:rPr>
            </w:pPr>
            <w:r>
              <w:rPr>
                <w:rFonts w:ascii="Times New Roman" w:cs="Times New Roman" w:eastAsia="Times New Roman" w:hAnsi="Times New Roman"/>
                <w:sz w:val="16"/>
                <w:szCs w:val="16"/>
                <w:color w:val="auto"/>
              </w:rPr>
              <w:t>shares of common stock represented by certificates described</w:t>
            </w: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3"/>
        </w:trPr>
        <w:tc>
          <w:tcPr>
            <w:tcW w:w="420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color w:val="auto"/>
              </w:rPr>
              <w:t>above are being surrendered hereby.</w:t>
            </w: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CORPORATE ACTIONS, COY: SLNO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79" w:name="page80"/>
    <w:bookmarkEnd w:id="79"/>
    <w:p>
      <w:pPr>
        <w:ind w:left="4" w:right="5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READ THE INSTRUCTIONS ACCOMPANYING THIS LETTER OF TRANSMITTAL CAREFULLY BEFORE COMPLETING THIS LETTER OF TRANSMITTAL.</w:t>
      </w:r>
    </w:p>
    <w:p>
      <w:pPr>
        <w:spacing w:after="0" w:line="155"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IF YOU WOULD LIKE ADDITIONAL COPIES OF THIS LETTER OF TRANSMITTAL OR ANY OF THE OTHER OFFERING DOCUMENTS, YOU SHOULD CONTACT THE INFORMATION AGENT, MACKENZIE PARTNERS, INC. TOLL FREE AT (800) 322-2885.</w:t>
      </w:r>
    </w:p>
    <w:p>
      <w:pPr>
        <w:spacing w:after="0" w:line="17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You have received this Letter of Transmittal in connection with the offer of Sigma Merger Sub, Inc., a Delaware corporation (“Purchaser”) and a direct wholly owned subsidiary of Neurocrine Biosciences, Inc., a Delaware corporation (“Neurocrine”), to purchase all outstanding shares (collectively, the “Shares”) of common stock, par value $0.001 per share, of Soleno Therapeutics, Inc., a Delaware corporation (“Soleno”), at a price of $53.00 per Share, payable in cash, without interest and less any applicable withholding taxes, as described in the Offer to Purchase, dated April 20, 2026 (as it may be amended or supplemented from time to time, the “Offer to Purchase” and, together with this Letter of Transmittal, as it may be amended or supplemented from time to time, the “Offer”).</w:t>
      </w:r>
    </w:p>
    <w:p>
      <w:pPr>
        <w:spacing w:after="0" w:line="187"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You should use this Letter of Transmittal to deliver to Equiniti Trust Company, LLC (the “Depositary”) Shares represented by stock certificates (“Certificates”), or held in book-entry form on the books of Soleno, for tender. If you are delivering your Shares by book-entry transfer to an account maintained by the Depositary at The Depository Trust Company (“DTC”), you must use an Agent’s Message (as defined in Instruction 2 below).</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Additional Information if Certificates Have Been Lost, Destroyed or Stolen, or Are Being Delivered By Book-Entry Transfer</w:t>
      </w:r>
    </w:p>
    <w:p>
      <w:pPr>
        <w:spacing w:after="0" w:line="22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Certificates you are tendering with this Letter of Transmittal have been lost, stolen, destroyed or mutilated, you should contact Equiniti Trust Company, LLC, in its capacity as transfer agent (the “Transfer Agent”), at (800) 937-5449 to get the required paperwork to replace your certificate and participate in the Offer. You may be required to post a bond to secure against the risk that the Certificates may be subsequently recirculated. </w:t>
      </w:r>
      <w:r>
        <w:rPr>
          <w:rFonts w:ascii="Times New Roman" w:cs="Times New Roman" w:eastAsia="Times New Roman" w:hAnsi="Times New Roman"/>
          <w:sz w:val="18"/>
          <w:szCs w:val="18"/>
          <w:b w:val="1"/>
          <w:bCs w:val="1"/>
          <w:color w:val="auto"/>
        </w:rPr>
        <w:t>You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urged to contact the Transfer Agent immediately in order to receive further instructions, for a determination of whether you will need to post a bond and to permit timely processing of this documentation. See Instruction 11.</w:t>
      </w:r>
    </w:p>
    <w:p>
      <w:pPr>
        <w:spacing w:after="0" w:line="206" w:lineRule="exact"/>
        <w:rPr>
          <w:sz w:val="20"/>
          <w:szCs w:val="20"/>
          <w:color w:val="auto"/>
        </w:rPr>
      </w:pPr>
    </w:p>
    <w:p>
      <w:pPr>
        <w:ind w:left="424" w:right="320" w:hanging="424"/>
        <w:spacing w:after="0" w:line="268" w:lineRule="auto"/>
        <w:tabs>
          <w:tab w:leader="none" w:pos="424" w:val="left"/>
        </w:tabs>
        <w:numPr>
          <w:ilvl w:val="0"/>
          <w:numId w:val="8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HERE IF TENDERED SHARES ARE BEING DELIVERED BY BOOK-ENTRY TRANSFER TO THE ACCOUNT MAINTAINED BY THE DEPOSITARY WITH DTC AND COMPLETE THE FOLLOWING (ONLY FINANCIAL INSTITUTIONS THAT ARE PARTICIPANTS IN DTC MAY DELIVER SHARES BY BOOK-ENTRY TRANSFER):</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Tendering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-1905</wp:posOffset>
            </wp:positionV>
            <wp:extent cx="56235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DTC Participant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-1905</wp:posOffset>
            </wp:positionV>
            <wp:extent cx="56235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 Code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-1905</wp:posOffset>
            </wp:positionV>
            <wp:extent cx="56235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NOTE: SIGNATURES MUST BE PROVIDED BELOW.</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PLEASE READ THE ACCOMPANYING INSTRUCTIONS CAREFULLY.</w:t>
      </w:r>
    </w:p>
    <w:p>
      <w:pPr>
        <w:spacing w:after="0" w:line="2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VOLUNTARY CORPORATE ACTIONS, COY: SLNO</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Ladies and Gentlemen:</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undersigned hereby tenders to Sigma Merger Sub, Inc., a Delaware corporation (“Purchaser”) and a direct wholly owned subsidiary of Neurocrine Biosciences, Inc., a Delaware corporation (“Neurocrine”), the above described shares of common stock, par value $0.001 per share (the “Shares”), of Soleno Therapeutics, Inc., a Delaware corporation (“Soleno”), pursuant to Purchaser’s offer to purchase, subject to certain conditions, including the satisfaction of the Minimum Condition (as defined in the Offer to Purchase), any and all of the outstanding Shares, in exchange for $53.00 per Share, payable in cash, without interest and subject to reduction for any applicable withholding taxes (the “Offer Price”), upon the terms and subject to the conditions set forth in the Offer to Purchase, dated April 20, 2026 (the “Offer to Purchase”), and in this Letter of Transmittal (the “Letter of Transmittal” which, together with the Offer to Purchase, as each may be amended and supplemented from time to time, collectively constitute the “Offer”), receipt of which is hereby acknowledged.</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Upon the terms and subject to the conditions of the Offer (and if the Offer is extended or amended, the terms of any such extension or amendment), and effective upon acceptance for payment of the Shares validly tendered herewith and not validly withdrawn prior to the Expiration Date (as defined in the Offer to Purchase) in accordance with the terms of the Offer, the undersigned hereby sells, assigns and transfers to or upon the order of Purchaser all right, title and interest in and to all of the Shares that are being tendered hereby (and any and all dividends, distributions, rights, other Shares or other securities issued or issuable in respect thereof on or after the date hereof (collectively, “Distributions”)) and irrevocably constitutes and appoints Neurocrine the true and lawful agent and attorney-in-fact of the undersigned with respect to such Shares (and any and all Distributions), with full power of substitution (such power of attorney being deemed to be an irrevocable power coupled with an interest in the Shares tendered by this Letter of Transmittal), to (i) deliver Certificates for such Shares (and any and all Distributions) or transfer ownership of such Shares (and any and all Distributions) on the account books maintained by The Depository Trust Company (“DTC”) or otherwise held in book-entry form, together, in any such case, with all accompanying evidences of transfer and authenticity, to or upon the order of Purchaser, (ii) present such Shares (and any and all Distributions) for transfer on the books of Soleno and (iii) receive all benefits and otherwise exercise all rights of beneficial ownership of such Shares (and any and all Distributions), all in accordance with the terms and subject to the conditions of the Offer.</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By executing this Letter of Transmittal (or taking action resulting in the delivery of an Agent’s Message, as defined in the Offer to Purchase), the undersigned hereby irrevocably appoints each of the designees of Purchaser the attorneys-in-fact and proxies of the undersigned, each with full power of substitution, (i) to vote at any annual or special meeting of Soleno’s stockholders or any adjournment or postponement thereof or otherwise in such manner as each such attorney-in-fact and proxy or its, his or her substitute shall in its, his or her sole discretion deem proper with respect to, (ii) to execute any written consent concerning any matter as each such attorney-in-fact and proxy or its, his or her substitute shall in its, his or her sole discretion deem proper with respect to and (iii) to otherwise act as each such attorney-in-fact and proxy or its, his or her substitute shall in its, his or her sole discretion deem proper with respect to, all of the Shares (and any and all Distributions) tendered hereby and accepted for payment by Purchaser. This appointment will be effective if and when, and only to the extent that, Purchaser accepts such Shares for payment pursuant to the Offer. This power of attorney and proxy are irrevocable and are granted in consideration of the acceptance for payment of such Shares in accordance with the terms of the Offer. Such acceptance for payment shall, without further action, revoke any prior powers of attorney and proxies granted by the undersigned at any time with respect to such Shares (and any and all Distributions), and no subsequent powers of attorney, proxies, consents or revocations may be given by the undersigned with respect thereto (and, if given, will not be deemed effective). Purchaser reserves the right to require that, in order for the Shares to be deemed validly tendered, immediately upon Purchaser’s acceptance for payment of such Shares, Purchaser or its designees must be able to exercise full voting, consent and other rights with respect to such Shares (and any and all Distributions), including voting at any meeting of Soleno’s stockholders.</w:t>
      </w:r>
    </w:p>
    <w:p>
      <w:pPr>
        <w:spacing w:after="0" w:line="19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tender, sell, assign and transfer any and all of the Shares tendered hereby (and any and all Distributions) and that, when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1" w:name="page82"/>
    <w:bookmarkEnd w:id="81"/>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same are accepted for payment by Purchaser, Purchaser will acquire good and unencumbered title to such Shares (and such Distributions), free and clear of all liens, restrictions, charges and encumbrances (other than general restrictions and encumbrances arising under state or federal securities laws) and the same will not be subject to any adverse claims. The undersigned hereby represents and warrants that the undersigned is the registered owner of the Shares, or the Certificate(s) have been endorsed to the undersigned in blank, or the undersigned is a participant in DTC whose name appears on a security position listing as the owner of the Shares. The undersigned will, upon request, execute and deliver any additional documents deemed by the Depositary or Purchaser to be necessary or desirable to complete the sale, assignment and transfer of the Shares tendered hereby (and any and all Distributions). In addition, the undersigned shall remit and transfer promptly to the Depositary for the account of Purchaser all Distributions in respect of any and all of the Shares tendered hereby, accompanied by appropriate documentation of transfer, and, pending such remittance and transfer or appropriate assurance thereof, Purchaser shall be entitled to all rights and privileges as owner of each such Distribution and may withhold the entire Offer Price of the Shares tendered hereby or deduct from such Offer Price the amount or value of such Distribution as determined by Purchaser in its sole discretion.</w:t>
      </w:r>
    </w:p>
    <w:p>
      <w:pPr>
        <w:spacing w:after="0" w:line="19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All authority herein conferred or agreed to be conferred shall not be affected by, and shall survive the death or incapacity of the undersigned, and any obligation of the undersigned hereunder shall be binding upon the heirs, executors, administrators, personal representatives, trustees in bankruptcy, successors and assigns of the undersigned. Except as stated in the Offer to Purchase, this tender is irrevocable.</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undersigned hereby acknowledges that delivery of any Certificate shall be effected, and risk of loss and title to such Certificate shall pass, only upon the proper delivery of such Certificate to the Depositary.</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the valid tender of Shares pursuant to any of the procedures described in the Offer to Purchase and in the instructions hereto will constitute the undersigned’s acceptance of the terms and conditions of the Offer. Purchaser’s acceptance of such Shares for payment will constitute a binding agreement between the undersigned and Purchaser upon the terms and subject to the conditions of the Offer (and if the Offer is extended or amended, the terms and conditions of such extension or amendment). The undersigned recognizes that under certain circumstances set forth in the Offer, Purchaser may not be required to accept for payment any Shares tendered hereby.</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under “Special Payment Instructions,” please issue a check for the Offer Price of all Shares purchased and, if appropriate, return Certificates not tendered or accepted for payment in the name(s) of the registered holder(s) appearing above under “Description of Shares Tendered.” Similarly, unless otherwise indicated under “Special Delivery Instructions,” please mail the check for the Offer Price of all Shares purchased and, if appropriate, return any Certificates not tendered or not accepted for payment (and any accompanying documents, as appropriate) to the address(es) of the registered holder(s) appearing above under “Description of Shares Tendered.”</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the event that the boxes entitled “Special Payment Instructions” and “Special Delivery Instructions” are both completed, please issue the check for the Offer Price of all Shares purchased and, if appropriate, return any Certificates not tendered or not accepted for payment (and any accompanying documents, as appropriate) in the name(s) of, and deliver such check and, if appropriate, return any Certificates (and any accompanying documents, as appropriate) to, the person(s) so indicated. Unless otherwise indicated herein in the box entitled “Special Payment Instructions,” please credit any Shares tendered herewith by book-entry transfer that are not accepted for payment by crediting the account at DTC designated above. The undersigned recognizes that Purchaser has no obligation, pursuant to the “Special Payment Instructions,” to transfer any Shares from the name of the registered holder thereof if Purchaser does not accept for payment any of the Shares so tendered.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2" w:name="page83"/>
    <w:bookmarkEnd w:id="82"/>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PAYMENT INSTRUCTIONS</w:t>
      </w:r>
    </w:p>
    <w:p>
      <w:pPr>
        <w:spacing w:after="0" w:line="22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u w:val="single" w:color="auto"/>
          <w:color w:val="auto"/>
        </w:rPr>
        <w:t>Medallion Guaranty Stamp Required</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07"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in consideration of Shares accepted for payment are to be issued in the name of someone other than the undersigned or if Shares tendered by book-entry transfer which are not accepted for payment are to be returned by credit to an account maintained at DTC other than that designated above.*</w:t>
      </w:r>
    </w:p>
    <w:p>
      <w:pPr>
        <w:spacing w:after="0" w:line="135" w:lineRule="exact"/>
        <w:rPr>
          <w:sz w:val="20"/>
          <w:szCs w:val="20"/>
          <w:color w:val="auto"/>
        </w:rPr>
      </w:pPr>
    </w:p>
    <w:p>
      <w:pPr>
        <w:ind w:left="4"/>
        <w:spacing w:after="0" w:line="207" w:lineRule="exact"/>
        <w:tabs>
          <w:tab w:leader="none" w:pos="964" w:val="left"/>
          <w:tab w:leader="none" w:pos="2544" w:val="left"/>
        </w:tabs>
        <w:rPr>
          <w:sz w:val="20"/>
          <w:szCs w:val="20"/>
          <w:color w:val="auto"/>
        </w:rPr>
      </w:pPr>
      <w:r>
        <w:rPr>
          <w:rFonts w:ascii="Times New Roman" w:cs="Times New Roman" w:eastAsia="Times New Roman" w:hAnsi="Times New Roman"/>
          <w:sz w:val="18"/>
          <w:szCs w:val="18"/>
          <w:color w:val="auto"/>
        </w:rPr>
        <w:t xml:space="preserve">Issue: 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xml:space="preserve">Check and/or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Share Certificates to:</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17145</wp:posOffset>
            </wp:positionV>
            <wp:extent cx="63607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1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5715</wp:posOffset>
            </wp:positionV>
            <wp:extent cx="63607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314325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*Please also complete and submit an IRS Form W-9, or appropriate version of IRS Form W-8 for the recipient</w:t>
      </w:r>
    </w:p>
    <w:p>
      <w:pPr>
        <w:spacing w:after="0" w:line="252" w:lineRule="exact"/>
        <w:rPr>
          <w:sz w:val="20"/>
          <w:szCs w:val="20"/>
          <w:color w:val="auto"/>
        </w:rPr>
      </w:pPr>
    </w:p>
    <w:p>
      <w:pPr>
        <w:ind w:left="424" w:hanging="424"/>
        <w:spacing w:after="0"/>
        <w:tabs>
          <w:tab w:leader="none" w:pos="424" w:val="left"/>
        </w:tabs>
        <w:numPr>
          <w:ilvl w:val="0"/>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Credit Shares tendered by book-entry transfer that are not accepted for payment to the DTC account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b w:val="1"/>
          <w:bCs w:val="1"/>
          <w:color w:val="auto"/>
        </w:rPr>
        <w:t>(DTC Account Number)</w:t>
      </w:r>
    </w:p>
    <w:p>
      <w:pPr>
        <w:spacing w:after="0" w:line="22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SPECIAL DELIVERY INSTRUCTIONS</w:t>
      </w:r>
    </w:p>
    <w:p>
      <w:pPr>
        <w:spacing w:after="0" w:line="22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u w:val="single" w:color="auto"/>
          <w:color w:val="auto"/>
        </w:rPr>
        <w:t>Medallion Guaranty Stamp Required</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07"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purchase price of Shares accepted for payment are to be sent to someone other than the undersigned or to the undersigned at an address other than that shown in the box titled “Description of Shares Tendered” above.</w:t>
      </w:r>
    </w:p>
    <w:p>
      <w:pPr>
        <w:spacing w:after="0" w:line="13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Deliver: 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Check(s) and/or 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 Certificates to:</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17145</wp:posOffset>
            </wp:positionV>
            <wp:extent cx="63607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1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5715</wp:posOffset>
            </wp:positionV>
            <wp:extent cx="63607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314325</wp:posOffset>
            </wp:positionV>
            <wp:extent cx="6995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16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4"/>
          </w:cols>
          <w:pgMar w:left="436" w:top="266" w:right="57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IMPORTANT—SIGN HERE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Holders Please Also Complete the Enclosed IRS Form W-9)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(Non-U.S. Holders Please Obtain and Complete IRS Form W-8BEN or Other Applicable IRS Form W-8)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297180</wp:posOffset>
            </wp:positionV>
            <wp:extent cx="64293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9423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942340" cy="8890"/>
                    </a:xfrm>
                    <a:prstGeom prst="rect">
                      <a:avLst/>
                    </a:prstGeom>
                    <a:noFill/>
                  </pic:spPr>
                </pic:pic>
              </a:graphicData>
            </a:graphic>
          </wp:anchor>
        </w:drawing>
      </w:r>
    </w:p>
    <w:p>
      <w:pPr>
        <w:spacing w:after="0" w:line="20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17145</wp:posOffset>
            </wp:positionV>
            <wp:extent cx="63607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0</wp:posOffset>
            </wp:positionV>
            <wp:extent cx="57346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573468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17145</wp:posOffset>
            </wp:positionV>
            <wp:extent cx="63607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240030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17145</wp:posOffset>
            </wp:positionV>
            <wp:extent cx="47491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21710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217106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GUARANTEE OF SIGNATURE(S)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use by Eligible Institutions only; see Instructions 1 and 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17145</wp:posOffset>
            </wp:positionV>
            <wp:extent cx="58978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240030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5715</wp:posOffset>
            </wp:positionV>
            <wp:extent cx="55892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17145</wp:posOffset>
            </wp:positionV>
            <wp:extent cx="64979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240030</wp:posOffset>
            </wp:positionV>
            <wp:extent cx="6995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Type or Print)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17145</wp:posOffset>
            </wp:positionV>
            <wp:extent cx="47491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222885</wp:posOffset>
            </wp:positionV>
            <wp:extent cx="64979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-7620</wp:posOffset>
            </wp:positionV>
            <wp:extent cx="11430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203" w:lineRule="exact"/>
        <w:rPr>
          <w:sz w:val="20"/>
          <w:szCs w:val="20"/>
          <w:color w:val="auto"/>
        </w:rPr>
      </w:pPr>
    </w:p>
    <w:p>
      <w:pPr>
        <w:ind w:firstLine="436"/>
        <w:spacing w:after="0" w:line="255" w:lineRule="auto"/>
        <w:tabs>
          <w:tab w:leader="none" w:pos="6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Guarantee of Signatures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signature guarantee is required on this Letter of Transmittal (a) if this Letter of Transmittal is signed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holder(s) (which term, for purposes of this Instruction, includes any participant in DTC’s systems whose name appears on a security position listing as the owner of the Shares) of Shares tendered herewith, unless such registered holder has completed either the box entitled “Special Payment Instructions” or the box entitled “Special Delivery Instructions” on this Letter of Transmittal or (b) if such Shares are tendered for the account of a financial institution (including most commercial banks, savings and loan associations and brokerage houses) that is a member in good standing of the Securities Transfer Agents Medallion Program or any other “eligible guarantor institution,” as such term is defined in Rule 17Ad-15 under the Securities Exchange Act of 1934, as amended (each, an “Eligible Institution”). In all other cases, all signatures on this Letter of Transmittal must be guaranteed by an Eligible Institution. See Instruction 5.</w:t>
      </w:r>
    </w:p>
    <w:p>
      <w:pPr>
        <w:spacing w:after="0" w:line="184" w:lineRule="exact"/>
        <w:rPr>
          <w:rFonts w:ascii="Times New Roman" w:cs="Times New Roman" w:eastAsia="Times New Roman" w:hAnsi="Times New Roman"/>
          <w:sz w:val="18"/>
          <w:szCs w:val="18"/>
          <w:b w:val="1"/>
          <w:bCs w:val="1"/>
          <w:color w:val="auto"/>
        </w:rPr>
      </w:pPr>
    </w:p>
    <w:p>
      <w:pPr>
        <w:ind w:right="100" w:firstLine="436"/>
        <w:spacing w:after="0" w:line="286" w:lineRule="auto"/>
        <w:tabs>
          <w:tab w:leader="none" w:pos="6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Requirements of Tender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alternative, conditional or contingent tenders will be accepted. In order for Shares to be validly tendered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Offer, one of the following procedures must be followed:</w:t>
      </w:r>
    </w:p>
    <w:p>
      <w:pPr>
        <w:spacing w:after="0" w:line="15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For Shares held as physical certificates, the Certificates representing tendered Shares, a properly completed and duly executed Letter of Transmittal, together with any required signature guarantees, and any other documents required by this Letter of Transmittal, must be received by the Depositary at one of its addresses set forth on the front page of this Letter of Transmittal before the Expiration Date.</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For Shares held in book-entry form, either a properly completed and duly executed Letter of Transmittal, together with any required signature guarantees, or, in the case of Shares held in book-entry form that are not held, directly or indirectly, through DTC, an Agent’s Message in lieu of this Letter of Transmittal, and any other required documents, must be received by the Depositary at the appropriate address set forth on the front page of this Letter of Transmittal, and such Shares must be delivered according to the book-entry transfer procedures (as set forth in Section 3 of the Offer to Purchase) and a timely confirmation of a book-entry transfer of Shares into the Depositary’s account at DTC (a “Book-Entry Confirmation”) must be received by the Depositary, in each case before the Expiration Date.</w:t>
      </w:r>
    </w:p>
    <w:p>
      <w:pPr>
        <w:spacing w:after="0" w:line="183"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The method of delivery of Shares, this Letter of Transmittal and all other required documents, including delivery through DTC, is at the election and risk of the tendering stockholder. Shares will be deemed delivered (and the risk of loss of Certificates will pass) only when actually received by the Depositary (including, in the case of a book-entry transfer, by Book-Entry Confirmation). If delivery is by mail, then registered mail with return receipt requested, properly insured, is recommended. In all cases, sufficient time should be allowed to ensure timely delivery.</w:t>
      </w:r>
    </w:p>
    <w:p>
      <w:pPr>
        <w:spacing w:after="0" w:line="16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fractional Shares will be purchased. By executing this Letter of Transmittal, the tendering stockholder waives any right to receive any notice of the acceptance for payment of Shares.</w:t>
      </w:r>
    </w:p>
    <w:p>
      <w:pPr>
        <w:spacing w:after="0" w:line="158" w:lineRule="exact"/>
        <w:rPr>
          <w:sz w:val="20"/>
          <w:szCs w:val="20"/>
          <w:color w:val="auto"/>
        </w:rPr>
      </w:pPr>
    </w:p>
    <w:p>
      <w:pPr>
        <w:ind w:right="480" w:firstLine="436"/>
        <w:spacing w:after="0" w:line="286" w:lineRule="auto"/>
        <w:tabs>
          <w:tab w:leader="none" w:pos="6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Inadequate Space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 space provided herein is inadequate, Certificate numbers, the number of Shares represented by such Certificates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and/or the number of Shares tendered should be listed on a separate signed schedule attached hereto.</w:t>
      </w:r>
    </w:p>
    <w:p>
      <w:pPr>
        <w:spacing w:after="0" w:line="154" w:lineRule="exact"/>
        <w:rPr>
          <w:rFonts w:ascii="Times New Roman" w:cs="Times New Roman" w:eastAsia="Times New Roman" w:hAnsi="Times New Roman"/>
          <w:sz w:val="18"/>
          <w:szCs w:val="18"/>
          <w:b w:val="1"/>
          <w:bCs w:val="1"/>
          <w:color w:val="auto"/>
        </w:rPr>
      </w:pPr>
    </w:p>
    <w:p>
      <w:pPr>
        <w:ind w:right="360" w:firstLine="436"/>
        <w:spacing w:after="0" w:line="257" w:lineRule="auto"/>
        <w:tabs>
          <w:tab w:leader="none" w:pos="6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Partial Tenders (Not Applicable to Stockholders who Tender by Book-Entry Transfer)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fewer than all the Shares represented by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delivered to the Depositary are to be tendered, fill in the number of Shares which are to be tendered in the box entitled “Total Shares.” In such case, a new Certificate for the remainder of the Shares represented by the old Certificate will be sent to the person(s) signing this Letter of Transmittal, unless otherwise provided in the appropriate box on this Letter of Transmittal, as promptly as practicable following the expiration or termination of the Offer. All Shares represented by Certificates delivered to the Depositary will be deemed to have been tendered unless otherwise indicated.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85" w:name="page86"/>
    <w:bookmarkEnd w:id="85"/>
    <w:p>
      <w:pPr>
        <w:ind w:left="620" w:hanging="184"/>
        <w:spacing w:after="0"/>
        <w:tabs>
          <w:tab w:leader="none" w:pos="6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 on Letter of Transmittal; Stock Powers and Endorsements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color w:val="auto"/>
        </w:rPr>
      </w:pPr>
    </w:p>
    <w:p>
      <w:pPr>
        <w:ind w:right="320" w:firstLine="767"/>
        <w:spacing w:after="0" w:line="284" w:lineRule="auto"/>
        <w:tabs>
          <w:tab w:leader="none" w:pos="101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Exact Signatures. </w:t>
      </w:r>
      <w:r>
        <w:rPr>
          <w:rFonts w:ascii="Times New Roman" w:cs="Times New Roman" w:eastAsia="Times New Roman" w:hAnsi="Times New Roman"/>
          <w:sz w:val="18"/>
          <w:szCs w:val="18"/>
          <w:color w:val="auto"/>
        </w:rPr>
        <w:t>If this Letter of Transmittal is signed by the registered holder(s) of the Shares tendered hereby, the signature(s)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 with the name(s) as written on the face of the Certificates without alteration, enlargement or any change whatsoever.</w:t>
      </w:r>
    </w:p>
    <w:p>
      <w:pPr>
        <w:spacing w:after="0" w:line="158" w:lineRule="exact"/>
        <w:rPr>
          <w:rFonts w:ascii="Times New Roman" w:cs="Times New Roman" w:eastAsia="Times New Roman" w:hAnsi="Times New Roman"/>
          <w:sz w:val="18"/>
          <w:szCs w:val="18"/>
          <w:color w:val="auto"/>
        </w:rPr>
      </w:pPr>
    </w:p>
    <w:p>
      <w:pPr>
        <w:ind w:left="1020" w:hanging="253"/>
        <w:spacing w:after="0"/>
        <w:tabs>
          <w:tab w:leader="none" w:pos="1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Joint Holders. </w:t>
      </w:r>
      <w:r>
        <w:rPr>
          <w:rFonts w:ascii="Times New Roman" w:cs="Times New Roman" w:eastAsia="Times New Roman" w:hAnsi="Times New Roman"/>
          <w:sz w:val="18"/>
          <w:szCs w:val="18"/>
          <w:color w:val="auto"/>
        </w:rPr>
        <w:t>If any of the Shares tendered hereby are held of record by two or more persons, all such persons must sign this Letter of</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Transmittal.</w:t>
      </w:r>
    </w:p>
    <w:p>
      <w:pPr>
        <w:spacing w:after="0" w:line="204" w:lineRule="exact"/>
        <w:rPr>
          <w:rFonts w:ascii="Times New Roman" w:cs="Times New Roman" w:eastAsia="Times New Roman" w:hAnsi="Times New Roman"/>
          <w:sz w:val="18"/>
          <w:szCs w:val="18"/>
          <w:color w:val="auto"/>
        </w:rPr>
      </w:pPr>
    </w:p>
    <w:p>
      <w:pPr>
        <w:ind w:right="140" w:firstLine="767"/>
        <w:spacing w:after="0" w:line="284" w:lineRule="auto"/>
        <w:tabs>
          <w:tab w:leader="none" w:pos="101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Different Names on Certificates. </w:t>
      </w:r>
      <w:r>
        <w:rPr>
          <w:rFonts w:ascii="Times New Roman" w:cs="Times New Roman" w:eastAsia="Times New Roman" w:hAnsi="Times New Roman"/>
          <w:sz w:val="18"/>
          <w:szCs w:val="18"/>
          <w:color w:val="auto"/>
        </w:rPr>
        <w:t>If any of the Shares tendered hereby are registered in different names on different Certificates, it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to complete, sign and submit as many separate Letters of Transmittal as there are different registrations of Certificates.</w:t>
      </w:r>
    </w:p>
    <w:p>
      <w:pPr>
        <w:spacing w:after="0" w:line="158" w:lineRule="exact"/>
        <w:rPr>
          <w:rFonts w:ascii="Times New Roman" w:cs="Times New Roman" w:eastAsia="Times New Roman" w:hAnsi="Times New Roman"/>
          <w:sz w:val="18"/>
          <w:szCs w:val="18"/>
          <w:color w:val="auto"/>
        </w:rPr>
      </w:pPr>
    </w:p>
    <w:p>
      <w:pPr>
        <w:ind w:right="280" w:firstLine="767"/>
        <w:spacing w:after="0" w:line="261" w:lineRule="auto"/>
        <w:tabs>
          <w:tab w:leader="none" w:pos="102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Endorsements. </w:t>
      </w:r>
      <w:r>
        <w:rPr>
          <w:rFonts w:ascii="Times New Roman" w:cs="Times New Roman" w:eastAsia="Times New Roman" w:hAnsi="Times New Roman"/>
          <w:sz w:val="18"/>
          <w:szCs w:val="18"/>
          <w:color w:val="auto"/>
        </w:rPr>
        <w:t>If this Letter of Transmittal is signed by the registered holder(s) of the Shares tendered hereby, no endorsements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or separate stock powers are required unless payment of the Offer Price is to be made, or Shares not tendered or not purchased are to be returned, in the name of any person other than the registered holder(s). Signatures on any such Certificates or stock powers must be guaranteed by an Eligible Institution.</w:t>
      </w:r>
    </w:p>
    <w:p>
      <w:pPr>
        <w:spacing w:after="0" w:line="179" w:lineRule="exact"/>
        <w:rPr>
          <w:rFonts w:ascii="Times New Roman" w:cs="Times New Roman" w:eastAsia="Times New Roman" w:hAnsi="Times New Roman"/>
          <w:sz w:val="18"/>
          <w:szCs w:val="18"/>
          <w:color w:val="auto"/>
        </w:rPr>
      </w:pPr>
    </w:p>
    <w:p>
      <w:pPr>
        <w:ind w:right="260" w:firstLine="767"/>
        <w:spacing w:after="0" w:line="261" w:lineRule="auto"/>
        <w:tabs>
          <w:tab w:leader="none" w:pos="101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Powers. </w:t>
      </w:r>
      <w:r>
        <w:rPr>
          <w:rFonts w:ascii="Times New Roman" w:cs="Times New Roman" w:eastAsia="Times New Roman" w:hAnsi="Times New Roman"/>
          <w:sz w:val="18"/>
          <w:szCs w:val="18"/>
          <w:color w:val="auto"/>
        </w:rPr>
        <w:t>If this Letter of Transmittal is signed by a person other than the registered holder(s) of the Shares tendered 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must be endorsed or accompanied by appropriate stock powers, in either case, signed exactly as the name(s) of the registered holder(s) appear(s) on the Certificates for such Shares. Signature(s) on any such Certificates or stock powers must be guaranteed by an Eligible Institution. See Instruction 1.</w:t>
      </w:r>
    </w:p>
    <w:p>
      <w:pPr>
        <w:spacing w:after="0" w:line="179" w:lineRule="exact"/>
        <w:rPr>
          <w:rFonts w:ascii="Times New Roman" w:cs="Times New Roman" w:eastAsia="Times New Roman" w:hAnsi="Times New Roman"/>
          <w:sz w:val="18"/>
          <w:szCs w:val="18"/>
          <w:color w:val="auto"/>
        </w:rPr>
      </w:pPr>
    </w:p>
    <w:p>
      <w:pPr>
        <w:jc w:val="both"/>
        <w:ind w:right="120" w:firstLine="767"/>
        <w:spacing w:after="0" w:line="261" w:lineRule="auto"/>
        <w:tabs>
          <w:tab w:leader="none" w:pos="9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Evidence of Fiduciary or Representative Capacity. </w:t>
      </w:r>
      <w:r>
        <w:rPr>
          <w:rFonts w:ascii="Times New Roman" w:cs="Times New Roman" w:eastAsia="Times New Roman" w:hAnsi="Times New Roman"/>
          <w:sz w:val="18"/>
          <w:szCs w:val="18"/>
          <w:color w:val="auto"/>
        </w:rPr>
        <w:t>If this Letter of Transmittal or any Certificate or stock power is signed by a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executor, administrator, guardian, attorney-in-fact, officer of a corporation or other legal entity or other person acting in a fiduciary or representative capacity, such person should so indicate when signing, and proper evidence satisfactory to the Depositary of the authority of such person so to act must be submitted. Proper evidence of authority includes a power of attorney, a letter of testamentary or a letter of appointment.</w:t>
      </w:r>
    </w:p>
    <w:p>
      <w:pPr>
        <w:spacing w:after="0" w:line="177" w:lineRule="exact"/>
        <w:rPr>
          <w:rFonts w:ascii="Times New Roman" w:cs="Times New Roman" w:eastAsia="Times New Roman" w:hAnsi="Times New Roman"/>
          <w:sz w:val="18"/>
          <w:szCs w:val="18"/>
          <w:color w:val="auto"/>
        </w:rPr>
      </w:pPr>
    </w:p>
    <w:p>
      <w:pPr>
        <w:ind w:right="20" w:firstLine="436"/>
        <w:spacing w:after="0" w:line="259" w:lineRule="auto"/>
        <w:tabs>
          <w:tab w:leader="none" w:pos="6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Transfer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payment is to be made to, or if Certificate(s) for Shares not tendered or not accepted for payment are to be registered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name of, any person(s) other than the registered holder(s), or if tendered Certificate(s) for Share(s) are registered in the name of any person(s) other than the person(s) signing this Letter of Transmittal, no amounts shall be paid in respect of such Share(s) unless evidence satisfactory to Soleno (or any successor entity) of the payment of any stock transfer or similar taxes (whether imposed on the registered holder(s) or such other person(s) or otherwise) payable as a result of the transfer to such other person(s), or exemption therefrom, is submitted.</w:t>
      </w:r>
    </w:p>
    <w:p>
      <w:pPr>
        <w:spacing w:after="0" w:line="179" w:lineRule="exact"/>
        <w:rPr>
          <w:rFonts w:ascii="Times New Roman" w:cs="Times New Roman" w:eastAsia="Times New Roman" w:hAnsi="Times New Roman"/>
          <w:sz w:val="18"/>
          <w:szCs w:val="18"/>
          <w:b w:val="1"/>
          <w:bCs w:val="1"/>
          <w:color w:val="auto"/>
        </w:rPr>
      </w:pPr>
    </w:p>
    <w:p>
      <w:pPr>
        <w:ind w:right="20" w:firstLine="436"/>
        <w:spacing w:after="0" w:line="259" w:lineRule="auto"/>
        <w:tabs>
          <w:tab w:leader="none" w:pos="6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Special Payment and Delivery Instructions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 check is to be issued for the Offer Price of any Shares tendered by this Letter of Transmittal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name of, and, if appropriate, Certificates for Shares not tendered or not accepted for payment are to be issued or returned to, any person(s) other than the signer of this Letter of Transmittal or if a check and, if appropriate, such Certificates are to be returned to any person(s) other than the person(s) signing this Letter of Transmittal or to an address other than that shown in this Letter of Transmittal, the appropriate boxes on this Letter of Transmittal must be completed.</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6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U.S. federal income tax law, a tendering stockholder that is a United States person (as defined for U.S. federal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purposes, a “United States person”), and, if applicable, each other U.S. payee, is required to provide the Depositary with a correct taxpayer identification number (“TIN”) on IRS Form W-9, which is included herein, and to certify, under penalties of perjury, that such number is correct and that such stockholder or payee is not subject to backup withholding of U.S. federal income tax or otherwise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86" w:name="page87"/>
    <w:bookmarkEnd w:id="8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 a basis for exemption from backup withholding. Failure to provide the information on the IRS Form W-9 may subject the tendering stockholder or payee to backup withholding at the applicable rate (currently 24%), and such stockholder or payee may be subject to a penalty imposed by the IRS. The tendering stockholder or payee should write “Applied For” in the space for the TIN if a TIN has not been issued and the stockholder or payee has applied for a number or intends to apply for a number in the near future. If a TIN has been applied for and the Depositary is not provided with a TIN before payment is made, the tendering stockholder or payee will be subject to backup withholding at the applicable rate (currently 24%). See the enclosed IRS Form W-9 and the instructions thereto for additional information.</w:t>
      </w:r>
    </w:p>
    <w:p>
      <w:pPr>
        <w:spacing w:after="0" w:line="187"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Certain stockholders or payees (including, among others, certain corporations and certain non-U.S. persons) may not be subject to backup withholding. Exempt stockholders or payees that are United States persons should furnish their TIN, check the appropriate box on the IRS Form W-9 and sign, date and return the IRS Form W-9 to the Depositary in order to avoid backup withholding. A stockholder or other payee that is not a United States person may qualify as an exempt recipient by providing the Depositary with a properly completed IRS Form W-8BEN or IRS Form W-8BEN-E, as applicable, or other appropriate IRS Form W-8, signed under penalties of perjury, attesting to such stockholder or payee’s foreign status or by otherwise establishing an exemption. An appropriate IRS Form W-8 may be obtained from the Depositary or the IRS website (</w:t>
      </w:r>
      <w:r>
        <w:rPr>
          <w:rFonts w:ascii="Times New Roman" w:cs="Times New Roman" w:eastAsia="Times New Roman" w:hAnsi="Times New Roman"/>
          <w:sz w:val="18"/>
          <w:szCs w:val="18"/>
          <w:i w:val="1"/>
          <w:iCs w:val="1"/>
          <w:color w:val="auto"/>
        </w:rPr>
        <w:t>www.irs.gov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a person subject to backup withholding, if any, will be reduced by the amount of tax withheld. If backup withholding results in an overpayment of taxes, a refund or credit may be obtained from the IRS, provided that the required information is timely provided to the IRS.</w:t>
      </w:r>
    </w:p>
    <w:p>
      <w:pPr>
        <w:spacing w:after="0" w:line="172" w:lineRule="exact"/>
        <w:rPr>
          <w:sz w:val="20"/>
          <w:szCs w:val="20"/>
          <w:color w:val="auto"/>
        </w:rPr>
      </w:pPr>
    </w:p>
    <w:p>
      <w:pPr>
        <w:ind w:right="3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FAILURE TO PROVIDE A PROPERLY COMPLETED AND SIGNED IRS FORM W-9 OR A PROPERLY COMPLETED AND SIGNED IRS FORM W-8BEN OR OTHER APPLICABLE IRS FORM W-8 MAY RESULT IN BACKUP WITHHOLDING UNDER U.S. FEDERAL INCOME TAX LAWS ON ANY PAYMENTS MADE TO YOU PURSUANT TO THE OFFER OR THE MERGER AND MAY RESULT IN PENALTIES IMPOSED BY THE IRS.</w:t>
      </w:r>
    </w:p>
    <w:p>
      <w:pPr>
        <w:spacing w:after="0" w:line="176" w:lineRule="exact"/>
        <w:rPr>
          <w:sz w:val="20"/>
          <w:szCs w:val="20"/>
          <w:color w:val="auto"/>
        </w:rPr>
      </w:pPr>
    </w:p>
    <w:p>
      <w:pPr>
        <w:ind w:right="60" w:firstLine="436"/>
        <w:spacing w:after="0" w:line="254" w:lineRule="auto"/>
        <w:tabs>
          <w:tab w:leader="none" w:pos="6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Irregularities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questions as to the validity, form, eligibility (including time of receipt) and acceptance for payment of any tender of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determined by Purchaser, in its sole discretion, which determination shall be final and binding on all parties. However, stockholders may challenge Purchaser’s determinations in a court of competent jurisdiction. Purchaser reserves the absolute right to reject any and all tenders determined by it not to be in proper form or the acceptance for payment of which may, in the opinion of its counsel, be unlawful.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waived or cured within such time as Purchaser shall determine. None of Neurocrine, Purchaser, the Depositary, the Information Agent or any other person will be under any duty to give notice of any defects or irregularities in tenders or incur any liability for failure to give any such notice. Purchaser’s interpretation of the terms and conditions of the Offer (including the Letter of Transmittal and the instructions thereto) will be final and binding.</w:t>
      </w:r>
    </w:p>
    <w:p>
      <w:pPr>
        <w:spacing w:after="0" w:line="185" w:lineRule="exact"/>
        <w:rPr>
          <w:rFonts w:ascii="Times New Roman" w:cs="Times New Roman" w:eastAsia="Times New Roman" w:hAnsi="Times New Roman"/>
          <w:sz w:val="18"/>
          <w:szCs w:val="18"/>
          <w:b w:val="1"/>
          <w:bCs w:val="1"/>
          <w:color w:val="auto"/>
        </w:rPr>
      </w:pPr>
    </w:p>
    <w:p>
      <w:pPr>
        <w:ind w:right="40" w:firstLine="436"/>
        <w:spacing w:after="0" w:line="262" w:lineRule="auto"/>
        <w:tabs>
          <w:tab w:leader="none" w:pos="71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Questions and Requests for Additional Copies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Information Agent may be contacted at the address and telephone number set forth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last page of this Letter of Transmittal for questions and/or requests for additional copies of the Offer to Purchase, this Letter of Transmittal and other tender offer materials. You may also contact your broker, dealer, commercial bank, trust company or other nominee for assistance. Such copies will be furnished promptly at Purchaser’s expense.</w:t>
      </w:r>
    </w:p>
    <w:p>
      <w:pPr>
        <w:spacing w:after="0" w:line="176" w:lineRule="exact"/>
        <w:rPr>
          <w:rFonts w:ascii="Times New Roman" w:cs="Times New Roman" w:eastAsia="Times New Roman" w:hAnsi="Times New Roman"/>
          <w:sz w:val="18"/>
          <w:szCs w:val="18"/>
          <w:b w:val="1"/>
          <w:bCs w:val="1"/>
          <w:color w:val="auto"/>
        </w:rPr>
      </w:pPr>
    </w:p>
    <w:p>
      <w:pPr>
        <w:ind w:right="320" w:firstLine="436"/>
        <w:spacing w:after="0" w:line="268" w:lineRule="auto"/>
        <w:tabs>
          <w:tab w:leader="none" w:pos="7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Lost, Stolen, Destroyed or Mutilated Certificates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any Certificate has been lost, stolen, destroyed or mutilated, the stockholder should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promptly notify Equiniti Trust Company, LLC, in its capacity as Transfer Agent, at (800) 937-5449. The stockholder will then be instructed as to the steps that must be taken in order to</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87" w:name="page88"/>
    <w:bookmarkEnd w:id="8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replace such Certificates. You may be required to post a bond to secure against the risk that the Certificate(s) may be subsequently recirculated. This Letter of Transmittal and related documents cannot be processed until the procedures for replacing lost, destroyed or stolen certificates have been followed. </w:t>
      </w:r>
      <w:r>
        <w:rPr>
          <w:rFonts w:ascii="Times New Roman" w:cs="Times New Roman" w:eastAsia="Times New Roman" w:hAnsi="Times New Roman"/>
          <w:sz w:val="18"/>
          <w:szCs w:val="18"/>
          <w:b w:val="1"/>
          <w:bCs w:val="1"/>
          <w:color w:val="auto"/>
        </w:rPr>
        <w:t>You are urged to contact Equiniti Trust Company, LLC immediately in order to receive further instructions and for a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 whether you will need to post a bond and to permit timely processing of this documentation. </w:t>
      </w:r>
      <w:r>
        <w:rPr>
          <w:rFonts w:ascii="Times New Roman" w:cs="Times New Roman" w:eastAsia="Times New Roman" w:hAnsi="Times New Roman"/>
          <w:sz w:val="18"/>
          <w:szCs w:val="18"/>
          <w:color w:val="auto"/>
        </w:rPr>
        <w:t>This Letter of Transmittal and related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cannot be processed until the procedures for replacing lost, destroyed, mutilated or stolen Certificates have been followed.</w:t>
      </w:r>
    </w:p>
    <w:p>
      <w:pPr>
        <w:spacing w:after="0" w:line="179"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Certificates evidencing tendered Shares, or a Book-Entry Confirmation into the Depositary’s account at DTC, as well as this Letter of Transmittal, properly completed and duly executed, with any required signature guarantees, or an Agent’s Message (if utilized in lieu of this Letter of Transmittal in connection with a book-entry transfer), and any other documents required by this Letter of Transmittal, must be received before the Expiration Date.</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40" w:top="270" w:right="579" w:bottom="1440" w:gutter="0" w:footer="0" w:header="0"/>
        </w:sectPr>
      </w:pPr>
    </w:p>
    <w:bookmarkStart w:id="88" w:name="page89"/>
    <w:bookmarkEnd w:id="88"/>
    <w:tbl>
      <w:tblPr>
        <w:tblLayout w:type="fixed"/>
        <w:tblInd w:w="4" w:type="dxa"/>
        <w:tblCellMar>
          <w:top w:w="0" w:type="dxa"/>
          <w:left w:w="0" w:type="dxa"/>
          <w:bottom w:w="0" w:type="dxa"/>
          <w:right w:w="0" w:type="dxa"/>
        </w:tblCellMar>
      </w:tblPr>
      <w:tr>
        <w:trPr>
          <w:trHeight w:val="287"/>
        </w:trPr>
        <w:tc>
          <w:tcPr>
            <w:tcW w:w="23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Form  </w:t>
            </w:r>
            <w:r>
              <w:rPr>
                <w:rFonts w:ascii="Times New Roman" w:cs="Times New Roman" w:eastAsia="Times New Roman" w:hAnsi="Times New Roman"/>
                <w:sz w:val="43"/>
                <w:szCs w:val="43"/>
                <w:b w:val="1"/>
                <w:bCs w:val="1"/>
                <w:color w:val="auto"/>
              </w:rPr>
              <w:t>W-9</w:t>
            </w:r>
          </w:p>
        </w:tc>
        <w:tc>
          <w:tcPr>
            <w:tcW w:w="5980" w:type="dxa"/>
            <w:vAlign w:val="bottom"/>
          </w:tcPr>
          <w:p>
            <w:pPr>
              <w:jc w:val="center"/>
              <w:ind w:left="212"/>
              <w:spacing w:after="0"/>
              <w:rPr>
                <w:sz w:val="20"/>
                <w:szCs w:val="20"/>
                <w:color w:val="auto"/>
              </w:rPr>
            </w:pPr>
            <w:r>
              <w:rPr>
                <w:rFonts w:ascii="Times New Roman" w:cs="Times New Roman" w:eastAsia="Times New Roman" w:hAnsi="Times New Roman"/>
                <w:sz w:val="25"/>
                <w:szCs w:val="25"/>
                <w:b w:val="1"/>
                <w:bCs w:val="1"/>
                <w:color w:val="auto"/>
              </w:rPr>
              <w:t>Request for Taxpayer</w:t>
            </w:r>
          </w:p>
        </w:tc>
        <w:tc>
          <w:tcPr>
            <w:tcW w:w="18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Give form to the</w:t>
            </w:r>
          </w:p>
        </w:tc>
        <w:tc>
          <w:tcPr>
            <w:tcW w:w="0" w:type="dxa"/>
            <w:vAlign w:val="bottom"/>
          </w:tcPr>
          <w:p>
            <w:pPr>
              <w:spacing w:after="0"/>
              <w:rPr>
                <w:sz w:val="1"/>
                <w:szCs w:val="1"/>
                <w:color w:val="auto"/>
              </w:rPr>
            </w:pPr>
          </w:p>
        </w:tc>
      </w:tr>
      <w:tr>
        <w:trPr>
          <w:trHeight w:val="200"/>
        </w:trPr>
        <w:tc>
          <w:tcPr>
            <w:tcW w:w="2360" w:type="dxa"/>
            <w:vAlign w:val="bottom"/>
            <w:vMerge w:val="continue"/>
          </w:tcPr>
          <w:p>
            <w:pPr>
              <w:spacing w:after="0"/>
              <w:rPr>
                <w:sz w:val="17"/>
                <w:szCs w:val="17"/>
                <w:color w:val="auto"/>
              </w:rPr>
            </w:pPr>
          </w:p>
        </w:tc>
        <w:tc>
          <w:tcPr>
            <w:tcW w:w="5980" w:type="dxa"/>
            <w:vAlign w:val="bottom"/>
            <w:vMerge w:val="restart"/>
          </w:tcPr>
          <w:p>
            <w:pPr>
              <w:jc w:val="center"/>
              <w:ind w:left="212"/>
              <w:spacing w:after="0"/>
              <w:rPr>
                <w:sz w:val="20"/>
                <w:szCs w:val="20"/>
                <w:color w:val="auto"/>
              </w:rPr>
            </w:pPr>
            <w:r>
              <w:rPr>
                <w:rFonts w:ascii="Times New Roman" w:cs="Times New Roman" w:eastAsia="Times New Roman" w:hAnsi="Times New Roman"/>
                <w:sz w:val="25"/>
                <w:szCs w:val="25"/>
                <w:b w:val="1"/>
                <w:bCs w:val="1"/>
                <w:color w:val="auto"/>
              </w:rPr>
              <w:t>Identification Number and Certification</w:t>
            </w:r>
          </w:p>
        </w:tc>
        <w:tc>
          <w:tcPr>
            <w:tcW w:w="18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w w:val="99"/>
              </w:rPr>
              <w:t>requester. Do not</w:t>
            </w:r>
          </w:p>
        </w:tc>
        <w:tc>
          <w:tcPr>
            <w:tcW w:w="0" w:type="dxa"/>
            <w:vAlign w:val="bottom"/>
          </w:tcPr>
          <w:p>
            <w:pPr>
              <w:spacing w:after="0"/>
              <w:rPr>
                <w:sz w:val="1"/>
                <w:szCs w:val="1"/>
                <w:color w:val="auto"/>
              </w:rPr>
            </w:pPr>
          </w:p>
        </w:tc>
      </w:tr>
      <w:tr>
        <w:trPr>
          <w:trHeight w:val="147"/>
        </w:trPr>
        <w:tc>
          <w:tcPr>
            <w:tcW w:w="2360" w:type="dxa"/>
            <w:vAlign w:val="bottom"/>
            <w:vMerge w:val="continue"/>
          </w:tcPr>
          <w:p>
            <w:pPr>
              <w:spacing w:after="0"/>
              <w:rPr>
                <w:sz w:val="12"/>
                <w:szCs w:val="12"/>
                <w:color w:val="auto"/>
              </w:rPr>
            </w:pPr>
          </w:p>
        </w:tc>
        <w:tc>
          <w:tcPr>
            <w:tcW w:w="5980" w:type="dxa"/>
            <w:vAlign w:val="bottom"/>
            <w:vMerge w:val="continue"/>
          </w:tcPr>
          <w:p>
            <w:pPr>
              <w:spacing w:after="0"/>
              <w:rPr>
                <w:sz w:val="12"/>
                <w:szCs w:val="12"/>
                <w:color w:val="auto"/>
              </w:rPr>
            </w:pPr>
          </w:p>
        </w:tc>
        <w:tc>
          <w:tcPr>
            <w:tcW w:w="1880" w:type="dxa"/>
            <w:vAlign w:val="bottom"/>
          </w:tcPr>
          <w:p>
            <w:pPr>
              <w:ind w:left="680"/>
              <w:spacing w:after="0" w:line="147" w:lineRule="exact"/>
              <w:rPr>
                <w:sz w:val="20"/>
                <w:szCs w:val="20"/>
                <w:color w:val="auto"/>
              </w:rPr>
            </w:pPr>
            <w:r>
              <w:rPr>
                <w:rFonts w:ascii="Times New Roman" w:cs="Times New Roman" w:eastAsia="Times New Roman" w:hAnsi="Times New Roman"/>
                <w:sz w:val="16"/>
                <w:szCs w:val="16"/>
                <w:b w:val="1"/>
                <w:bCs w:val="1"/>
                <w:color w:val="auto"/>
              </w:rPr>
              <w:t>send to the IRS.</w:t>
            </w:r>
          </w:p>
        </w:tc>
        <w:tc>
          <w:tcPr>
            <w:tcW w:w="0" w:type="dxa"/>
            <w:vAlign w:val="bottom"/>
          </w:tcPr>
          <w:p>
            <w:pPr>
              <w:spacing w:after="0"/>
              <w:rPr>
                <w:sz w:val="1"/>
                <w:szCs w:val="1"/>
                <w:color w:val="auto"/>
              </w:rPr>
            </w:pPr>
          </w:p>
        </w:tc>
      </w:tr>
      <w:tr>
        <w:trPr>
          <w:trHeight w:val="121"/>
        </w:trPr>
        <w:tc>
          <w:tcPr>
            <w:tcW w:w="23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(Rev. March 2024)</w:t>
            </w:r>
          </w:p>
        </w:tc>
        <w:tc>
          <w:tcPr>
            <w:tcW w:w="59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Department of the Treasury</w:t>
            </w:r>
          </w:p>
        </w:tc>
        <w:tc>
          <w:tcPr>
            <w:tcW w:w="5980" w:type="dxa"/>
            <w:vAlign w:val="bottom"/>
            <w:vMerge w:val="restart"/>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 xml:space="preserve">Go to </w:t>
            </w:r>
            <w:r>
              <w:rPr>
                <w:rFonts w:ascii="Times New Roman" w:cs="Times New Roman" w:eastAsia="Times New Roman" w:hAnsi="Times New Roman"/>
                <w:sz w:val="14"/>
                <w:szCs w:val="14"/>
                <w:b w:val="1"/>
                <w:bCs w:val="1"/>
                <w:i w:val="1"/>
                <w:iCs w:val="1"/>
                <w:color w:val="auto"/>
              </w:rPr>
              <w:t>www.irs.gov/FormW9</w:t>
            </w:r>
            <w:r>
              <w:rPr>
                <w:rFonts w:ascii="Times New Roman" w:cs="Times New Roman" w:eastAsia="Times New Roman" w:hAnsi="Times New Roman"/>
                <w:sz w:val="14"/>
                <w:szCs w:val="14"/>
                <w:b w:val="1"/>
                <w:bCs w:val="1"/>
                <w:color w:val="auto"/>
              </w:rPr>
              <w:t xml:space="preserve"> for instructions and the latest information.</w:t>
            </w: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Internal Revenue Service</w:t>
            </w:r>
          </w:p>
        </w:tc>
        <w:tc>
          <w:tcPr>
            <w:tcW w:w="598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0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74865" cy="780415"/>
                    </a:xfrm>
                    <a:prstGeom prst="rect">
                      <a:avLst/>
                    </a:prstGeom>
                    <a:noFill/>
                  </pic:spPr>
                </pic:pic>
              </a:graphicData>
            </a:graphic>
          </wp:anchor>
        </w:drawing>
        <w:t xml:space="preserve">Before you begin. </w:t>
      </w:r>
      <w:r>
        <w:rPr>
          <w:rFonts w:ascii="Times New Roman" w:cs="Times New Roman" w:eastAsia="Times New Roman" w:hAnsi="Times New Roman"/>
          <w:sz w:val="14"/>
          <w:szCs w:val="14"/>
          <w:color w:val="auto"/>
        </w:rPr>
        <w:t>For guidance related to the purpose of Form W-9,</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see Purpose of Form</w:t>
      </w:r>
      <w:r>
        <w:rPr>
          <w:rFonts w:ascii="Times New Roman" w:cs="Times New Roman" w:eastAsia="Times New Roman" w:hAnsi="Times New Roman"/>
          <w:sz w:val="14"/>
          <w:szCs w:val="14"/>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6995160" cy="27514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995160" cy="2751455"/>
                    </a:xfrm>
                    <a:prstGeom prst="rect">
                      <a:avLst/>
                    </a:prstGeom>
                    <a:noFill/>
                  </pic:spPr>
                </pic:pic>
              </a:graphicData>
            </a:graphic>
          </wp:anchor>
        </w:drawing>
      </w:r>
    </w:p>
    <w:p>
      <w:pPr>
        <w:spacing w:after="0" w:line="65" w:lineRule="exact"/>
        <w:rPr>
          <w:sz w:val="20"/>
          <w:szCs w:val="20"/>
          <w:color w:val="auto"/>
        </w:rPr>
      </w:pPr>
    </w:p>
    <w:p>
      <w:pPr>
        <w:ind w:left="884" w:right="1440"/>
        <w:spacing w:after="0" w:line="243" w:lineRule="auto"/>
        <w:rPr>
          <w:sz w:val="20"/>
          <w:szCs w:val="20"/>
          <w:color w:val="auto"/>
        </w:rPr>
      </w:pPr>
      <w:r>
        <w:rPr>
          <w:rFonts w:ascii="Times New Roman" w:cs="Times New Roman" w:eastAsia="Times New Roman" w:hAnsi="Times New Roman"/>
          <w:sz w:val="13"/>
          <w:szCs w:val="13"/>
          <w:b w:val="1"/>
          <w:bCs w:val="1"/>
          <w:color w:val="auto"/>
        </w:rPr>
        <w:t> 1</w:t>
      </w:r>
      <w:r>
        <w:rPr>
          <w:rFonts w:ascii="Times New Roman" w:cs="Times New Roman" w:eastAsia="Times New Roman" w:hAnsi="Times New Roman"/>
          <w:sz w:val="13"/>
          <w:szCs w:val="13"/>
          <w:color w:val="auto"/>
        </w:rPr>
        <w:t xml:space="preserve">    Name of entity/individual. An entry is required. (For a sole proprietor or disregarded entity, enter the owner’s name on line 1, and enter the business/disregarded entity’s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name on line 2.)</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820" w:type="dxa"/>
            <w:vAlign w:val="bottom"/>
          </w:tcPr>
          <w:p>
            <w:pPr>
              <w:spacing w:after="0"/>
              <w:rPr>
                <w:sz w:val="14"/>
                <w:szCs w:val="14"/>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7"/>
              </w:rPr>
              <w:t> 2</w:t>
            </w:r>
            <w:r>
              <w:rPr>
                <w:rFonts w:ascii="Times New Roman" w:cs="Times New Roman" w:eastAsia="Times New Roman" w:hAnsi="Times New Roman"/>
                <w:sz w:val="13"/>
                <w:szCs w:val="13"/>
                <w:color w:val="auto"/>
                <w:w w:val="97"/>
              </w:rPr>
              <w:t xml:space="preserve">    Business name/disregarded entity name, if different from above.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12"/>
          </w:tcPr>
          <w:p>
            <w:pPr>
              <w:spacing w:after="0"/>
              <w:rPr>
                <w:sz w:val="17"/>
                <w:szCs w:val="17"/>
                <w:color w:val="auto"/>
              </w:rPr>
            </w:pPr>
          </w:p>
        </w:tc>
        <w:tc>
          <w:tcPr>
            <w:tcW w:w="820" w:type="dxa"/>
            <w:vAlign w:val="bottom"/>
            <w:tcBorders>
              <w:bottom w:val="single" w:sz="8" w:color="auto"/>
            </w:tcBorders>
            <w:gridSpan w:val="5"/>
          </w:tcPr>
          <w:p>
            <w:pPr>
              <w:spacing w:after="0"/>
              <w:rPr>
                <w:sz w:val="17"/>
                <w:szCs w:val="17"/>
                <w:color w:val="auto"/>
              </w:rPr>
            </w:pPr>
          </w:p>
        </w:tc>
        <w:tc>
          <w:tcPr>
            <w:tcW w:w="52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7840" w:type="dxa"/>
            <w:vAlign w:val="bottom"/>
            <w:tcBorders>
              <w:right w:val="single" w:sz="8" w:color="auto"/>
            </w:tcBorders>
            <w:gridSpan w:val="21"/>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 3a</w:t>
            </w:r>
            <w:r>
              <w:rPr>
                <w:rFonts w:ascii="Times New Roman" w:cs="Times New Roman" w:eastAsia="Times New Roman" w:hAnsi="Times New Roman"/>
                <w:sz w:val="12"/>
                <w:szCs w:val="12"/>
                <w:color w:val="auto"/>
              </w:rPr>
              <w:t xml:space="preserve">  Check the appropriate box for federal tax classification of the entity/individual whose name is entered on line 1. Check only</w:t>
            </w:r>
          </w:p>
        </w:tc>
        <w:tc>
          <w:tcPr>
            <w:tcW w:w="2360" w:type="dxa"/>
            <w:vAlign w:val="bottom"/>
            <w:gridSpan w:val="5"/>
          </w:tcPr>
          <w:p>
            <w:pPr>
              <w:ind w:left="200"/>
              <w:spacing w:after="0" w:line="109" w:lineRule="exact"/>
              <w:rPr>
                <w:sz w:val="20"/>
                <w:szCs w:val="20"/>
                <w:color w:val="auto"/>
              </w:rPr>
            </w:pPr>
            <w:r>
              <w:rPr>
                <w:rFonts w:ascii="Times New Roman" w:cs="Times New Roman" w:eastAsia="Times New Roman" w:hAnsi="Times New Roman"/>
                <w:sz w:val="12"/>
                <w:szCs w:val="12"/>
                <w:b w:val="1"/>
                <w:bCs w:val="1"/>
                <w:color w:val="auto"/>
              </w:rPr>
              <w:t xml:space="preserve">4  </w:t>
            </w:r>
            <w:r>
              <w:rPr>
                <w:rFonts w:ascii="Times New Roman" w:cs="Times New Roman" w:eastAsia="Times New Roman" w:hAnsi="Times New Roman"/>
                <w:sz w:val="12"/>
                <w:szCs w:val="12"/>
                <w:color w:val="auto"/>
              </w:rPr>
              <w:t>Exemptions (codes apply only to certain</w:t>
            </w:r>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22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b w:val="1"/>
                <w:bCs w:val="1"/>
                <w:color w:val="auto"/>
              </w:rPr>
              <w:t xml:space="preserve">one </w:t>
            </w:r>
            <w:r>
              <w:rPr>
                <w:rFonts w:ascii="Times New Roman" w:cs="Times New Roman" w:eastAsia="Times New Roman" w:hAnsi="Times New Roman"/>
                <w:sz w:val="13"/>
                <w:szCs w:val="13"/>
                <w:color w:val="auto"/>
              </w:rPr>
              <w:t>of the following seven boxes.</w:t>
            </w: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2360" w:type="dxa"/>
            <w:vAlign w:val="bottom"/>
            <w:gridSpan w:val="5"/>
          </w:tcPr>
          <w:p>
            <w:pPr>
              <w:ind w:left="200"/>
              <w:spacing w:after="0" w:line="137" w:lineRule="exact"/>
              <w:rPr>
                <w:sz w:val="20"/>
                <w:szCs w:val="20"/>
                <w:color w:val="auto"/>
              </w:rPr>
            </w:pPr>
            <w:r>
              <w:rPr>
                <w:rFonts w:ascii="Times New Roman" w:cs="Times New Roman" w:eastAsia="Times New Roman" w:hAnsi="Times New Roman"/>
                <w:sz w:val="13"/>
                <w:szCs w:val="13"/>
                <w:color w:val="auto"/>
              </w:rPr>
              <w:t>entities, not individuals; see instructions</w:t>
            </w:r>
          </w:p>
        </w:tc>
        <w:tc>
          <w:tcPr>
            <w:tcW w:w="0" w:type="dxa"/>
            <w:vAlign w:val="bottom"/>
          </w:tcPr>
          <w:p>
            <w:pPr>
              <w:spacing w:after="0"/>
              <w:rPr>
                <w:sz w:val="1"/>
                <w:szCs w:val="1"/>
                <w:color w:val="auto"/>
              </w:rPr>
            </w:pPr>
          </w:p>
        </w:tc>
      </w:tr>
      <w:tr>
        <w:trPr>
          <w:trHeight w:val="164"/>
        </w:trPr>
        <w:tc>
          <w:tcPr>
            <w:tcW w:w="820" w:type="dxa"/>
            <w:vAlign w:val="bottom"/>
          </w:tcPr>
          <w:p>
            <w:pPr>
              <w:spacing w:after="0"/>
              <w:rPr>
                <w:sz w:val="14"/>
                <w:szCs w:val="14"/>
                <w:color w:val="auto"/>
              </w:rPr>
            </w:pPr>
          </w:p>
        </w:tc>
        <w:tc>
          <w:tcPr>
            <w:tcW w:w="2220" w:type="dxa"/>
            <w:vAlign w:val="bottom"/>
            <w:gridSpan w:val="2"/>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Individual/sole proprietor</w:t>
            </w:r>
          </w:p>
        </w:tc>
        <w:tc>
          <w:tcPr>
            <w:tcW w:w="1340" w:type="dxa"/>
            <w:vAlign w:val="bottom"/>
            <w:vMerge w:val="restart"/>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C corporation    </w:t>
            </w:r>
          </w:p>
        </w:tc>
        <w:tc>
          <w:tcPr>
            <w:tcW w:w="1120" w:type="dxa"/>
            <w:vAlign w:val="bottom"/>
            <w:gridSpan w:val="6"/>
            <w:vMerge w:val="restart"/>
          </w:tcPr>
          <w:p>
            <w:pPr>
              <w:ind w:left="200"/>
              <w:spacing w:after="0" w:line="161" w:lineRule="exact"/>
              <w:rPr>
                <w:sz w:val="20"/>
                <w:szCs w:val="20"/>
                <w:color w:val="auto"/>
              </w:rPr>
            </w:pPr>
            <w:r>
              <w:rPr>
                <w:rFonts w:ascii="MS PGothic" w:cs="MS PGothic" w:eastAsia="MS PGothic" w:hAnsi="MS PGothic"/>
                <w:sz w:val="14"/>
                <w:szCs w:val="14"/>
                <w:color w:val="auto"/>
                <w:w w:val="87"/>
              </w:rPr>
              <w:t>☐</w:t>
            </w:r>
            <w:r>
              <w:rPr>
                <w:rFonts w:ascii="Times New Roman" w:cs="Times New Roman" w:eastAsia="Times New Roman" w:hAnsi="Times New Roman"/>
                <w:sz w:val="13"/>
                <w:szCs w:val="13"/>
                <w:color w:val="auto"/>
                <w:w w:val="87"/>
              </w:rPr>
              <w:t xml:space="preserve">  S corporation 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5"/>
            <w:vMerge w:val="restart"/>
          </w:tcPr>
          <w:p>
            <w:pPr>
              <w:ind w:left="120"/>
              <w:spacing w:after="0" w:line="161" w:lineRule="exact"/>
              <w:rPr>
                <w:sz w:val="20"/>
                <w:szCs w:val="20"/>
                <w:color w:val="auto"/>
              </w:rPr>
            </w:pPr>
            <w:r>
              <w:rPr>
                <w:rFonts w:ascii="MS PGothic" w:cs="MS PGothic" w:eastAsia="MS PGothic" w:hAnsi="MS PGothic"/>
                <w:sz w:val="14"/>
                <w:szCs w:val="14"/>
                <w:color w:val="auto"/>
                <w:w w:val="94"/>
              </w:rPr>
              <w:t>☐</w:t>
            </w:r>
            <w:r>
              <w:rPr>
                <w:rFonts w:ascii="Times New Roman" w:cs="Times New Roman" w:eastAsia="Times New Roman" w:hAnsi="Times New Roman"/>
                <w:sz w:val="13"/>
                <w:szCs w:val="13"/>
                <w:color w:val="auto"/>
                <w:w w:val="94"/>
              </w:rPr>
              <w:t xml:space="preserve">  Partnership </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w:t>
            </w:r>
          </w:p>
        </w:tc>
        <w:tc>
          <w:tcPr>
            <w:tcW w:w="1440" w:type="dxa"/>
            <w:vAlign w:val="bottom"/>
            <w:tcBorders>
              <w:right w:val="single" w:sz="8" w:color="auto"/>
            </w:tcBorders>
            <w:gridSpan w:val="2"/>
            <w:vMerge w:val="restart"/>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Trust/estate </w:t>
            </w: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3"/>
                <w:szCs w:val="13"/>
                <w:color w:val="auto"/>
              </w:rPr>
              <w:t>on page 3):</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3"/>
                <w:szCs w:val="13"/>
                <w:color w:val="auto"/>
              </w:rPr>
            </w:pPr>
          </w:p>
        </w:tc>
        <w:tc>
          <w:tcPr>
            <w:tcW w:w="222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120" w:type="dxa"/>
            <w:vAlign w:val="bottom"/>
            <w:gridSpan w:val="6"/>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5"/>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440" w:type="dxa"/>
            <w:vAlign w:val="bottom"/>
            <w:tcBorders>
              <w:right w:val="single" w:sz="8" w:color="auto"/>
            </w:tcBorders>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Print or</w:t>
            </w:r>
          </w:p>
        </w:tc>
        <w:tc>
          <w:tcPr>
            <w:tcW w:w="4820" w:type="dxa"/>
            <w:vAlign w:val="bottom"/>
            <w:gridSpan w:val="10"/>
          </w:tcPr>
          <w:p>
            <w:pPr>
              <w:ind w:left="60"/>
              <w:spacing w:after="0" w:line="161" w:lineRule="exact"/>
              <w:rPr>
                <w:sz w:val="20"/>
                <w:szCs w:val="20"/>
                <w:color w:val="auto"/>
              </w:rPr>
            </w:pPr>
            <w:r>
              <w:rPr>
                <w:rFonts w:ascii="MS PGothic" w:cs="MS PGothic" w:eastAsia="MS PGothic" w:hAnsi="MS PGothic"/>
                <w:sz w:val="14"/>
                <w:szCs w:val="14"/>
                <w:color w:val="auto"/>
                <w:w w:val="98"/>
              </w:rPr>
              <w:t>☐</w:t>
            </w:r>
            <w:r>
              <w:rPr>
                <w:rFonts w:ascii="Times New Roman" w:cs="Times New Roman" w:eastAsia="Times New Roman" w:hAnsi="Times New Roman"/>
                <w:sz w:val="13"/>
                <w:szCs w:val="13"/>
                <w:color w:val="auto"/>
                <w:w w:val="98"/>
              </w:rPr>
              <w:t xml:space="preserve">  LLC. Enter the tax classification (C = C corporation, S = S corporation, P = Partnership) </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 xml:space="preserve">.   .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xml:space="preserve">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8"/>
                <w:szCs w:val="8"/>
                <w:color w:val="auto"/>
                <w:w w:val="73"/>
              </w:rPr>
              <w:t>     </w:t>
            </w:r>
          </w:p>
        </w:tc>
        <w:tc>
          <w:tcPr>
            <w:tcW w:w="1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3"/>
                <w:szCs w:val="13"/>
                <w:color w:val="auto"/>
              </w:rPr>
              <w:t xml:space="preserve">Exempt payee code (if any)                     </w:t>
            </w:r>
          </w:p>
        </w:tc>
        <w:tc>
          <w:tcPr>
            <w:tcW w:w="0" w:type="dxa"/>
            <w:vAlign w:val="bottom"/>
          </w:tcPr>
          <w:p>
            <w:pPr>
              <w:spacing w:after="0"/>
              <w:rPr>
                <w:sz w:val="1"/>
                <w:szCs w:val="1"/>
                <w:color w:val="auto"/>
              </w:rPr>
            </w:pPr>
          </w:p>
        </w:tc>
      </w:tr>
      <w:tr>
        <w:trPr>
          <w:trHeight w:val="27"/>
        </w:trPr>
        <w:tc>
          <w:tcPr>
            <w:tcW w:w="820" w:type="dxa"/>
            <w:vAlign w:val="bottom"/>
            <w:vMerge w:val="continue"/>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820" w:type="dxa"/>
            <w:vAlign w:val="bottom"/>
            <w:vMerge w:val="continue"/>
          </w:tcPr>
          <w:p>
            <w:pPr>
              <w:spacing w:after="0"/>
              <w:rPr>
                <w:sz w:val="10"/>
                <w:szCs w:val="10"/>
                <w:color w:val="auto"/>
              </w:rPr>
            </w:pPr>
          </w:p>
        </w:tc>
        <w:tc>
          <w:tcPr>
            <w:tcW w:w="5620" w:type="dxa"/>
            <w:vAlign w:val="bottom"/>
            <w:gridSpan w:val="1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 xml:space="preserve">Note: </w:t>
            </w:r>
            <w:r>
              <w:rPr>
                <w:rFonts w:ascii="Times New Roman" w:cs="Times New Roman" w:eastAsia="Times New Roman" w:hAnsi="Times New Roman"/>
                <w:sz w:val="13"/>
                <w:szCs w:val="13"/>
                <w:color w:val="auto"/>
                <w:w w:val="98"/>
              </w:rPr>
              <w:t>Check the “LLC” box above and, in the entry space, enter the appropriate code (C, S, or P) for the tax</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type.</w:t>
            </w:r>
          </w:p>
        </w:tc>
        <w:tc>
          <w:tcPr>
            <w:tcW w:w="5620" w:type="dxa"/>
            <w:vAlign w:val="bottom"/>
            <w:gridSpan w:val="14"/>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820" w:type="dxa"/>
            <w:vAlign w:val="bottom"/>
            <w:vMerge w:val="continue"/>
          </w:tcPr>
          <w:p>
            <w:pPr>
              <w:spacing w:after="0"/>
              <w:rPr>
                <w:sz w:val="10"/>
                <w:szCs w:val="10"/>
                <w:color w:val="auto"/>
              </w:rPr>
            </w:pPr>
          </w:p>
        </w:tc>
        <w:tc>
          <w:tcPr>
            <w:tcW w:w="6120" w:type="dxa"/>
            <w:vAlign w:val="bottom"/>
            <w:gridSpan w:val="17"/>
          </w:tcPr>
          <w:p>
            <w:pPr>
              <w:ind w:left="60"/>
              <w:spacing w:after="0" w:line="126" w:lineRule="exact"/>
              <w:rPr>
                <w:sz w:val="20"/>
                <w:szCs w:val="20"/>
                <w:color w:val="auto"/>
              </w:rPr>
            </w:pPr>
            <w:r>
              <w:rPr>
                <w:rFonts w:ascii="Times New Roman" w:cs="Times New Roman" w:eastAsia="Times New Roman" w:hAnsi="Times New Roman"/>
                <w:sz w:val="13"/>
                <w:szCs w:val="13"/>
                <w:color w:val="auto"/>
                <w:w w:val="96"/>
              </w:rPr>
              <w:t>classification of the LLC, unless it is a disregarded entity. A disregarded entity should instead check the appropriate box</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2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3"/>
                <w:szCs w:val="13"/>
                <w:color w:val="auto"/>
              </w:rPr>
              <w:t>Exemption from Foreign Account Tax</w:t>
            </w:r>
          </w:p>
        </w:tc>
        <w:tc>
          <w:tcPr>
            <w:tcW w:w="0" w:type="dxa"/>
            <w:vAlign w:val="bottom"/>
          </w:tcPr>
          <w:p>
            <w:pPr>
              <w:spacing w:after="0"/>
              <w:rPr>
                <w:sz w:val="1"/>
                <w:szCs w:val="1"/>
                <w:color w:val="auto"/>
              </w:rPr>
            </w:pPr>
          </w:p>
        </w:tc>
      </w:tr>
      <w:tr>
        <w:trPr>
          <w:trHeight w:val="135"/>
        </w:trPr>
        <w:tc>
          <w:tcPr>
            <w:tcW w:w="820" w:type="dxa"/>
            <w:vAlign w:val="bottom"/>
          </w:tcPr>
          <w:p>
            <w:pPr>
              <w:jc w:val="center"/>
              <w:spacing w:after="0" w:line="135" w:lineRule="exact"/>
              <w:rPr>
                <w:sz w:val="20"/>
                <w:szCs w:val="20"/>
                <w:color w:val="auto"/>
              </w:rPr>
            </w:pPr>
            <w:r>
              <w:rPr>
                <w:rFonts w:ascii="Arial" w:cs="Arial" w:eastAsia="Arial" w:hAnsi="Arial"/>
                <w:sz w:val="14"/>
                <w:szCs w:val="14"/>
                <w:color w:val="auto"/>
              </w:rPr>
              <w:t>See</w:t>
            </w:r>
          </w:p>
        </w:tc>
        <w:tc>
          <w:tcPr>
            <w:tcW w:w="22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for the tax classification of its owner.</w:t>
            </w: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23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820" w:type="dxa"/>
            <w:vAlign w:val="bottom"/>
            <w:vMerge w:val="restart"/>
          </w:tcPr>
          <w:p>
            <w:pPr>
              <w:jc w:val="center"/>
              <w:spacing w:after="0" w:line="155" w:lineRule="exact"/>
              <w:rPr>
                <w:sz w:val="20"/>
                <w:szCs w:val="20"/>
                <w:color w:val="auto"/>
              </w:rPr>
            </w:pPr>
            <w:r>
              <w:rPr>
                <w:rFonts w:ascii="Arial" w:cs="Arial" w:eastAsia="Arial" w:hAnsi="Arial"/>
                <w:sz w:val="14"/>
                <w:szCs w:val="14"/>
                <w:b w:val="1"/>
                <w:bCs w:val="1"/>
                <w:i w:val="1"/>
                <w:iCs w:val="1"/>
                <w:color w:val="auto"/>
              </w:rPr>
              <w:t>Specific</w:t>
            </w:r>
          </w:p>
        </w:tc>
        <w:tc>
          <w:tcPr>
            <w:tcW w:w="1480" w:type="dxa"/>
            <w:vAlign w:val="bottom"/>
            <w:vMerge w:val="restart"/>
          </w:tcPr>
          <w:p>
            <w:pPr>
              <w:ind w:left="60"/>
              <w:spacing w:after="0" w:line="150" w:lineRule="exact"/>
              <w:rPr>
                <w:sz w:val="20"/>
                <w:szCs w:val="20"/>
                <w:color w:val="auto"/>
              </w:rPr>
            </w:pPr>
            <w:r>
              <w:rPr>
                <w:rFonts w:ascii="MS PGothic" w:cs="MS PGothic" w:eastAsia="MS PGothic" w:hAnsi="MS PGothic"/>
                <w:sz w:val="13"/>
                <w:szCs w:val="13"/>
                <w:color w:val="auto"/>
                <w:w w:val="98"/>
              </w:rPr>
              <w:t>☐</w:t>
            </w:r>
            <w:r>
              <w:rPr>
                <w:rFonts w:ascii="Times New Roman" w:cs="Times New Roman" w:eastAsia="Times New Roman" w:hAnsi="Times New Roman"/>
                <w:sz w:val="13"/>
                <w:szCs w:val="13"/>
                <w:color w:val="auto"/>
                <w:w w:val="98"/>
              </w:rPr>
              <w:t xml:space="preserve">  Other (see instructions) </w:t>
            </w: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2360" w:type="dxa"/>
            <w:vAlign w:val="bottom"/>
            <w:gridSpan w:val="5"/>
          </w:tcPr>
          <w:p>
            <w:pPr>
              <w:ind w:left="200"/>
              <w:spacing w:after="0" w:line="72" w:lineRule="exact"/>
              <w:rPr>
                <w:sz w:val="20"/>
                <w:szCs w:val="20"/>
                <w:color w:val="auto"/>
              </w:rPr>
            </w:pPr>
            <w:r>
              <w:rPr>
                <w:rFonts w:ascii="Times New Roman" w:cs="Times New Roman" w:eastAsia="Times New Roman" w:hAnsi="Times New Roman"/>
                <w:sz w:val="8"/>
                <w:szCs w:val="8"/>
                <w:color w:val="auto"/>
              </w:rPr>
              <w:t>Compliance Act (FATCA) reporting</w:t>
            </w:r>
          </w:p>
        </w:tc>
        <w:tc>
          <w:tcPr>
            <w:tcW w:w="0" w:type="dxa"/>
            <w:vAlign w:val="bottom"/>
          </w:tcPr>
          <w:p>
            <w:pPr>
              <w:spacing w:after="0"/>
              <w:rPr>
                <w:sz w:val="1"/>
                <w:szCs w:val="1"/>
                <w:color w:val="auto"/>
              </w:rPr>
            </w:pPr>
          </w:p>
        </w:tc>
      </w:tr>
      <w:tr>
        <w:trPr>
          <w:trHeight w:val="83"/>
        </w:trPr>
        <w:tc>
          <w:tcPr>
            <w:tcW w:w="82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74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34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3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vMerge w:val="restart"/>
          </w:tcPr>
          <w:p>
            <w:pPr>
              <w:jc w:val="right"/>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2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520" w:type="dxa"/>
            <w:vAlign w:val="bottom"/>
            <w:gridSpan w:val="2"/>
            <w:vMerge w:val="restart"/>
          </w:tcPr>
          <w:p>
            <w:pPr>
              <w:ind w:left="4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code (if any)</w:t>
            </w:r>
          </w:p>
        </w:tc>
        <w:tc>
          <w:tcPr>
            <w:tcW w:w="1300" w:type="dxa"/>
            <w:vAlign w:val="bottom"/>
            <w:gridSpan w:val="3"/>
            <w:vMerge w:val="restart"/>
          </w:tcPr>
          <w:p>
            <w:pPr>
              <w:spacing w:after="0" w:line="138" w:lineRule="exact"/>
              <w:rPr>
                <w:sz w:val="20"/>
                <w:szCs w:val="20"/>
                <w:color w:val="auto"/>
              </w:rPr>
            </w:pPr>
            <w:r>
              <w:rPr>
                <w:rFonts w:ascii="Times New Roman" w:cs="Times New Roman" w:eastAsia="Times New Roman" w:hAnsi="Times New Roman"/>
                <w:sz w:val="14"/>
                <w:szCs w:val="14"/>
                <w:color w:val="auto"/>
                <w:w w:val="99"/>
              </w:rPr>
              <w:t>                                     </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rPr>
              <w:t>Instructions</w:t>
            </w:r>
          </w:p>
        </w:tc>
        <w:tc>
          <w:tcPr>
            <w:tcW w:w="1480" w:type="dxa"/>
            <w:vAlign w:val="bottom"/>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40" w:type="dxa"/>
            <w:vAlign w:val="bottom"/>
            <w:vMerge w:val="restart"/>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tcBorders>
              <w:bottom w:val="single" w:sz="8" w:color="auto"/>
            </w:tcBorders>
            <w:gridSpan w:val="3"/>
            <w:vMerge w:val="continue"/>
          </w:tcPr>
          <w:p>
            <w:pPr>
              <w:spacing w:after="0"/>
              <w:rPr>
                <w:sz w:val="6"/>
                <w:szCs w:val="6"/>
                <w:color w:val="auto"/>
              </w:rPr>
            </w:pPr>
          </w:p>
        </w:tc>
        <w:tc>
          <w:tcPr>
            <w:tcW w:w="10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2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960" w:type="dxa"/>
            <w:vAlign w:val="bottom"/>
            <w:vMerge w:val="continue"/>
          </w:tcPr>
          <w:p>
            <w:pPr>
              <w:spacing w:after="0"/>
              <w:rPr>
                <w:sz w:val="5"/>
                <w:szCs w:val="5"/>
                <w:color w:val="auto"/>
              </w:rPr>
            </w:pPr>
          </w:p>
        </w:tc>
        <w:tc>
          <w:tcPr>
            <w:tcW w:w="1300" w:type="dxa"/>
            <w:vAlign w:val="bottom"/>
            <w:gridSpan w:val="3"/>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on page 3.</w:t>
            </w:r>
          </w:p>
        </w:tc>
        <w:tc>
          <w:tcPr>
            <w:tcW w:w="148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gridSpan w:val="12"/>
          </w:tcPr>
          <w:p>
            <w:pPr>
              <w:spacing w:after="0"/>
              <w:rPr>
                <w:sz w:val="4"/>
                <w:szCs w:val="4"/>
                <w:color w:val="auto"/>
              </w:rPr>
            </w:pPr>
          </w:p>
        </w:tc>
        <w:tc>
          <w:tcPr>
            <w:tcW w:w="820" w:type="dxa"/>
            <w:vAlign w:val="bottom"/>
            <w:tcBorders>
              <w:bottom w:val="single" w:sz="8" w:color="auto"/>
            </w:tcBorders>
            <w:gridSpan w:val="5"/>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820" w:type="dxa"/>
            <w:vAlign w:val="bottom"/>
            <w:vMerge w:val="continue"/>
          </w:tcPr>
          <w:p>
            <w:pPr>
              <w:spacing w:after="0"/>
              <w:rPr>
                <w:sz w:val="9"/>
                <w:szCs w:val="9"/>
                <w:color w:val="auto"/>
              </w:rPr>
            </w:pPr>
          </w:p>
        </w:tc>
        <w:tc>
          <w:tcPr>
            <w:tcW w:w="6400" w:type="dxa"/>
            <w:vAlign w:val="bottom"/>
            <w:gridSpan w:val="19"/>
          </w:tcPr>
          <w:p>
            <w:pPr>
              <w:ind w:left="60"/>
              <w:spacing w:after="0" w:line="110"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3b </w:t>
            </w:r>
            <w:r>
              <w:rPr>
                <w:rFonts w:ascii="Times New Roman" w:cs="Times New Roman" w:eastAsia="Times New Roman" w:hAnsi="Times New Roman"/>
                <w:sz w:val="12"/>
                <w:szCs w:val="12"/>
                <w:color w:val="auto"/>
              </w:rPr>
              <w:t xml:space="preserve"> If on line 3a you checked “Partnership” or “Trust/estate,” or checked “LLC” and entered “P” as its tax classification, and</w:t>
            </w:r>
          </w:p>
        </w:tc>
        <w:tc>
          <w:tcPr>
            <w:tcW w:w="38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6400" w:type="dxa"/>
            <w:vAlign w:val="bottom"/>
            <w:gridSpan w:val="19"/>
          </w:tcPr>
          <w:p>
            <w:pPr>
              <w:ind w:left="60"/>
              <w:spacing w:after="0"/>
              <w:rPr>
                <w:sz w:val="20"/>
                <w:szCs w:val="20"/>
                <w:color w:val="auto"/>
              </w:rPr>
            </w:pPr>
            <w:r>
              <w:rPr>
                <w:rFonts w:ascii="Times New Roman" w:cs="Times New Roman" w:eastAsia="Times New Roman" w:hAnsi="Times New Roman"/>
                <w:sz w:val="13"/>
                <w:szCs w:val="13"/>
                <w:color w:val="auto"/>
                <w:w w:val="99"/>
              </w:rPr>
              <w:t>you are providing this form to a partnership, trust, or estate in which you have an ownership interest, check this box if you</w:t>
            </w:r>
          </w:p>
        </w:tc>
        <w:tc>
          <w:tcPr>
            <w:tcW w:w="38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2360" w:type="dxa"/>
            <w:vAlign w:val="bottom"/>
            <w:gridSpan w:val="5"/>
          </w:tcPr>
          <w:p>
            <w:pPr>
              <w:ind w:left="460"/>
              <w:spacing w:after="0"/>
              <w:rPr>
                <w:sz w:val="20"/>
                <w:szCs w:val="20"/>
                <w:color w:val="auto"/>
              </w:rPr>
            </w:pPr>
            <w:r>
              <w:rPr>
                <w:rFonts w:ascii="Times New Roman" w:cs="Times New Roman" w:eastAsia="Times New Roman" w:hAnsi="Times New Roman"/>
                <w:sz w:val="13"/>
                <w:szCs w:val="13"/>
                <w:i w:val="1"/>
                <w:iCs w:val="1"/>
                <w:color w:val="auto"/>
              </w:rPr>
              <w:t>(Applies to accounts maintained</w:t>
            </w:r>
          </w:p>
        </w:tc>
        <w:tc>
          <w:tcPr>
            <w:tcW w:w="0" w:type="dxa"/>
            <w:vAlign w:val="bottom"/>
          </w:tcPr>
          <w:p>
            <w:pPr>
              <w:spacing w:after="0"/>
              <w:rPr>
                <w:sz w:val="1"/>
                <w:szCs w:val="1"/>
                <w:color w:val="auto"/>
              </w:rPr>
            </w:pPr>
          </w:p>
        </w:tc>
      </w:tr>
      <w:tr>
        <w:trPr>
          <w:trHeight w:val="242"/>
        </w:trPr>
        <w:tc>
          <w:tcPr>
            <w:tcW w:w="820" w:type="dxa"/>
            <w:vAlign w:val="bottom"/>
          </w:tcPr>
          <w:p>
            <w:pPr>
              <w:spacing w:after="0"/>
              <w:rPr>
                <w:sz w:val="21"/>
                <w:szCs w:val="21"/>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w w:val="95"/>
              </w:rPr>
              <w:t>have any foreign partners, owners, or beneficiaries. See instructions </w:t>
            </w: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2"/>
              </w:rPr>
              <w:t xml:space="preserve">.   . </w:t>
            </w:r>
          </w:p>
        </w:tc>
        <w:tc>
          <w:tcPr>
            <w:tcW w:w="140" w:type="dxa"/>
            <w:vAlign w:val="bottom"/>
          </w:tcPr>
          <w:p>
            <w:pPr>
              <w:ind w:left="60"/>
              <w:spacing w:after="0"/>
              <w:rPr>
                <w:sz w:val="20"/>
                <w:szCs w:val="20"/>
                <w:color w:val="auto"/>
              </w:rPr>
            </w:pPr>
            <w:r>
              <w:rPr>
                <w:rFonts w:ascii="Times New Roman" w:cs="Times New Roman" w:eastAsia="Times New Roman" w:hAnsi="Times New Roman"/>
                <w:sz w:val="6"/>
                <w:szCs w:val="6"/>
                <w:color w:val="auto"/>
                <w:w w:val="79"/>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79"/>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xml:space="preserve">. </w:t>
            </w:r>
          </w:p>
        </w:tc>
        <w:tc>
          <w:tcPr>
            <w:tcW w:w="2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79"/>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660" w:type="dxa"/>
            <w:vAlign w:val="bottom"/>
            <w:gridSpan w:val="3"/>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2360" w:type="dxa"/>
            <w:vAlign w:val="bottom"/>
            <w:gridSpan w:val="5"/>
          </w:tcPr>
          <w:p>
            <w:pPr>
              <w:ind w:left="600"/>
              <w:spacing w:after="0"/>
              <w:rPr>
                <w:sz w:val="20"/>
                <w:szCs w:val="20"/>
                <w:color w:val="auto"/>
              </w:rPr>
            </w:pPr>
            <w:r>
              <w:rPr>
                <w:rFonts w:ascii="Times New Roman" w:cs="Times New Roman" w:eastAsia="Times New Roman" w:hAnsi="Times New Roman"/>
                <w:sz w:val="13"/>
                <w:szCs w:val="13"/>
                <w:i w:val="1"/>
                <w:iCs w:val="1"/>
                <w:color w:val="auto"/>
              </w:rPr>
              <w:t>outside the United States.)</w:t>
            </w:r>
          </w:p>
        </w:tc>
        <w:tc>
          <w:tcPr>
            <w:tcW w:w="0" w:type="dxa"/>
            <w:vAlign w:val="bottom"/>
          </w:tcPr>
          <w:p>
            <w:pPr>
              <w:spacing w:after="0"/>
              <w:rPr>
                <w:sz w:val="1"/>
                <w:szCs w:val="1"/>
                <w:color w:val="auto"/>
              </w:rPr>
            </w:pPr>
          </w:p>
        </w:tc>
      </w:tr>
      <w:tr>
        <w:trPr>
          <w:trHeight w:val="55"/>
        </w:trPr>
        <w:tc>
          <w:tcPr>
            <w:tcW w:w="8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35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 5</w:t>
            </w:r>
            <w:r>
              <w:rPr>
                <w:rFonts w:ascii="Times New Roman" w:cs="Times New Roman" w:eastAsia="Times New Roman" w:hAnsi="Times New Roman"/>
                <w:sz w:val="13"/>
                <w:szCs w:val="13"/>
                <w:color w:val="auto"/>
                <w:w w:val="98"/>
              </w:rPr>
              <w:t xml:space="preserve">    Address (number, street, and apt. or suite no.). See instructions.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3800" w:type="dxa"/>
            <w:vAlign w:val="bottom"/>
            <w:gridSpan w:val="7"/>
          </w:tcPr>
          <w:p>
            <w:pPr>
              <w:ind w:left="60"/>
              <w:spacing w:after="0"/>
              <w:rPr>
                <w:sz w:val="20"/>
                <w:szCs w:val="20"/>
                <w:color w:val="auto"/>
              </w:rPr>
            </w:pPr>
            <w:r>
              <w:rPr>
                <w:rFonts w:ascii="Times New Roman" w:cs="Times New Roman" w:eastAsia="Times New Roman" w:hAnsi="Times New Roman"/>
                <w:sz w:val="13"/>
                <w:szCs w:val="13"/>
                <w:color w:val="auto"/>
              </w:rPr>
              <w:t>  Requester’s name and address (optional)</w:t>
            </w: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6</w:t>
            </w:r>
            <w:r>
              <w:rPr>
                <w:rFonts w:ascii="Times New Roman" w:cs="Times New Roman" w:eastAsia="Times New Roman" w:hAnsi="Times New Roman"/>
                <w:sz w:val="13"/>
                <w:szCs w:val="13"/>
                <w:color w:val="auto"/>
              </w:rPr>
              <w:t xml:space="preserve">    City, state, and ZIP code</w:t>
            </w: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6"/>
              </w:rPr>
              <w:t> 7</w:t>
            </w:r>
            <w:r>
              <w:rPr>
                <w:rFonts w:ascii="Times New Roman" w:cs="Times New Roman" w:eastAsia="Times New Roman" w:hAnsi="Times New Roman"/>
                <w:sz w:val="13"/>
                <w:szCs w:val="13"/>
                <w:color w:val="auto"/>
                <w:w w:val="96"/>
              </w:rPr>
              <w:t xml:space="preserve">    List account number(s) here (optional)</w:t>
            </w: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4" w:type="dxa"/>
        <w:tblCellMar>
          <w:top w:w="0" w:type="dxa"/>
          <w:left w:w="0" w:type="dxa"/>
          <w:bottom w:w="0" w:type="dxa"/>
          <w:right w:w="0" w:type="dxa"/>
        </w:tblCellMar>
      </w:tblPr>
      <w:tr>
        <w:trPr>
          <w:trHeight w:val="318"/>
        </w:trPr>
        <w:tc>
          <w:tcPr>
            <w:tcW w:w="660" w:type="dxa"/>
            <w:vAlign w:val="bottom"/>
            <w:tcBorders>
              <w:bottom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18"/>
                <w:szCs w:val="18"/>
                <w:b w:val="1"/>
                <w:bCs w:val="1"/>
                <w:color w:val="FFFFFF"/>
              </w:rPr>
              <w:t>Part I</w:t>
            </w:r>
          </w:p>
        </w:tc>
        <w:tc>
          <w:tcPr>
            <w:tcW w:w="5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Taxpayer Identification Number (TIN)</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Enter your</w:t>
            </w:r>
          </w:p>
        </w:tc>
        <w:tc>
          <w:tcPr>
            <w:tcW w:w="50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TIN in the appropriate box. The TIN provided must match the name given on line 1 to</w:t>
            </w:r>
          </w:p>
        </w:tc>
        <w:tc>
          <w:tcPr>
            <w:tcW w:w="480" w:type="dxa"/>
            <w:vAlign w:val="bottom"/>
            <w:tcBorders>
              <w:right w:val="single" w:sz="8" w:color="auto"/>
            </w:tcBorders>
            <w:gridSpan w:val="2"/>
          </w:tcPr>
          <w:p>
            <w:pPr>
              <w:ind w:left="120"/>
              <w:spacing w:after="0" w:line="135" w:lineRule="exact"/>
              <w:rPr>
                <w:sz w:val="20"/>
                <w:szCs w:val="20"/>
                <w:color w:val="auto"/>
              </w:rPr>
            </w:pPr>
            <w:r>
              <w:rPr>
                <w:rFonts w:ascii="Arial" w:cs="Arial" w:eastAsia="Arial" w:hAnsi="Arial"/>
                <w:sz w:val="14"/>
                <w:szCs w:val="14"/>
                <w:color w:val="auto"/>
              </w:rPr>
              <w:t> </w:t>
            </w:r>
          </w:p>
        </w:tc>
        <w:tc>
          <w:tcPr>
            <w:tcW w:w="2660" w:type="dxa"/>
            <w:vAlign w:val="bottom"/>
            <w:gridSpan w:val="10"/>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Social security number</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740" w:type="dxa"/>
            <w:vAlign w:val="bottom"/>
            <w:gridSpan w:val="2"/>
            <w:vMerge w:val="restart"/>
          </w:tcPr>
          <w:p>
            <w:pPr>
              <w:spacing w:after="0" w:line="115" w:lineRule="exact"/>
              <w:rPr>
                <w:sz w:val="20"/>
                <w:szCs w:val="20"/>
                <w:color w:val="auto"/>
              </w:rPr>
            </w:pPr>
            <w:r>
              <w:rPr>
                <w:rFonts w:ascii="Times New Roman" w:cs="Times New Roman" w:eastAsia="Times New Roman" w:hAnsi="Times New Roman"/>
                <w:sz w:val="13"/>
                <w:szCs w:val="13"/>
                <w:color w:val="auto"/>
              </w:rPr>
              <w:t>avoid backup withholding. For individuals, this is generally your social security number (SSN).</w:t>
            </w:r>
          </w:p>
        </w:tc>
        <w:tc>
          <w:tcPr>
            <w:tcW w:w="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57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auto"/>
              </w:rPr>
              <w:t xml:space="preserve">- </w:t>
            </w:r>
          </w:p>
        </w:tc>
        <w:tc>
          <w:tcPr>
            <w:tcW w:w="4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auto"/>
              </w:rPr>
              <w:t xml:space="preserve">- </w:t>
            </w:r>
          </w:p>
        </w:tc>
        <w:tc>
          <w:tcPr>
            <w:tcW w:w="4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7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However, for a resident alien, sole proprietor, or disregarded entity, see the instructions for Part I,</w:t>
            </w:r>
          </w:p>
        </w:tc>
        <w:tc>
          <w:tcPr>
            <w:tcW w:w="4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0" w:type="dxa"/>
            <w:vAlign w:val="bottom"/>
            <w:vMerge w:val="continue"/>
          </w:tcPr>
          <w:p>
            <w:pPr>
              <w:spacing w:after="0"/>
              <w:rPr>
                <w:sz w:val="12"/>
                <w:szCs w:val="12"/>
                <w:color w:val="auto"/>
              </w:rPr>
            </w:pPr>
          </w:p>
        </w:tc>
        <w:tc>
          <w:tcPr>
            <w:tcW w:w="46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00" w:type="dxa"/>
            <w:vAlign w:val="bottom"/>
            <w:vMerge w:val="continue"/>
          </w:tcPr>
          <w:p>
            <w:pPr>
              <w:spacing w:after="0"/>
              <w:rPr>
                <w:sz w:val="12"/>
                <w:szCs w:val="12"/>
                <w:color w:val="auto"/>
              </w:rPr>
            </w:pPr>
          </w:p>
        </w:tc>
        <w:tc>
          <w:tcPr>
            <w:tcW w:w="460" w:type="dxa"/>
            <w:vAlign w:val="bottom"/>
            <w:tcBorders>
              <w:left w:val="single" w:sz="8" w:color="auto"/>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later. For other entities, it is your employer identification number (EIN). If you do not have a</w:t>
            </w:r>
          </w:p>
        </w:tc>
        <w:tc>
          <w:tcPr>
            <w:tcW w:w="4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460" w:type="dxa"/>
            <w:vAlign w:val="bottom"/>
            <w:tcBorders>
              <w:left w:val="single" w:sz="8" w:color="auto"/>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460" w:type="dxa"/>
            <w:vAlign w:val="bottom"/>
            <w:tcBorders>
              <w:left w:val="single" w:sz="8" w:color="auto"/>
              <w:bottom w:val="single" w:sz="8" w:color="auto"/>
              <w:right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number, see </w:t>
            </w:r>
            <w:r>
              <w:rPr>
                <w:rFonts w:ascii="Times New Roman" w:cs="Times New Roman" w:eastAsia="Times New Roman" w:hAnsi="Times New Roman"/>
                <w:sz w:val="14"/>
                <w:szCs w:val="14"/>
                <w:i w:val="1"/>
                <w:iCs w:val="1"/>
                <w:color w:val="auto"/>
              </w:rPr>
              <w:t>How to get a TIN</w:t>
            </w:r>
            <w:r>
              <w:rPr>
                <w:rFonts w:ascii="Times New Roman" w:cs="Times New Roman" w:eastAsia="Times New Roman" w:hAnsi="Times New Roman"/>
                <w:sz w:val="14"/>
                <w:szCs w:val="14"/>
                <w:color w:val="auto"/>
              </w:rPr>
              <w:t>, later.</w:t>
            </w:r>
          </w:p>
        </w:tc>
        <w:tc>
          <w:tcPr>
            <w:tcW w:w="4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2660" w:type="dxa"/>
            <w:vAlign w:val="bottom"/>
            <w:gridSpan w:val="10"/>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5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tcBorders>
            <w:gridSpan w:val="10"/>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0"/>
          </w:tcPr>
          <w:p>
            <w:pPr>
              <w:ind w:left="120"/>
              <w:spacing w:after="0"/>
              <w:rPr>
                <w:sz w:val="20"/>
                <w:szCs w:val="20"/>
                <w:color w:val="auto"/>
              </w:rPr>
            </w:pPr>
            <w:r>
              <w:rPr>
                <w:rFonts w:ascii="Times New Roman" w:cs="Times New Roman" w:eastAsia="Times New Roman" w:hAnsi="Times New Roman"/>
                <w:sz w:val="13"/>
                <w:szCs w:val="13"/>
                <w:b w:val="1"/>
                <w:bCs w:val="1"/>
                <w:color w:val="auto"/>
              </w:rPr>
              <w:t>Employer identification number</w:t>
            </w: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If the account is in more than one name, see the instructions for line 1. See also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What Name</w:t>
            </w:r>
          </w:p>
        </w:tc>
        <w:tc>
          <w:tcPr>
            <w:tcW w:w="4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auto"/>
              </w:rPr>
              <w:t xml:space="preserve">- </w:t>
            </w:r>
          </w:p>
        </w:tc>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740" w:type="dxa"/>
            <w:vAlign w:val="bottom"/>
            <w:gridSpan w:val="2"/>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left w:val="single" w:sz="8" w:color="auto"/>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left w:val="single" w:sz="8" w:color="auto"/>
              <w:right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5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 xml:space="preserve">and Number To Give the Requester </w:t>
            </w:r>
            <w:r>
              <w:rPr>
                <w:rFonts w:ascii="Times New Roman" w:cs="Times New Roman" w:eastAsia="Times New Roman" w:hAnsi="Times New Roman"/>
                <w:sz w:val="14"/>
                <w:szCs w:val="14"/>
                <w:color w:val="auto"/>
              </w:rPr>
              <w:t>for guidelines on whose number to enter.</w:t>
            </w:r>
          </w:p>
        </w:tc>
        <w:tc>
          <w:tcPr>
            <w:tcW w:w="4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60" w:type="dxa"/>
            <w:vAlign w:val="bottom"/>
            <w:tcBorders>
              <w:left w:val="single" w:sz="8" w:color="auto"/>
              <w:bottom w:val="single" w:sz="8" w:color="auto"/>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Borders>
              <w:bottom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18"/>
                <w:szCs w:val="18"/>
                <w:b w:val="1"/>
                <w:bCs w:val="1"/>
                <w:color w:val="FFFFFF"/>
              </w:rPr>
              <w:t>Part II</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Under penalties of perjury, I certify that:</w:t>
      </w:r>
    </w:p>
    <w:p>
      <w:pPr>
        <w:spacing w:after="0" w:line="28" w:lineRule="exact"/>
        <w:rPr>
          <w:sz w:val="20"/>
          <w:szCs w:val="20"/>
          <w:color w:val="auto"/>
        </w:rPr>
      </w:pPr>
    </w:p>
    <w:p>
      <w:pPr>
        <w:ind w:left="224" w:hanging="224"/>
        <w:spacing w:after="0"/>
        <w:tabs>
          <w:tab w:leader="none" w:pos="224"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shown on this form is my correct taxpayer identification number (or I am waiting for a number to be issued to me); and</w:t>
      </w:r>
    </w:p>
    <w:p>
      <w:pPr>
        <w:spacing w:after="0" w:line="28" w:lineRule="exact"/>
        <w:rPr>
          <w:rFonts w:ascii="Times New Roman" w:cs="Times New Roman" w:eastAsia="Times New Roman" w:hAnsi="Times New Roman"/>
          <w:sz w:val="14"/>
          <w:szCs w:val="14"/>
          <w:color w:val="auto"/>
        </w:rPr>
      </w:pPr>
    </w:p>
    <w:p>
      <w:pPr>
        <w:ind w:left="224" w:right="440" w:hanging="224"/>
        <w:spacing w:after="0" w:line="251" w:lineRule="auto"/>
        <w:tabs>
          <w:tab w:leader="none" w:pos="224"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ind w:left="224" w:hanging="224"/>
        <w:spacing w:after="0"/>
        <w:tabs>
          <w:tab w:leader="none" w:pos="224"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a U.S. citizen or other U.S. person (defined below); and</w:t>
      </w:r>
    </w:p>
    <w:p>
      <w:pPr>
        <w:spacing w:after="0" w:line="28" w:lineRule="exact"/>
        <w:rPr>
          <w:rFonts w:ascii="Times New Roman" w:cs="Times New Roman" w:eastAsia="Times New Roman" w:hAnsi="Times New Roman"/>
          <w:sz w:val="14"/>
          <w:szCs w:val="14"/>
          <w:color w:val="auto"/>
        </w:rPr>
      </w:pPr>
    </w:p>
    <w:p>
      <w:pPr>
        <w:ind w:left="224" w:hanging="224"/>
        <w:spacing w:after="0"/>
        <w:tabs>
          <w:tab w:leader="none" w:pos="224"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FATCA code(s) entered on this form (if any) indicating that I am exempt from FATCA reporting is correct.</w:t>
      </w:r>
    </w:p>
    <w:p>
      <w:pPr>
        <w:spacing w:after="0" w:line="27" w:lineRule="exact"/>
        <w:rPr>
          <w:sz w:val="20"/>
          <w:szCs w:val="20"/>
          <w:color w:val="auto"/>
        </w:rPr>
      </w:pPr>
    </w:p>
    <w:p>
      <w:pPr>
        <w:ind w:left="4" w:right="120"/>
        <w:spacing w:after="0" w:line="231" w:lineRule="auto"/>
        <w:rPr>
          <w:sz w:val="20"/>
          <w:szCs w:val="20"/>
          <w:color w:val="auto"/>
        </w:rPr>
      </w:pPr>
      <w:r>
        <w:rPr>
          <w:rFonts w:ascii="Times New Roman" w:cs="Times New Roman" w:eastAsia="Times New Roman" w:hAnsi="Times New Roman"/>
          <w:sz w:val="14"/>
          <w:szCs w:val="14"/>
          <w:b w:val="1"/>
          <w:bCs w:val="1"/>
          <w:color w:val="auto"/>
        </w:rPr>
        <w:t xml:space="preserve">Certification instructions. </w:t>
      </w:r>
      <w:r>
        <w:rPr>
          <w:rFonts w:ascii="Times New Roman" w:cs="Times New Roman" w:eastAsia="Times New Roman" w:hAnsi="Times New Roman"/>
          <w:sz w:val="14"/>
          <w:szCs w:val="14"/>
          <w:color w:val="auto"/>
        </w:rPr>
        <w:t>You must cross out item 2 above if you have been notified by the IRS that you are currently subject to backup withholding because you have failed to report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w:t>
      </w:r>
    </w:p>
    <w:p>
      <w:pPr>
        <w:spacing w:after="0" w:line="45"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4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w:t>
            </w: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Signature of</w:t>
            </w:r>
          </w:p>
        </w:tc>
        <w:tc>
          <w:tcPr>
            <w:tcW w:w="58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b w:val="1"/>
                <w:bCs w:val="1"/>
                <w:color w:val="auto"/>
                <w:w w:val="94"/>
              </w:rPr>
              <w:t>Here</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U.S. person </w:t>
            </w:r>
          </w:p>
        </w:tc>
        <w:tc>
          <w:tcPr>
            <w:tcW w:w="5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25"/>
                <w:szCs w:val="25"/>
                <w:b w:val="1"/>
                <w:bCs w:val="1"/>
                <w:color w:val="auto"/>
              </w:rPr>
              <w:t>General Instructions</w:t>
            </w:r>
          </w:p>
        </w:tc>
        <w:tc>
          <w:tcPr>
            <w:tcW w:w="580" w:type="dxa"/>
            <w:vAlign w:val="bottom"/>
          </w:tcPr>
          <w:p>
            <w:pPr>
              <w:spacing w:after="0"/>
              <w:rPr>
                <w:sz w:val="15"/>
                <w:szCs w:val="15"/>
                <w:color w:val="auto"/>
              </w:rPr>
            </w:pP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for the tax classification of its owner. Otherwise, it should check the “LLC” box and enter its</w:t>
            </w:r>
          </w:p>
        </w:tc>
        <w:tc>
          <w:tcPr>
            <w:tcW w:w="0" w:type="dxa"/>
            <w:vAlign w:val="bottom"/>
          </w:tcPr>
          <w:p>
            <w:pPr>
              <w:spacing w:after="0"/>
              <w:rPr>
                <w:sz w:val="1"/>
                <w:szCs w:val="1"/>
                <w:color w:val="auto"/>
              </w:rPr>
            </w:pPr>
          </w:p>
        </w:tc>
      </w:tr>
      <w:tr>
        <w:trPr>
          <w:trHeight w:val="188"/>
        </w:trPr>
        <w:tc>
          <w:tcPr>
            <w:tcW w:w="484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appropriate tax classification.</w:t>
            </w: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Section references are to the Internal Revenue Code unless otherwise noted.</w:t>
            </w:r>
          </w:p>
        </w:tc>
        <w:tc>
          <w:tcPr>
            <w:tcW w:w="580" w:type="dxa"/>
            <w:vAlign w:val="bottom"/>
          </w:tcPr>
          <w:p>
            <w:pPr>
              <w:spacing w:after="0"/>
              <w:rPr>
                <w:sz w:val="12"/>
                <w:szCs w:val="12"/>
                <w:color w:val="auto"/>
              </w:rPr>
            </w:pPr>
          </w:p>
        </w:tc>
        <w:tc>
          <w:tcPr>
            <w:tcW w:w="56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   New line 3b has been added to this form. A flow-through entity is required to complete</w:t>
            </w:r>
          </w:p>
        </w:tc>
        <w:tc>
          <w:tcPr>
            <w:tcW w:w="0" w:type="dxa"/>
            <w:vAlign w:val="bottom"/>
          </w:tcPr>
          <w:p>
            <w:pPr>
              <w:spacing w:after="0"/>
              <w:rPr>
                <w:sz w:val="1"/>
                <w:szCs w:val="1"/>
                <w:color w:val="auto"/>
              </w:rPr>
            </w:pPr>
          </w:p>
        </w:tc>
      </w:tr>
      <w:tr>
        <w:trPr>
          <w:trHeight w:val="185"/>
        </w:trPr>
        <w:tc>
          <w:tcPr>
            <w:tcW w:w="5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Future developments</w:t>
            </w:r>
            <w:r>
              <w:rPr>
                <w:rFonts w:ascii="Times New Roman" w:cs="Times New Roman" w:eastAsia="Times New Roman" w:hAnsi="Times New Roman"/>
                <w:sz w:val="14"/>
                <w:szCs w:val="14"/>
                <w:color w:val="auto"/>
              </w:rPr>
              <w:t>. For the latest information about developments related to Form W-9</w:t>
            </w: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this line to indicate that it has direct or indirect foreign partners, owners, or beneficiaries</w:t>
            </w:r>
          </w:p>
        </w:tc>
        <w:tc>
          <w:tcPr>
            <w:tcW w:w="0" w:type="dxa"/>
            <w:vAlign w:val="bottom"/>
          </w:tcPr>
          <w:p>
            <w:pPr>
              <w:spacing w:after="0"/>
              <w:rPr>
                <w:sz w:val="1"/>
                <w:szCs w:val="1"/>
                <w:color w:val="auto"/>
              </w:rPr>
            </w:pPr>
          </w:p>
        </w:tc>
      </w:tr>
      <w:tr>
        <w:trPr>
          <w:trHeight w:val="148"/>
        </w:trPr>
        <w:tc>
          <w:tcPr>
            <w:tcW w:w="4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and its instructions, such as legislation enacted after they were published, go to</w:t>
            </w:r>
          </w:p>
        </w:tc>
        <w:tc>
          <w:tcPr>
            <w:tcW w:w="580" w:type="dxa"/>
            <w:vAlign w:val="bottom"/>
          </w:tcPr>
          <w:p>
            <w:pPr>
              <w:spacing w:after="0"/>
              <w:rPr>
                <w:sz w:val="12"/>
                <w:szCs w:val="12"/>
                <w:color w:val="auto"/>
              </w:rPr>
            </w:pPr>
          </w:p>
        </w:tc>
        <w:tc>
          <w:tcPr>
            <w:tcW w:w="56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when it provides the Form W-9 to another flow-through entity in which it has an ownership</w:t>
            </w:r>
          </w:p>
        </w:tc>
        <w:tc>
          <w:tcPr>
            <w:tcW w:w="0" w:type="dxa"/>
            <w:vAlign w:val="bottom"/>
          </w:tcPr>
          <w:p>
            <w:pPr>
              <w:spacing w:after="0"/>
              <w:rPr>
                <w:sz w:val="1"/>
                <w:szCs w:val="1"/>
                <w:color w:val="auto"/>
              </w:rPr>
            </w:pPr>
          </w:p>
        </w:tc>
      </w:tr>
      <w:tr>
        <w:trPr>
          <w:trHeight w:val="149"/>
        </w:trPr>
        <w:tc>
          <w:tcPr>
            <w:tcW w:w="4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www.irs.gov/FormW9</w:t>
            </w: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56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This change is intended to provide a flow-through entity with information regarding</w:t>
            </w:r>
          </w:p>
        </w:tc>
        <w:tc>
          <w:tcPr>
            <w:tcW w:w="0" w:type="dxa"/>
            <w:vAlign w:val="bottom"/>
          </w:tcPr>
          <w:p>
            <w:pPr>
              <w:spacing w:after="0"/>
              <w:rPr>
                <w:sz w:val="1"/>
                <w:szCs w:val="1"/>
                <w:color w:val="auto"/>
              </w:rPr>
            </w:pPr>
          </w:p>
        </w:tc>
      </w:tr>
      <w:tr>
        <w:trPr>
          <w:trHeight w:val="112"/>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What’s New</w:t>
            </w:r>
          </w:p>
        </w:tc>
        <w:tc>
          <w:tcPr>
            <w:tcW w:w="580" w:type="dxa"/>
            <w:vAlign w:val="bottom"/>
          </w:tcPr>
          <w:p>
            <w:pPr>
              <w:spacing w:after="0"/>
              <w:rPr>
                <w:sz w:val="9"/>
                <w:szCs w:val="9"/>
                <w:color w:val="auto"/>
              </w:rPr>
            </w:pPr>
          </w:p>
        </w:tc>
        <w:tc>
          <w:tcPr>
            <w:tcW w:w="5620" w:type="dxa"/>
            <w:vAlign w:val="bottom"/>
            <w:gridSpan w:val="3"/>
          </w:tcPr>
          <w:p>
            <w:pPr>
              <w:ind w:left="200"/>
              <w:spacing w:after="0" w:line="113" w:lineRule="exact"/>
              <w:rPr>
                <w:sz w:val="20"/>
                <w:szCs w:val="20"/>
                <w:color w:val="auto"/>
              </w:rPr>
            </w:pPr>
            <w:r>
              <w:rPr>
                <w:rFonts w:ascii="Times New Roman" w:cs="Times New Roman" w:eastAsia="Times New Roman" w:hAnsi="Times New Roman"/>
                <w:sz w:val="13"/>
                <w:szCs w:val="13"/>
                <w:color w:val="auto"/>
              </w:rPr>
              <w:t>the status of its indirect foreign partners, owners, or beneficiaries, so that it can satisfy any</w:t>
            </w:r>
          </w:p>
        </w:tc>
        <w:tc>
          <w:tcPr>
            <w:tcW w:w="0" w:type="dxa"/>
            <w:vAlign w:val="bottom"/>
          </w:tcPr>
          <w:p>
            <w:pPr>
              <w:spacing w:after="0"/>
              <w:rPr>
                <w:sz w:val="1"/>
                <w:szCs w:val="1"/>
                <w:color w:val="auto"/>
              </w:rPr>
            </w:pPr>
          </w:p>
        </w:tc>
      </w:tr>
      <w:tr>
        <w:trPr>
          <w:trHeight w:val="165"/>
        </w:trPr>
        <w:tc>
          <w:tcPr>
            <w:tcW w:w="48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applicable reporting requirements. For example, a partnership that has any indirect foreign</w:t>
            </w:r>
          </w:p>
        </w:tc>
        <w:tc>
          <w:tcPr>
            <w:tcW w:w="0" w:type="dxa"/>
            <w:vAlign w:val="bottom"/>
          </w:tcPr>
          <w:p>
            <w:pPr>
              <w:spacing w:after="0"/>
              <w:rPr>
                <w:sz w:val="1"/>
                <w:szCs w:val="1"/>
                <w:color w:val="auto"/>
              </w:rPr>
            </w:pPr>
          </w:p>
        </w:tc>
      </w:tr>
      <w:tr>
        <w:trPr>
          <w:trHeight w:val="133"/>
        </w:trPr>
        <w:tc>
          <w:tcPr>
            <w:tcW w:w="5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Line 3a has been modified to clarify how a disregarded entity completes this line. An LLC</w:t>
            </w:r>
          </w:p>
        </w:tc>
        <w:tc>
          <w:tcPr>
            <w:tcW w:w="5620" w:type="dxa"/>
            <w:vAlign w:val="bottom"/>
            <w:gridSpan w:val="3"/>
          </w:tcPr>
          <w:p>
            <w:pPr>
              <w:ind w:left="200"/>
              <w:spacing w:after="0" w:line="133" w:lineRule="exact"/>
              <w:rPr>
                <w:sz w:val="20"/>
                <w:szCs w:val="20"/>
                <w:color w:val="auto"/>
              </w:rPr>
            </w:pPr>
            <w:r>
              <w:rPr>
                <w:rFonts w:ascii="Times New Roman" w:cs="Times New Roman" w:eastAsia="Times New Roman" w:hAnsi="Times New Roman"/>
                <w:sz w:val="14"/>
                <w:szCs w:val="14"/>
                <w:color w:val="auto"/>
              </w:rPr>
              <w:t>partners may be required to complete Schedules K-2 and K-3. See the Partnership</w:t>
            </w:r>
          </w:p>
        </w:tc>
        <w:tc>
          <w:tcPr>
            <w:tcW w:w="0" w:type="dxa"/>
            <w:vAlign w:val="bottom"/>
          </w:tcPr>
          <w:p>
            <w:pPr>
              <w:spacing w:after="0"/>
              <w:rPr>
                <w:sz w:val="1"/>
                <w:szCs w:val="1"/>
                <w:color w:val="auto"/>
              </w:rPr>
            </w:pPr>
          </w:p>
        </w:tc>
      </w:tr>
      <w:tr>
        <w:trPr>
          <w:trHeight w:val="95"/>
        </w:trPr>
        <w:tc>
          <w:tcPr>
            <w:tcW w:w="5420" w:type="dxa"/>
            <w:vAlign w:val="bottom"/>
            <w:gridSpan w:val="4"/>
            <w:vMerge w:val="continue"/>
          </w:tcPr>
          <w:p>
            <w:pPr>
              <w:spacing w:after="0"/>
              <w:rPr>
                <w:sz w:val="8"/>
                <w:szCs w:val="8"/>
                <w:color w:val="auto"/>
              </w:rPr>
            </w:pPr>
          </w:p>
        </w:tc>
        <w:tc>
          <w:tcPr>
            <w:tcW w:w="3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Instructions for Schedules K-2 and K-3 (Form 1065).</w:t>
            </w: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that is a disregarded entity should check the appropriate box</w:t>
            </w:r>
          </w:p>
        </w:tc>
        <w:tc>
          <w:tcPr>
            <w:tcW w:w="580" w:type="dxa"/>
            <w:vAlign w:val="bottom"/>
          </w:tcPr>
          <w:p>
            <w:pPr>
              <w:spacing w:after="0"/>
              <w:rPr>
                <w:sz w:val="8"/>
                <w:szCs w:val="8"/>
                <w:color w:val="auto"/>
              </w:rPr>
            </w:pPr>
          </w:p>
        </w:tc>
        <w:tc>
          <w:tcPr>
            <w:tcW w:w="3740" w:type="dxa"/>
            <w:vAlign w:val="bottom"/>
            <w:vMerge w:val="continue"/>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84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4320" w:type="dxa"/>
            <w:vAlign w:val="bottom"/>
            <w:gridSpan w:val="2"/>
          </w:tcPr>
          <w:p>
            <w:pPr>
              <w:spacing w:after="0"/>
              <w:rPr>
                <w:sz w:val="23"/>
                <w:szCs w:val="23"/>
                <w:color w:val="auto"/>
              </w:rPr>
            </w:pPr>
          </w:p>
        </w:tc>
        <w:tc>
          <w:tcPr>
            <w:tcW w:w="18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30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 xml:space="preserve">    </w:t>
            </w:r>
          </w:p>
        </w:tc>
        <w:tc>
          <w:tcPr>
            <w:tcW w:w="432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color w:val="auto"/>
              </w:rPr>
              <w:t>Cat. No. 10231X</w:t>
            </w:r>
          </w:p>
        </w:tc>
        <w:tc>
          <w:tcPr>
            <w:tcW w:w="1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w w:val="96"/>
              </w:rPr>
              <w:t xml:space="preserve">Form </w:t>
            </w:r>
            <w:r>
              <w:rPr>
                <w:rFonts w:ascii="Times New Roman" w:cs="Times New Roman" w:eastAsia="Times New Roman" w:hAnsi="Times New Roman"/>
                <w:sz w:val="17"/>
                <w:szCs w:val="17"/>
                <w:b w:val="1"/>
                <w:bCs w:val="1"/>
                <w:color w:val="auto"/>
                <w:w w:val="96"/>
              </w:rPr>
              <w:t>W-9</w:t>
            </w:r>
            <w:r>
              <w:rPr>
                <w:rFonts w:ascii="Times New Roman" w:cs="Times New Roman" w:eastAsia="Times New Roman" w:hAnsi="Times New Roman"/>
                <w:sz w:val="13"/>
                <w:szCs w:val="13"/>
                <w:color w:val="auto"/>
                <w:w w:val="96"/>
              </w:rPr>
              <w:t xml:space="preserve"> (Rev. 3-2024)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98" w:right="439" w:bottom="1440" w:gutter="0" w:footer="0" w:header="0"/>
        </w:sectPr>
      </w:pPr>
    </w:p>
    <w:bookmarkStart w:id="89" w:name="page90"/>
    <w:bookmarkEnd w:id="89"/>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Purpose of Form</w:t>
      </w:r>
    </w:p>
    <w:p>
      <w:pPr>
        <w:spacing w:after="0" w:line="107" w:lineRule="exact"/>
        <w:rPr>
          <w:sz w:val="20"/>
          <w:szCs w:val="20"/>
          <w:color w:val="auto"/>
        </w:rPr>
      </w:pPr>
    </w:p>
    <w:p>
      <w:pPr>
        <w:ind w:left="4" w:right="60"/>
        <w:spacing w:after="0" w:line="229" w:lineRule="auto"/>
        <w:rPr>
          <w:sz w:val="20"/>
          <w:szCs w:val="20"/>
          <w:color w:val="auto"/>
        </w:rPr>
      </w:pPr>
      <w:r>
        <w:rPr>
          <w:rFonts w:ascii="Times New Roman" w:cs="Times New Roman" w:eastAsia="Times New Roman" w:hAnsi="Times New Roman"/>
          <w:sz w:val="14"/>
          <w:szCs w:val="14"/>
          <w:color w:val="auto"/>
        </w:rPr>
        <w:t>An individual or entity (Form W-9 requester) who is required to file an information return with the IRS is giving you this form because they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w:t>
      </w:r>
    </w:p>
    <w:p>
      <w:pPr>
        <w:spacing w:after="0" w:line="5" w:lineRule="exact"/>
        <w:rPr>
          <w:sz w:val="20"/>
          <w:szCs w:val="20"/>
          <w:color w:val="auto"/>
        </w:rPr>
      </w:pPr>
    </w:p>
    <w:p>
      <w:pPr>
        <w:ind w:left="84" w:hanging="84"/>
        <w:spacing w:after="0"/>
        <w:tabs>
          <w:tab w:leader="none" w:pos="8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1099-INT (interest earned or paid).</w:t>
      </w:r>
    </w:p>
    <w:p>
      <w:pPr>
        <w:spacing w:after="0" w:line="27"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1099-DIV (dividends, including those from stocks or mutual funds).</w:t>
      </w:r>
    </w:p>
    <w:p>
      <w:pPr>
        <w:spacing w:after="0" w:line="15"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1099-MISC (various types of income, prizes, awards, or gross proceeds).</w:t>
      </w:r>
    </w:p>
    <w:p>
      <w:pPr>
        <w:spacing w:after="0" w:line="28"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1099-NEC (nonemployee compensation).</w:t>
      </w:r>
    </w:p>
    <w:p>
      <w:pPr>
        <w:spacing w:after="0" w:line="27"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1099-B (stock or mutual fund sales and certain other transactions by brokers).</w:t>
      </w:r>
    </w:p>
    <w:p>
      <w:pPr>
        <w:spacing w:after="0" w:line="15"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1099-S (proceeds from real estate transactions).</w:t>
      </w:r>
    </w:p>
    <w:p>
      <w:pPr>
        <w:spacing w:after="0" w:line="28"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1099-K (merchant card and third-party network transactions).</w:t>
      </w:r>
    </w:p>
    <w:p>
      <w:pPr>
        <w:spacing w:after="0" w:line="27"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1098 (home mortgage interest), 1098-E (student loan interest), and 1098-T (tuition).</w:t>
      </w:r>
    </w:p>
    <w:p>
      <w:pPr>
        <w:spacing w:after="0" w:line="15"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1099-C (canceled debt).</w:t>
      </w:r>
    </w:p>
    <w:p>
      <w:pPr>
        <w:spacing w:after="0" w:line="28"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1099-A (acquisition or abandonment of secured property).</w:t>
      </w:r>
    </w:p>
    <w:p>
      <w:pPr>
        <w:spacing w:after="0" w:line="27" w:lineRule="exact"/>
        <w:rPr>
          <w:sz w:val="20"/>
          <w:szCs w:val="20"/>
          <w:color w:val="auto"/>
        </w:rPr>
      </w:pPr>
    </w:p>
    <w:p>
      <w:pPr>
        <w:ind w:left="4" w:right="100" w:firstLine="106"/>
        <w:spacing w:after="0" w:line="241" w:lineRule="auto"/>
        <w:rPr>
          <w:sz w:val="20"/>
          <w:szCs w:val="20"/>
          <w:color w:val="auto"/>
        </w:rPr>
      </w:pPr>
      <w:r>
        <w:rPr>
          <w:rFonts w:ascii="Times New Roman" w:cs="Times New Roman" w:eastAsia="Times New Roman" w:hAnsi="Times New Roman"/>
          <w:sz w:val="14"/>
          <w:szCs w:val="14"/>
          <w:color w:val="auto"/>
        </w:rPr>
        <w:t>Use Form W-9 only if you are a U.S. person (including a resident alien), to provide your correct TIN.</w:t>
      </w:r>
    </w:p>
    <w:p>
      <w:pPr>
        <w:spacing w:after="0" w:line="1"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Caution: </w:t>
      </w:r>
      <w:r>
        <w:rPr>
          <w:rFonts w:ascii="Times New Roman" w:cs="Times New Roman" w:eastAsia="Times New Roman" w:hAnsi="Times New Roman"/>
          <w:sz w:val="14"/>
          <w:szCs w:val="14"/>
          <w:color w:val="auto"/>
        </w:rPr>
        <w:t>If you don’t return Form W-9 to the requester with a TIN, you might be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backup withholding. See </w:t>
      </w:r>
      <w:r>
        <w:rPr>
          <w:rFonts w:ascii="Times New Roman" w:cs="Times New Roman" w:eastAsia="Times New Roman" w:hAnsi="Times New Roman"/>
          <w:sz w:val="14"/>
          <w:szCs w:val="14"/>
          <w:i w:val="1"/>
          <w:iCs w:val="1"/>
          <w:color w:val="auto"/>
        </w:rPr>
        <w:t>What is backup withholding</w:t>
      </w:r>
      <w:r>
        <w:rPr>
          <w:rFonts w:ascii="Times New Roman" w:cs="Times New Roman" w:eastAsia="Times New Roman" w:hAnsi="Times New Roman"/>
          <w:sz w:val="14"/>
          <w:szCs w:val="14"/>
          <w:color w:val="auto"/>
        </w:rPr>
        <w:t>, later.</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b w:val="1"/>
          <w:bCs w:val="1"/>
          <w:color w:val="auto"/>
        </w:rPr>
        <w:t xml:space="preserve">By signing the filled-out form, </w:t>
      </w:r>
      <w:r>
        <w:rPr>
          <w:rFonts w:ascii="Times New Roman" w:cs="Times New Roman" w:eastAsia="Times New Roman" w:hAnsi="Times New Roman"/>
          <w:sz w:val="14"/>
          <w:szCs w:val="14"/>
          <w:color w:val="auto"/>
        </w:rPr>
        <w:t>you:</w:t>
      </w:r>
    </w:p>
    <w:p>
      <w:pPr>
        <w:spacing w:after="0" w:line="28" w:lineRule="exact"/>
        <w:rPr>
          <w:sz w:val="20"/>
          <w:szCs w:val="20"/>
          <w:color w:val="auto"/>
        </w:rPr>
      </w:pPr>
    </w:p>
    <w:p>
      <w:pPr>
        <w:ind w:left="4" w:right="220" w:firstLine="102"/>
        <w:spacing w:after="0" w:line="242" w:lineRule="auto"/>
        <w:tabs>
          <w:tab w:leader="none" w:pos="25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Certify that the TIN you are giving is correct (or you are waiting for a number to be issued);</w:t>
      </w:r>
    </w:p>
    <w:p>
      <w:pPr>
        <w:ind w:left="244" w:hanging="138"/>
        <w:spacing w:after="0"/>
        <w:tabs>
          <w:tab w:leader="none" w:pos="24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Certify that you are not subject to backup withholding; or</w:t>
      </w:r>
    </w:p>
    <w:p>
      <w:pPr>
        <w:spacing w:after="0" w:line="27" w:lineRule="exact"/>
        <w:rPr>
          <w:rFonts w:ascii="Times New Roman" w:cs="Times New Roman" w:eastAsia="Times New Roman" w:hAnsi="Times New Roman"/>
          <w:sz w:val="14"/>
          <w:szCs w:val="14"/>
          <w:color w:val="auto"/>
        </w:rPr>
      </w:pPr>
    </w:p>
    <w:p>
      <w:pPr>
        <w:ind w:left="244" w:hanging="138"/>
        <w:spacing w:after="0"/>
        <w:tabs>
          <w:tab w:leader="none" w:pos="24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 exemption from backup withholding if you are a U.S. exempt payee; and</w:t>
      </w:r>
    </w:p>
    <w:p>
      <w:pPr>
        <w:spacing w:after="0" w:line="15" w:lineRule="exact"/>
        <w:rPr>
          <w:rFonts w:ascii="Times New Roman" w:cs="Times New Roman" w:eastAsia="Times New Roman" w:hAnsi="Times New Roman"/>
          <w:sz w:val="14"/>
          <w:szCs w:val="14"/>
          <w:color w:val="auto"/>
        </w:rPr>
      </w:pPr>
    </w:p>
    <w:p>
      <w:pPr>
        <w:ind w:left="4" w:right="120" w:firstLine="102"/>
        <w:spacing w:after="0" w:line="251" w:lineRule="auto"/>
        <w:tabs>
          <w:tab w:leader="none" w:pos="25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Certify to your non-foreign status for purposes of withholding under chapter 3 or 4 of the Code (if applicable); and</w:t>
      </w:r>
    </w:p>
    <w:p>
      <w:pPr>
        <w:ind w:left="4" w:right="340" w:firstLine="102"/>
        <w:spacing w:after="0" w:line="241" w:lineRule="auto"/>
        <w:tabs>
          <w:tab w:leader="none" w:pos="25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Certify that FATCA code(s) entered on this form (if any) indicating that you are exempt from the FATCA reporting is correct. See </w:t>
      </w:r>
      <w:r>
        <w:rPr>
          <w:rFonts w:ascii="Times New Roman" w:cs="Times New Roman" w:eastAsia="Times New Roman" w:hAnsi="Times New Roman"/>
          <w:sz w:val="14"/>
          <w:szCs w:val="14"/>
          <w:i w:val="1"/>
          <w:iCs w:val="1"/>
          <w:color w:val="auto"/>
        </w:rPr>
        <w:t>What Is FATCA Reporting</w:t>
      </w:r>
      <w:r>
        <w:rPr>
          <w:rFonts w:ascii="Times New Roman" w:cs="Times New Roman" w:eastAsia="Times New Roman" w:hAnsi="Times New Roman"/>
          <w:sz w:val="14"/>
          <w:szCs w:val="14"/>
          <w:color w:val="auto"/>
        </w:rPr>
        <w:t>, later, for further information.</w:t>
      </w:r>
    </w:p>
    <w:p>
      <w:pPr>
        <w:ind w:left="4" w:right="240"/>
        <w:spacing w:after="0" w:line="23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If you are a U.S. person and a requester gives you a form other than Form W-9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 your TIN, you must use the requester’s form if it is substantially similar to this Form W-9.</w:t>
      </w:r>
    </w:p>
    <w:p>
      <w:pPr>
        <w:spacing w:after="0" w:line="2" w:lineRule="exact"/>
        <w:rPr>
          <w:sz w:val="20"/>
          <w:szCs w:val="20"/>
          <w:color w:val="auto"/>
        </w:rPr>
      </w:pPr>
    </w:p>
    <w:p>
      <w:pPr>
        <w:ind w:left="4" w:right="100"/>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Definition of a U.S. person. </w:t>
      </w:r>
      <w:r>
        <w:rPr>
          <w:rFonts w:ascii="Times New Roman" w:cs="Times New Roman" w:eastAsia="Times New Roman" w:hAnsi="Times New Roman"/>
          <w:sz w:val="14"/>
          <w:szCs w:val="14"/>
          <w:color w:val="auto"/>
        </w:rPr>
        <w:t>For federal tax purposes, you are considered a U.S. person 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you are:</w:t>
      </w:r>
    </w:p>
    <w:p>
      <w:pPr>
        <w:ind w:left="84" w:hanging="84"/>
        <w:spacing w:after="0"/>
        <w:tabs>
          <w:tab w:leader="none" w:pos="8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U.S. citizen or U.S. resident alien;</w:t>
      </w:r>
    </w:p>
    <w:p>
      <w:pPr>
        <w:spacing w:after="0" w:line="27" w:lineRule="exact"/>
        <w:rPr>
          <w:rFonts w:ascii="Times New Roman" w:cs="Times New Roman" w:eastAsia="Times New Roman" w:hAnsi="Times New Roman"/>
          <w:sz w:val="14"/>
          <w:szCs w:val="14"/>
          <w:color w:val="auto"/>
        </w:rPr>
      </w:pPr>
    </w:p>
    <w:p>
      <w:pPr>
        <w:ind w:left="4" w:right="220" w:hanging="4"/>
        <w:spacing w:after="0" w:line="242" w:lineRule="auto"/>
        <w:tabs>
          <w:tab w:leader="none" w:pos="9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partnership, corporation, company, or association created or organized in the United States or under the laws of the United States;</w:t>
      </w:r>
    </w:p>
    <w:p>
      <w:pPr>
        <w:ind w:left="84" w:hanging="84"/>
        <w:spacing w:after="0"/>
        <w:tabs>
          <w:tab w:leader="none" w:pos="8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(other than a foreign estate); or</w:t>
      </w:r>
    </w:p>
    <w:p>
      <w:pPr>
        <w:spacing w:after="0" w:line="28"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domestic trust (as defined in Regulations section 301.7701-7).</w:t>
      </w:r>
    </w:p>
    <w:p>
      <w:pPr>
        <w:spacing w:after="0" w:line="27" w:lineRule="exact"/>
        <w:rPr>
          <w:sz w:val="20"/>
          <w:szCs w:val="20"/>
          <w:color w:val="auto"/>
        </w:rPr>
      </w:pPr>
    </w:p>
    <w:p>
      <w:pPr>
        <w:ind w:left="4"/>
        <w:spacing w:after="0" w:line="226" w:lineRule="auto"/>
        <w:rPr>
          <w:sz w:val="20"/>
          <w:szCs w:val="20"/>
          <w:color w:val="auto"/>
        </w:rPr>
      </w:pPr>
      <w:r>
        <w:rPr>
          <w:rFonts w:ascii="Times New Roman" w:cs="Times New Roman" w:eastAsia="Times New Roman" w:hAnsi="Times New Roman"/>
          <w:sz w:val="14"/>
          <w:szCs w:val="14"/>
          <w:b w:val="1"/>
          <w:bCs w:val="1"/>
          <w:color w:val="auto"/>
        </w:rPr>
        <w:t xml:space="preserve">Establishing U.S. status for purposes of chapter 3 and chapter 4 withholding. </w:t>
      </w:r>
      <w:r>
        <w:rPr>
          <w:rFonts w:ascii="Times New Roman" w:cs="Times New Roman" w:eastAsia="Times New Roman" w:hAnsi="Times New Roman"/>
          <w:sz w:val="14"/>
          <w:szCs w:val="14"/>
          <w:color w:val="auto"/>
        </w:rPr>
        <w:t>Payments made to foreign persons, including certain distributions, allocations of income, or transfers of sales proceeds, may be subject to withholding under chapter 3 or chapter 4 of the Code (sections 1441–1474). Under those rules, if a Form W-9 or other certification of non-foreign status has not been received, a withholding agent, transferee, or partnership (payor) generally applies presumption rules that may require the payor to withhold applicable tax from the recipient, owner, transferor, or partner (payee). See Pub. 515, Withholding of Tax on Nonresident Aliens and Foreign Entities.</w:t>
      </w:r>
    </w:p>
    <w:p>
      <w:pPr>
        <w:spacing w:after="0" w:line="3" w:lineRule="exact"/>
        <w:rPr>
          <w:sz w:val="20"/>
          <w:szCs w:val="20"/>
          <w:color w:val="auto"/>
        </w:rPr>
      </w:pPr>
    </w:p>
    <w:p>
      <w:pPr>
        <w:ind w:left="4" w:right="100" w:firstLine="106"/>
        <w:spacing w:after="0" w:line="251" w:lineRule="auto"/>
        <w:rPr>
          <w:sz w:val="20"/>
          <w:szCs w:val="20"/>
          <w:color w:val="auto"/>
        </w:rPr>
      </w:pPr>
      <w:r>
        <w:rPr>
          <w:rFonts w:ascii="Times New Roman" w:cs="Times New Roman" w:eastAsia="Times New Roman" w:hAnsi="Times New Roman"/>
          <w:sz w:val="14"/>
          <w:szCs w:val="14"/>
          <w:color w:val="auto"/>
        </w:rPr>
        <w:t>The following persons must provide Form W-9 to the payor for purposes of establishing its non-foreign status.</w:t>
      </w:r>
    </w:p>
    <w:p>
      <w:pPr>
        <w:spacing w:after="0" w:line="1" w:lineRule="exact"/>
        <w:rPr>
          <w:sz w:val="20"/>
          <w:szCs w:val="20"/>
          <w:color w:val="auto"/>
        </w:rPr>
      </w:pPr>
    </w:p>
    <w:p>
      <w:pPr>
        <w:ind w:left="4" w:right="180" w:hanging="4"/>
        <w:spacing w:after="0" w:line="250" w:lineRule="auto"/>
        <w:tabs>
          <w:tab w:leader="none" w:pos="9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disregarded entity with a U.S. owner, the U.S. owner of the disregarded entity and not the disregarded entity.</w:t>
      </w:r>
    </w:p>
    <w:p>
      <w:pPr>
        <w:spacing w:after="0" w:line="1" w:lineRule="exact"/>
        <w:rPr>
          <w:rFonts w:ascii="Times New Roman" w:cs="Times New Roman" w:eastAsia="Times New Roman" w:hAnsi="Times New Roman"/>
          <w:sz w:val="14"/>
          <w:szCs w:val="14"/>
          <w:color w:val="auto"/>
        </w:rPr>
      </w:pPr>
    </w:p>
    <w:p>
      <w:pPr>
        <w:ind w:left="4" w:right="140" w:hanging="4"/>
        <w:spacing w:after="0" w:line="243" w:lineRule="auto"/>
        <w:tabs>
          <w:tab w:leader="none" w:pos="9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grantor trust with a U.S. grantor or other U.S. owner, generally, the U.S. grantor or other U.S. owner of the grantor trust and not the grantor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6" w:right="40" w:hanging="6"/>
        <w:spacing w:after="0" w:line="251" w:lineRule="auto"/>
        <w:tabs>
          <w:tab w:leader="none" w:pos="93"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U.S. trust (other than a grantor trust), the U.S. trust and not the beneficiaries of the trust.</w:t>
      </w:r>
    </w:p>
    <w:p>
      <w:pPr>
        <w:spacing w:after="0" w:line="1" w:lineRule="exact"/>
        <w:rPr>
          <w:sz w:val="20"/>
          <w:szCs w:val="20"/>
          <w:color w:val="auto"/>
        </w:rPr>
      </w:pPr>
    </w:p>
    <w:p>
      <w:pPr>
        <w:ind w:left="6" w:right="40"/>
        <w:spacing w:after="0" w:line="250" w:lineRule="auto"/>
        <w:rPr>
          <w:sz w:val="20"/>
          <w:szCs w:val="20"/>
          <w:color w:val="auto"/>
        </w:rPr>
      </w:pPr>
      <w:r>
        <w:rPr>
          <w:rFonts w:ascii="Times New Roman" w:cs="Times New Roman" w:eastAsia="Times New Roman" w:hAnsi="Times New Roman"/>
          <w:sz w:val="14"/>
          <w:szCs w:val="14"/>
          <w:color w:val="auto"/>
        </w:rPr>
        <w:t>See Pub. 515 for more information on providing a Form W-9 or a certification of non-foreign status to avoid withholding.</w:t>
      </w:r>
    </w:p>
    <w:p>
      <w:pPr>
        <w:spacing w:after="0" w:line="1" w:lineRule="exact"/>
        <w:rPr>
          <w:sz w:val="20"/>
          <w:szCs w:val="20"/>
          <w:color w:val="auto"/>
        </w:rPr>
      </w:pPr>
    </w:p>
    <w:p>
      <w:pPr>
        <w:ind w:left="6" w:right="20"/>
        <w:spacing w:after="0" w:line="226" w:lineRule="auto"/>
        <w:rPr>
          <w:sz w:val="20"/>
          <w:szCs w:val="20"/>
          <w:color w:val="auto"/>
        </w:rPr>
      </w:pPr>
      <w:r>
        <w:rPr>
          <w:rFonts w:ascii="Times New Roman" w:cs="Times New Roman" w:eastAsia="Times New Roman" w:hAnsi="Times New Roman"/>
          <w:sz w:val="14"/>
          <w:szCs w:val="14"/>
          <w:b w:val="1"/>
          <w:bCs w:val="1"/>
          <w:color w:val="auto"/>
        </w:rPr>
        <w:t xml:space="preserve">Foreign person. </w:t>
      </w:r>
      <w:r>
        <w:rPr>
          <w:rFonts w:ascii="Times New Roman" w:cs="Times New Roman" w:eastAsia="Times New Roman" w:hAnsi="Times New Roman"/>
          <w:sz w:val="14"/>
          <w:szCs w:val="14"/>
          <w:color w:val="auto"/>
        </w:rPr>
        <w:t>If you are a foreign person or the U.S. branch of a foreign bank that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elected to be treated as a U.S. person (under Regulations section 1.1441-1(b)(2)(iv) or other applicable section for chapter 3 or 4 purposes), do not use Form W-9. Instead, use the appropriate Form W-8 or Form 8233 (see Pub. 515). If you are a qualified foreign pension fund under Regulations section 1.897(l)-1(d), or a partnership that is wholly owned by qualified foreign pension funds, that is treated as a non-foreign person for purposes of section 1445 withholding, do not use Form W-9. Instead, use Form W-8EXP (or other certification of non-foreign status).</w:t>
      </w:r>
    </w:p>
    <w:p>
      <w:pPr>
        <w:spacing w:after="0" w:line="2" w:lineRule="exact"/>
        <w:rPr>
          <w:sz w:val="20"/>
          <w:szCs w:val="20"/>
          <w:color w:val="auto"/>
        </w:rPr>
      </w:pPr>
    </w:p>
    <w:p>
      <w:pPr>
        <w:ind w:left="6" w:right="20"/>
        <w:spacing w:after="0" w:line="233" w:lineRule="auto"/>
        <w:rPr>
          <w:sz w:val="20"/>
          <w:szCs w:val="20"/>
          <w:color w:val="auto"/>
        </w:rPr>
      </w:pPr>
      <w:r>
        <w:rPr>
          <w:rFonts w:ascii="Times New Roman" w:cs="Times New Roman" w:eastAsia="Times New Roman" w:hAnsi="Times New Roman"/>
          <w:sz w:val="14"/>
          <w:szCs w:val="14"/>
          <w:b w:val="1"/>
          <w:bCs w:val="1"/>
          <w:color w:val="auto"/>
        </w:rPr>
        <w:t xml:space="preserve">Nonresident alien who becomes a resident alien. </w:t>
      </w:r>
      <w:r>
        <w:rPr>
          <w:rFonts w:ascii="Times New Roman" w:cs="Times New Roman" w:eastAsia="Times New Roman" w:hAnsi="Times New Roman"/>
          <w:sz w:val="14"/>
          <w:szCs w:val="14"/>
          <w:color w:val="auto"/>
        </w:rPr>
        <w:t>Generally, only a nonresident alien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individual 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w:t>
      </w:r>
    </w:p>
    <w:p>
      <w:pPr>
        <w:spacing w:after="0" w:line="2" w:lineRule="exact"/>
        <w:rPr>
          <w:sz w:val="20"/>
          <w:szCs w:val="20"/>
          <w:color w:val="auto"/>
        </w:rPr>
      </w:pPr>
    </w:p>
    <w:p>
      <w:pPr>
        <w:ind w:left="6" w:right="220" w:firstLine="108"/>
        <w:spacing w:after="0" w:line="241" w:lineRule="auto"/>
        <w:rPr>
          <w:sz w:val="20"/>
          <w:szCs w:val="20"/>
          <w:color w:val="auto"/>
        </w:rPr>
      </w:pPr>
      <w:r>
        <w:rPr>
          <w:rFonts w:ascii="Times New Roman" w:cs="Times New Roman" w:eastAsia="Times New Roman" w:hAnsi="Times New Roman"/>
          <w:sz w:val="14"/>
          <w:szCs w:val="14"/>
          <w:color w:val="auto"/>
        </w:rPr>
        <w:t>If you are a U.S. resident alien who is relying on an exception contained in the saving clause of a tax treaty to claim an exemption from U.S. tax on certain types of income, you must attach a statement to Form W-9 that specifies the following five items.</w:t>
      </w:r>
    </w:p>
    <w:p>
      <w:pPr>
        <w:ind w:left="6" w:right="300" w:firstLine="102"/>
        <w:spacing w:after="0" w:line="242" w:lineRule="auto"/>
        <w:tabs>
          <w:tab w:leader="none" w:pos="258"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treaty country. Generally, this must be the same treaty under which you claimed exemption from tax as a nonresident alien.</w:t>
      </w:r>
    </w:p>
    <w:p>
      <w:pPr>
        <w:ind w:left="246" w:hanging="138"/>
        <w:spacing w:after="0"/>
        <w:tabs>
          <w:tab w:leader="none" w:pos="24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treaty article addressing the income.</w:t>
      </w:r>
    </w:p>
    <w:p>
      <w:pPr>
        <w:spacing w:after="0" w:line="28" w:lineRule="exact"/>
        <w:rPr>
          <w:rFonts w:ascii="Times New Roman" w:cs="Times New Roman" w:eastAsia="Times New Roman" w:hAnsi="Times New Roman"/>
          <w:sz w:val="14"/>
          <w:szCs w:val="14"/>
          <w:color w:val="auto"/>
        </w:rPr>
      </w:pPr>
    </w:p>
    <w:p>
      <w:pPr>
        <w:ind w:left="6" w:right="180" w:firstLine="102"/>
        <w:spacing w:after="0" w:line="250" w:lineRule="auto"/>
        <w:tabs>
          <w:tab w:leader="none" w:pos="258"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article number (or location) in the tax treaty that contains the saving clause and its exceptions.</w:t>
      </w:r>
    </w:p>
    <w:p>
      <w:pPr>
        <w:spacing w:after="0" w:line="1" w:lineRule="exact"/>
        <w:rPr>
          <w:rFonts w:ascii="Times New Roman" w:cs="Times New Roman" w:eastAsia="Times New Roman" w:hAnsi="Times New Roman"/>
          <w:sz w:val="14"/>
          <w:szCs w:val="14"/>
          <w:color w:val="auto"/>
        </w:rPr>
      </w:pPr>
    </w:p>
    <w:p>
      <w:pPr>
        <w:ind w:left="246" w:hanging="138"/>
        <w:spacing w:after="0"/>
        <w:tabs>
          <w:tab w:leader="none" w:pos="24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and amount of income that qualifies for the exemption from tax.</w:t>
      </w:r>
    </w:p>
    <w:p>
      <w:pPr>
        <w:spacing w:after="0" w:line="15" w:lineRule="exact"/>
        <w:rPr>
          <w:rFonts w:ascii="Times New Roman" w:cs="Times New Roman" w:eastAsia="Times New Roman" w:hAnsi="Times New Roman"/>
          <w:sz w:val="14"/>
          <w:szCs w:val="14"/>
          <w:color w:val="auto"/>
        </w:rPr>
      </w:pPr>
    </w:p>
    <w:p>
      <w:pPr>
        <w:ind w:left="246" w:hanging="138"/>
        <w:spacing w:after="0"/>
        <w:tabs>
          <w:tab w:leader="none" w:pos="24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Sufficient facts to justify the exemption from tax under the terms of the treaty article.</w:t>
      </w:r>
    </w:p>
    <w:p>
      <w:pPr>
        <w:spacing w:after="0" w:line="27" w:lineRule="exact"/>
        <w:rPr>
          <w:sz w:val="20"/>
          <w:szCs w:val="20"/>
          <w:color w:val="auto"/>
        </w:rPr>
      </w:pPr>
    </w:p>
    <w:p>
      <w:pPr>
        <w:ind w:left="6" w:right="20" w:firstLine="108"/>
        <w:spacing w:after="0" w:line="227" w:lineRule="auto"/>
        <w:rPr>
          <w:sz w:val="20"/>
          <w:szCs w:val="20"/>
          <w:color w:val="auto"/>
        </w:rPr>
      </w:pPr>
      <w:r>
        <w:rPr>
          <w:rFonts w:ascii="Times New Roman" w:cs="Times New Roman" w:eastAsia="Times New Roman" w:hAnsi="Times New Roman"/>
          <w:sz w:val="14"/>
          <w:szCs w:val="14"/>
          <w:b w:val="1"/>
          <w:bCs w:val="1"/>
          <w:i w:val="1"/>
          <w:iCs w:val="1"/>
          <w:color w:val="auto"/>
        </w:rPr>
        <w:t xml:space="preserve">Example. </w:t>
      </w:r>
      <w:r>
        <w:rPr>
          <w:rFonts w:ascii="Times New Roman" w:cs="Times New Roman" w:eastAsia="Times New Roman" w:hAnsi="Times New Roman"/>
          <w:sz w:val="14"/>
          <w:szCs w:val="14"/>
          <w:color w:val="auto"/>
        </w:rPr>
        <w:t>Article 20 of the U.S.-China income tax treaty allows an exemption from tax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scholarship income received by a Chinese student temporarily present in the United States. Under U.S. law, this student will become a resident alien for tax purposes if their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their scholarship or fellowship income would attach to Form W-9 a statement that includes the information described above to support that exemption.</w:t>
      </w:r>
    </w:p>
    <w:p>
      <w:pPr>
        <w:spacing w:after="0" w:line="3" w:lineRule="exact"/>
        <w:rPr>
          <w:sz w:val="20"/>
          <w:szCs w:val="20"/>
          <w:color w:val="auto"/>
        </w:rPr>
      </w:pPr>
    </w:p>
    <w:p>
      <w:pPr>
        <w:ind w:left="6" w:right="560" w:firstLine="108"/>
        <w:spacing w:after="0" w:line="243" w:lineRule="auto"/>
        <w:rPr>
          <w:sz w:val="20"/>
          <w:szCs w:val="20"/>
          <w:color w:val="auto"/>
        </w:rPr>
      </w:pPr>
      <w:r>
        <w:rPr>
          <w:rFonts w:ascii="Times New Roman" w:cs="Times New Roman" w:eastAsia="Times New Roman" w:hAnsi="Times New Roman"/>
          <w:sz w:val="14"/>
          <w:szCs w:val="14"/>
          <w:color w:val="auto"/>
        </w:rPr>
        <w:t>If you are a nonresident alien or a foreign entity, give the requester the appropriate completed Form W-8 or Form 8233.</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Backup Withholding</w:t>
      </w:r>
    </w:p>
    <w:p>
      <w:pPr>
        <w:spacing w:after="0" w:line="105" w:lineRule="exact"/>
        <w:rPr>
          <w:sz w:val="20"/>
          <w:szCs w:val="20"/>
          <w:color w:val="auto"/>
        </w:rPr>
      </w:pPr>
    </w:p>
    <w:p>
      <w:pPr>
        <w:ind w:left="6" w:right="120"/>
        <w:spacing w:after="0" w:line="230" w:lineRule="auto"/>
        <w:rPr>
          <w:sz w:val="20"/>
          <w:szCs w:val="20"/>
          <w:color w:val="auto"/>
        </w:rPr>
      </w:pPr>
      <w:r>
        <w:rPr>
          <w:rFonts w:ascii="Times New Roman" w:cs="Times New Roman" w:eastAsia="Times New Roman" w:hAnsi="Times New Roman"/>
          <w:sz w:val="14"/>
          <w:szCs w:val="14"/>
          <w:b w:val="1"/>
          <w:bCs w:val="1"/>
          <w:color w:val="auto"/>
        </w:rPr>
        <w:t xml:space="preserve">What is backup withholding? </w:t>
      </w:r>
      <w:r>
        <w:rPr>
          <w:rFonts w:ascii="Times New Roman" w:cs="Times New Roman" w:eastAsia="Times New Roman" w:hAnsi="Times New Roman"/>
          <w:sz w:val="14"/>
          <w:szCs w:val="14"/>
          <w:color w:val="auto"/>
        </w:rPr>
        <w:t>Persons making certain payments to you must under certain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withhold and pay to the IRS 24% of such payments. This is called “backup withholding.” Payments that may be subject to backup withholding include, but are not limited to, interest, tax-exempt interest, dividends, broker and barter exchange transactions, rents, royalties, nonemployee pay, payments made in settlement of payment card and third-party network transactions, and certain payments from fishing boat operators. Real estate transactions are not subject to backup withholding.</w:t>
      </w:r>
    </w:p>
    <w:p>
      <w:pPr>
        <w:spacing w:after="0" w:line="2" w:lineRule="exact"/>
        <w:rPr>
          <w:sz w:val="20"/>
          <w:szCs w:val="20"/>
          <w:color w:val="auto"/>
        </w:rPr>
      </w:pPr>
    </w:p>
    <w:p>
      <w:pPr>
        <w:ind w:left="6" w:right="20" w:firstLine="108"/>
        <w:spacing w:after="0" w:line="241" w:lineRule="auto"/>
        <w:rPr>
          <w:sz w:val="20"/>
          <w:szCs w:val="20"/>
          <w:color w:val="auto"/>
        </w:rPr>
      </w:pPr>
      <w:r>
        <w:rPr>
          <w:rFonts w:ascii="Times New Roman" w:cs="Times New Roman" w:eastAsia="Times New Roman" w:hAnsi="Times New Roman"/>
          <w:sz w:val="14"/>
          <w:szCs w:val="14"/>
          <w:color w:val="auto"/>
        </w:rPr>
        <w:t>You will not be subject to backup withholding on payments you receive if you give the requester your correct TIN, make the proper certifications, and report all your taxable interest and dividends on your tax return.</w:t>
      </w:r>
    </w:p>
    <w:p>
      <w:pPr>
        <w:ind w:left="6"/>
        <w:spacing w:after="0"/>
        <w:rPr>
          <w:sz w:val="20"/>
          <w:szCs w:val="20"/>
          <w:color w:val="auto"/>
        </w:rPr>
      </w:pPr>
      <w:r>
        <w:rPr>
          <w:rFonts w:ascii="Times New Roman" w:cs="Times New Roman" w:eastAsia="Times New Roman" w:hAnsi="Times New Roman"/>
          <w:sz w:val="14"/>
          <w:szCs w:val="14"/>
          <w:b w:val="1"/>
          <w:bCs w:val="1"/>
          <w:color w:val="auto"/>
        </w:rPr>
        <w:t>Payments you receive will be subject to backup withholding if:</w:t>
      </w:r>
    </w:p>
    <w:p>
      <w:pPr>
        <w:spacing w:after="0" w:line="28" w:lineRule="exact"/>
        <w:rPr>
          <w:sz w:val="20"/>
          <w:szCs w:val="20"/>
          <w:color w:val="auto"/>
        </w:rPr>
      </w:pPr>
    </w:p>
    <w:p>
      <w:pPr>
        <w:ind w:left="246" w:hanging="138"/>
        <w:spacing w:after="0"/>
        <w:tabs>
          <w:tab w:leader="none" w:pos="24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furnish your TIN to the requester;</w:t>
      </w:r>
    </w:p>
    <w:p>
      <w:pPr>
        <w:spacing w:after="0" w:line="15" w:lineRule="exact"/>
        <w:rPr>
          <w:rFonts w:ascii="Times New Roman" w:cs="Times New Roman" w:eastAsia="Times New Roman" w:hAnsi="Times New Roman"/>
          <w:sz w:val="14"/>
          <w:szCs w:val="14"/>
          <w:color w:val="auto"/>
        </w:rPr>
      </w:pPr>
    </w:p>
    <w:p>
      <w:pPr>
        <w:ind w:left="246" w:hanging="138"/>
        <w:spacing w:after="0"/>
        <w:tabs>
          <w:tab w:leader="none" w:pos="24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certify your TIN when required (see the instructions for Part II for details);</w:t>
      </w:r>
    </w:p>
    <w:p>
      <w:pPr>
        <w:spacing w:after="0" w:line="27" w:lineRule="exact"/>
        <w:rPr>
          <w:rFonts w:ascii="Times New Roman" w:cs="Times New Roman" w:eastAsia="Times New Roman" w:hAnsi="Times New Roman"/>
          <w:sz w:val="14"/>
          <w:szCs w:val="14"/>
          <w:color w:val="auto"/>
        </w:rPr>
      </w:pPr>
    </w:p>
    <w:p>
      <w:pPr>
        <w:ind w:left="246" w:hanging="138"/>
        <w:spacing w:after="0"/>
        <w:tabs>
          <w:tab w:leader="none" w:pos="24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IRS tells the requester that you furnished an incorrect TIN;</w:t>
      </w:r>
    </w:p>
    <w:p>
      <w:pPr>
        <w:sectPr>
          <w:pgSz w:w="11900" w:h="16838" w:orient="portrait"/>
          <w:cols w:equalWidth="0" w:num="2">
            <w:col w:w="5284" w:space="334"/>
            <w:col w:w="5406"/>
          </w:cols>
          <w:pgMar w:left="436" w:top="25" w:right="439" w:bottom="1440" w:gutter="0" w:footer="0" w:header="0"/>
          <w:type w:val="continuous"/>
        </w:sectPr>
      </w:pPr>
    </w:p>
    <w:bookmarkStart w:id="90" w:name="page91"/>
    <w:bookmarkEnd w:id="90"/>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4" w:right="360" w:firstLine="102"/>
        <w:spacing w:after="0" w:line="241" w:lineRule="auto"/>
        <w:tabs>
          <w:tab w:leader="none" w:pos="254"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IRS tells you that you are subject to backup withholding because you did not report all your interest and dividends on your tax return (for reportable interest and dividends only); or</w:t>
      </w:r>
    </w:p>
    <w:p>
      <w:pPr>
        <w:spacing w:after="0" w:line="1" w:lineRule="exact"/>
        <w:rPr>
          <w:rFonts w:ascii="Times New Roman" w:cs="Times New Roman" w:eastAsia="Times New Roman" w:hAnsi="Times New Roman"/>
          <w:sz w:val="14"/>
          <w:szCs w:val="14"/>
          <w:color w:val="auto"/>
        </w:rPr>
      </w:pPr>
    </w:p>
    <w:p>
      <w:pPr>
        <w:ind w:left="4" w:right="20" w:firstLine="102"/>
        <w:spacing w:after="0" w:line="241" w:lineRule="auto"/>
        <w:tabs>
          <w:tab w:leader="none" w:pos="254"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do not certify to the requester that you are not subject to backup withholding, as described in item 4 under “</w:t>
      </w:r>
      <w:r>
        <w:rPr>
          <w:rFonts w:ascii="Times New Roman" w:cs="Times New Roman" w:eastAsia="Times New Roman" w:hAnsi="Times New Roman"/>
          <w:sz w:val="14"/>
          <w:szCs w:val="14"/>
          <w:i w:val="1"/>
          <w:iCs w:val="1"/>
          <w:color w:val="auto"/>
        </w:rPr>
        <w:t>By signing the filled-out form</w:t>
      </w:r>
      <w:r>
        <w:rPr>
          <w:rFonts w:ascii="Times New Roman" w:cs="Times New Roman" w:eastAsia="Times New Roman" w:hAnsi="Times New Roman"/>
          <w:sz w:val="14"/>
          <w:szCs w:val="14"/>
          <w:color w:val="auto"/>
        </w:rPr>
        <w:t>” above (for reportable interest and dividend accounts opened after 1983 only).</w:t>
      </w:r>
    </w:p>
    <w:p>
      <w:pPr>
        <w:spacing w:after="0" w:line="67" w:lineRule="exact"/>
        <w:rPr>
          <w:sz w:val="20"/>
          <w:szCs w:val="20"/>
          <w:color w:val="auto"/>
        </w:rPr>
      </w:pPr>
    </w:p>
    <w:p>
      <w:pPr>
        <w:ind w:left="4" w:right="200" w:firstLine="106"/>
        <w:spacing w:after="0" w:line="242" w:lineRule="auto"/>
        <w:rPr>
          <w:sz w:val="20"/>
          <w:szCs w:val="20"/>
          <w:color w:val="auto"/>
        </w:rPr>
      </w:pPr>
      <w:r>
        <w:rPr>
          <w:rFonts w:ascii="Times New Roman" w:cs="Times New Roman" w:eastAsia="Times New Roman" w:hAnsi="Times New Roman"/>
          <w:sz w:val="14"/>
          <w:szCs w:val="14"/>
          <w:color w:val="auto"/>
        </w:rPr>
        <w:t xml:space="preserve">Certain payees and payments are exempt from backup withholding. See </w:t>
      </w:r>
      <w:r>
        <w:rPr>
          <w:rFonts w:ascii="Times New Roman" w:cs="Times New Roman" w:eastAsia="Times New Roman" w:hAnsi="Times New Roman"/>
          <w:sz w:val="14"/>
          <w:szCs w:val="14"/>
          <w:i w:val="1"/>
          <w:iCs w:val="1"/>
          <w:color w:val="auto"/>
        </w:rPr>
        <w:t>Exempt payee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code</w:t>
      </w:r>
      <w:r>
        <w:rPr>
          <w:rFonts w:ascii="Times New Roman" w:cs="Times New Roman" w:eastAsia="Times New Roman" w:hAnsi="Times New Roman"/>
          <w:sz w:val="14"/>
          <w:szCs w:val="14"/>
          <w:color w:val="auto"/>
        </w:rPr>
        <w:t>, later, and the separate Instructions for the Requester of Form W-9 for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w:t>
      </w:r>
    </w:p>
    <w:p>
      <w:pPr>
        <w:ind w:left="4" w:right="200" w:firstLine="106"/>
        <w:spacing w:after="0" w:line="243" w:lineRule="auto"/>
        <w:rPr>
          <w:sz w:val="20"/>
          <w:szCs w:val="20"/>
          <w:color w:val="auto"/>
        </w:rPr>
      </w:pPr>
      <w:r>
        <w:rPr>
          <w:rFonts w:ascii="Times New Roman" w:cs="Times New Roman" w:eastAsia="Times New Roman" w:hAnsi="Times New Roman"/>
          <w:sz w:val="14"/>
          <w:szCs w:val="14"/>
          <w:color w:val="auto"/>
        </w:rPr>
        <w:t xml:space="preserve">See also </w:t>
      </w:r>
      <w:r>
        <w:rPr>
          <w:rFonts w:ascii="Times New Roman" w:cs="Times New Roman" w:eastAsia="Times New Roman" w:hAnsi="Times New Roman"/>
          <w:sz w:val="14"/>
          <w:szCs w:val="14"/>
          <w:i w:val="1"/>
          <w:iCs w:val="1"/>
          <w:color w:val="auto"/>
        </w:rPr>
        <w:t>Establishing U.S. status for purposes of chapter 3 and chapter 4 withholding,</w:t>
      </w:r>
      <w:r>
        <w:rPr>
          <w:rFonts w:ascii="Times New Roman" w:cs="Times New Roman" w:eastAsia="Times New Roman" w:hAnsi="Times New Roman"/>
          <w:sz w:val="14"/>
          <w:szCs w:val="14"/>
          <w:color w:val="auto"/>
        </w:rPr>
        <w:t xml:space="preserve"> earlier.</w:t>
      </w:r>
    </w:p>
    <w:p>
      <w:pPr>
        <w:spacing w:after="0" w:line="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What Is FATCA Reporting?</w:t>
      </w:r>
    </w:p>
    <w:p>
      <w:pPr>
        <w:spacing w:after="0" w:line="107" w:lineRule="exact"/>
        <w:rPr>
          <w:sz w:val="20"/>
          <w:szCs w:val="20"/>
          <w:color w:val="auto"/>
        </w:rPr>
      </w:pPr>
    </w:p>
    <w:p>
      <w:pPr>
        <w:ind w:left="4" w:right="140"/>
        <w:spacing w:after="0" w:line="236" w:lineRule="auto"/>
        <w:rPr>
          <w:sz w:val="20"/>
          <w:szCs w:val="20"/>
          <w:color w:val="auto"/>
        </w:rPr>
      </w:pPr>
      <w:r>
        <w:rPr>
          <w:rFonts w:ascii="Times New Roman" w:cs="Times New Roman" w:eastAsia="Times New Roman" w:hAnsi="Times New Roman"/>
          <w:sz w:val="14"/>
          <w:szCs w:val="14"/>
          <w:color w:val="auto"/>
        </w:rPr>
        <w:t xml:space="preserve">The Foreign Account Tax Compliance Act (FATCA) requires a participating foreign financial institution to report all U.S. account holders that are specified U.S. persons. Certain payees are exempt from FATCA reporting. See </w:t>
      </w:r>
      <w:r>
        <w:rPr>
          <w:rFonts w:ascii="Times New Roman" w:cs="Times New Roman" w:eastAsia="Times New Roman" w:hAnsi="Times New Roman"/>
          <w:sz w:val="14"/>
          <w:szCs w:val="14"/>
          <w:i w:val="1"/>
          <w:iCs w:val="1"/>
          <w:color w:val="auto"/>
        </w:rPr>
        <w:t>Exemption from FATCA reporting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code</w:t>
      </w:r>
      <w:r>
        <w:rPr>
          <w:rFonts w:ascii="Times New Roman" w:cs="Times New Roman" w:eastAsia="Times New Roman" w:hAnsi="Times New Roman"/>
          <w:sz w:val="14"/>
          <w:szCs w:val="14"/>
          <w:color w:val="auto"/>
        </w:rPr>
        <w:t>, later, and the Instructions for the Requester of Form W-9 for more information.</w:t>
      </w:r>
    </w:p>
    <w:p>
      <w:pPr>
        <w:spacing w:after="0" w:line="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Updating Your Information</w:t>
      </w:r>
    </w:p>
    <w:p>
      <w:pPr>
        <w:spacing w:after="0" w:line="107" w:lineRule="exact"/>
        <w:rPr>
          <w:sz w:val="20"/>
          <w:szCs w:val="20"/>
          <w:color w:val="auto"/>
        </w:rPr>
      </w:pPr>
    </w:p>
    <w:p>
      <w:pPr>
        <w:ind w:left="4"/>
        <w:spacing w:after="0" w:line="231" w:lineRule="auto"/>
        <w:rPr>
          <w:sz w:val="20"/>
          <w:szCs w:val="20"/>
          <w:color w:val="auto"/>
        </w:rPr>
      </w:pPr>
      <w:r>
        <w:rPr>
          <w:rFonts w:ascii="Times New Roman" w:cs="Times New Roman" w:eastAsia="Times New Roman" w:hAnsi="Times New Roman"/>
          <w:sz w:val="14"/>
          <w:szCs w:val="14"/>
          <w:color w:val="auto"/>
        </w:rPr>
        <w:t>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are no longer tax exempt. In addition, you must furnish a new Form W-9 if the name or TIN changes for the account, for example, if the grantor of a grantor trust dies.</w:t>
      </w:r>
    </w:p>
    <w:p>
      <w:pPr>
        <w:spacing w:after="0" w:line="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Penalties</w:t>
      </w:r>
    </w:p>
    <w:p>
      <w:pPr>
        <w:spacing w:after="0" w:line="105" w:lineRule="exact"/>
        <w:rPr>
          <w:sz w:val="20"/>
          <w:szCs w:val="20"/>
          <w:color w:val="auto"/>
        </w:rPr>
      </w:pPr>
    </w:p>
    <w:p>
      <w:pPr>
        <w:ind w:left="4" w:right="260"/>
        <w:spacing w:after="0" w:line="242" w:lineRule="auto"/>
        <w:rPr>
          <w:sz w:val="20"/>
          <w:szCs w:val="20"/>
          <w:color w:val="auto"/>
        </w:rPr>
      </w:pPr>
      <w:r>
        <w:rPr>
          <w:rFonts w:ascii="Times New Roman" w:cs="Times New Roman" w:eastAsia="Times New Roman" w:hAnsi="Times New Roman"/>
          <w:sz w:val="14"/>
          <w:szCs w:val="14"/>
          <w:b w:val="1"/>
          <w:bCs w:val="1"/>
          <w:color w:val="auto"/>
        </w:rPr>
        <w:t xml:space="preserve">Failure to furnish TIN. </w:t>
      </w:r>
      <w:r>
        <w:rPr>
          <w:rFonts w:ascii="Times New Roman" w:cs="Times New Roman" w:eastAsia="Times New Roman" w:hAnsi="Times New Roman"/>
          <w:sz w:val="14"/>
          <w:szCs w:val="14"/>
          <w:color w:val="auto"/>
        </w:rPr>
        <w:t>If you fail to furnish your correct TIN to a requester, you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a penalty of $50 for each such failure unless your failure is due to reasonable cause and not to willful neglect.</w:t>
      </w:r>
    </w:p>
    <w:p>
      <w:pPr>
        <w:ind w:left="4" w:right="20"/>
        <w:spacing w:after="0" w:line="241" w:lineRule="auto"/>
        <w:rPr>
          <w:sz w:val="20"/>
          <w:szCs w:val="20"/>
          <w:color w:val="auto"/>
        </w:rPr>
      </w:pPr>
      <w:r>
        <w:rPr>
          <w:rFonts w:ascii="Times New Roman" w:cs="Times New Roman" w:eastAsia="Times New Roman" w:hAnsi="Times New Roman"/>
          <w:sz w:val="14"/>
          <w:szCs w:val="14"/>
          <w:b w:val="1"/>
          <w:bCs w:val="1"/>
          <w:color w:val="auto"/>
        </w:rPr>
        <w:t xml:space="preserve">Civil penalty for false information with respect to withholding. </w:t>
      </w:r>
      <w:r>
        <w:rPr>
          <w:rFonts w:ascii="Times New Roman" w:cs="Times New Roman" w:eastAsia="Times New Roman" w:hAnsi="Times New Roman"/>
          <w:sz w:val="14"/>
          <w:szCs w:val="14"/>
          <w:color w:val="auto"/>
        </w:rPr>
        <w:t>If you make a false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 with no reasonable basis that results in no backup withholding, you are subject to a $500 penalty.</w:t>
      </w:r>
    </w:p>
    <w:p>
      <w:pPr>
        <w:spacing w:after="0" w:line="1" w:lineRule="exact"/>
        <w:rPr>
          <w:sz w:val="20"/>
          <w:szCs w:val="20"/>
          <w:color w:val="auto"/>
        </w:rPr>
      </w:pPr>
    </w:p>
    <w:p>
      <w:pPr>
        <w:ind w:left="4" w:right="22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Criminal penalty for falsifying information. </w:t>
      </w:r>
      <w:r>
        <w:rPr>
          <w:rFonts w:ascii="Times New Roman" w:cs="Times New Roman" w:eastAsia="Times New Roman" w:hAnsi="Times New Roman"/>
          <w:sz w:val="14"/>
          <w:szCs w:val="14"/>
          <w:color w:val="auto"/>
        </w:rPr>
        <w:t>Willfully falsifying certifications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affirmations may subject you to criminal penalties including fines and/or imprisonment.</w:t>
      </w:r>
    </w:p>
    <w:p>
      <w:pPr>
        <w:spacing w:after="0" w:line="1" w:lineRule="exact"/>
        <w:rPr>
          <w:sz w:val="20"/>
          <w:szCs w:val="20"/>
          <w:color w:val="auto"/>
        </w:rPr>
      </w:pPr>
    </w:p>
    <w:p>
      <w:pPr>
        <w:ind w:left="4" w:right="320"/>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Misuse of TINs. </w:t>
      </w:r>
      <w:r>
        <w:rPr>
          <w:rFonts w:ascii="Times New Roman" w:cs="Times New Roman" w:eastAsia="Times New Roman" w:hAnsi="Times New Roman"/>
          <w:sz w:val="14"/>
          <w:szCs w:val="14"/>
          <w:color w:val="auto"/>
        </w:rPr>
        <w:t>If the requester discloses or uses TINs in violation of federal law,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requester may be subject to civil and criminal penalties.</w:t>
      </w:r>
    </w:p>
    <w:p>
      <w:pPr>
        <w:spacing w:after="0" w:line="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5"/>
          <w:szCs w:val="25"/>
          <w:b w:val="1"/>
          <w:bCs w:val="1"/>
          <w:color w:val="auto"/>
        </w:rPr>
        <w:t>Specific Instructions</w:t>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Line 1</w:t>
      </w:r>
    </w:p>
    <w:p>
      <w:pPr>
        <w:spacing w:after="0" w:line="110" w:lineRule="exact"/>
        <w:rPr>
          <w:sz w:val="20"/>
          <w:szCs w:val="20"/>
          <w:color w:val="auto"/>
        </w:rPr>
      </w:pPr>
    </w:p>
    <w:p>
      <w:pPr>
        <w:ind w:left="4" w:right="240"/>
        <w:spacing w:after="0" w:line="253" w:lineRule="auto"/>
        <w:rPr>
          <w:sz w:val="20"/>
          <w:szCs w:val="20"/>
          <w:color w:val="auto"/>
        </w:rPr>
      </w:pPr>
      <w:r>
        <w:rPr>
          <w:rFonts w:ascii="Times New Roman" w:cs="Times New Roman" w:eastAsia="Times New Roman" w:hAnsi="Times New Roman"/>
          <w:sz w:val="14"/>
          <w:szCs w:val="14"/>
          <w:color w:val="auto"/>
        </w:rPr>
        <w:t xml:space="preserve">You must enter one of the following on this line; </w:t>
      </w:r>
      <w:r>
        <w:rPr>
          <w:rFonts w:ascii="Times New Roman" w:cs="Times New Roman" w:eastAsia="Times New Roman" w:hAnsi="Times New Roman"/>
          <w:sz w:val="14"/>
          <w:szCs w:val="14"/>
          <w:b w:val="1"/>
          <w:bCs w:val="1"/>
          <w:color w:val="auto"/>
        </w:rPr>
        <w:t>do not</w:t>
      </w:r>
      <w:r>
        <w:rPr>
          <w:rFonts w:ascii="Times New Roman" w:cs="Times New Roman" w:eastAsia="Times New Roman" w:hAnsi="Times New Roman"/>
          <w:sz w:val="14"/>
          <w:szCs w:val="14"/>
          <w:color w:val="auto"/>
        </w:rPr>
        <w:t xml:space="preserve"> leave this line blank. The name should match the name on your tax return.</w:t>
      </w:r>
    </w:p>
    <w:p>
      <w:pPr>
        <w:ind w:left="4" w:right="40" w:firstLine="106"/>
        <w:spacing w:after="0" w:line="233" w:lineRule="auto"/>
        <w:rPr>
          <w:sz w:val="20"/>
          <w:szCs w:val="20"/>
          <w:color w:val="auto"/>
        </w:rPr>
      </w:pPr>
      <w:r>
        <w:rPr>
          <w:rFonts w:ascii="Times New Roman" w:cs="Times New Roman" w:eastAsia="Times New Roman" w:hAnsi="Times New Roman"/>
          <w:sz w:val="14"/>
          <w:szCs w:val="14"/>
          <w:color w:val="auto"/>
        </w:rPr>
        <w:t>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w:t>
      </w:r>
    </w:p>
    <w:p>
      <w:pPr>
        <w:spacing w:after="0" w:line="1" w:lineRule="exact"/>
        <w:rPr>
          <w:sz w:val="20"/>
          <w:szCs w:val="20"/>
          <w:color w:val="auto"/>
        </w:rPr>
      </w:pPr>
    </w:p>
    <w:p>
      <w:pPr>
        <w:ind w:left="4" w:hanging="4"/>
        <w:spacing w:after="0" w:line="236" w:lineRule="auto"/>
        <w:tabs>
          <w:tab w:leader="none" w:pos="90"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Individual. </w:t>
      </w:r>
      <w:r>
        <w:rPr>
          <w:rFonts w:ascii="Times New Roman" w:cs="Times New Roman" w:eastAsia="Times New Roman" w:hAnsi="Times New Roman"/>
          <w:sz w:val="14"/>
          <w:szCs w:val="14"/>
          <w:color w:val="auto"/>
        </w:rPr>
        <w:t>Generally, enter the name shown on your tax return. If you have changed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your last name without informing the Social Security Administration (SSA) of the name change, enter your first name, the last name as shown on your social security card, and your new last name.</w:t>
      </w:r>
    </w:p>
    <w:p>
      <w:pPr>
        <w:spacing w:after="0" w:line="1" w:lineRule="exact"/>
        <w:rPr>
          <w:rFonts w:ascii="Times New Roman" w:cs="Times New Roman" w:eastAsia="Times New Roman" w:hAnsi="Times New Roman"/>
          <w:sz w:val="14"/>
          <w:szCs w:val="14"/>
          <w:b w:val="1"/>
          <w:bCs w:val="1"/>
          <w:color w:val="auto"/>
        </w:rPr>
      </w:pPr>
    </w:p>
    <w:p>
      <w:pPr>
        <w:ind w:left="4" w:right="60"/>
        <w:spacing w:after="0" w:line="23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Note for ITIN applicant: </w:t>
      </w:r>
      <w:r>
        <w:rPr>
          <w:rFonts w:ascii="Times New Roman" w:cs="Times New Roman" w:eastAsia="Times New Roman" w:hAnsi="Times New Roman"/>
          <w:sz w:val="14"/>
          <w:szCs w:val="14"/>
          <w:color w:val="auto"/>
        </w:rPr>
        <w:t>Enter your individual name as it was entered on your Form W-7</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 line 1a. This should also be the same as the name you entered on the Form 1040 you filed with your application.</w:t>
      </w:r>
    </w:p>
    <w:p>
      <w:pPr>
        <w:spacing w:after="0" w:line="1" w:lineRule="exact"/>
        <w:rPr>
          <w:rFonts w:ascii="Times New Roman" w:cs="Times New Roman" w:eastAsia="Times New Roman" w:hAnsi="Times New Roman"/>
          <w:sz w:val="14"/>
          <w:szCs w:val="14"/>
          <w:b w:val="1"/>
          <w:bCs w:val="1"/>
          <w:color w:val="auto"/>
        </w:rPr>
      </w:pPr>
    </w:p>
    <w:p>
      <w:pPr>
        <w:ind w:left="4" w:right="340" w:hanging="4"/>
        <w:spacing w:after="0" w:line="251" w:lineRule="auto"/>
        <w:tabs>
          <w:tab w:leader="none" w:pos="90"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Sole proprietor. </w:t>
      </w:r>
      <w:r>
        <w:rPr>
          <w:rFonts w:ascii="Times New Roman" w:cs="Times New Roman" w:eastAsia="Times New Roman" w:hAnsi="Times New Roman"/>
          <w:sz w:val="14"/>
          <w:szCs w:val="14"/>
          <w:color w:val="auto"/>
        </w:rPr>
        <w:t>Enter your individual name as shown on your Form 1040 on line 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Enter your business, trade, or “doing business as” (DBA) name on line 2.</w:t>
      </w:r>
    </w:p>
    <w:p>
      <w:pPr>
        <w:ind w:left="4" w:hanging="4"/>
        <w:spacing w:after="0" w:line="242" w:lineRule="auto"/>
        <w:tabs>
          <w:tab w:leader="none" w:pos="90"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Partnership, C corporation, S corporation, or LLC, other than a disregarded entity. </w:t>
      </w:r>
      <w:r>
        <w:rPr>
          <w:rFonts w:ascii="Times New Roman" w:cs="Times New Roman" w:eastAsia="Times New Roman" w:hAnsi="Times New Roman"/>
          <w:sz w:val="14"/>
          <w:szCs w:val="14"/>
          <w:color w:val="auto"/>
        </w:rPr>
        <w:t>Enter the entity’s name as shown on the entity’s tax return on line 1 and any business, trade, or DBA name on line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6" w:right="20" w:hanging="6"/>
        <w:spacing w:after="0" w:line="242" w:lineRule="auto"/>
        <w:tabs>
          <w:tab w:leader="none" w:pos="93"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Other entities. </w:t>
      </w:r>
      <w:r>
        <w:rPr>
          <w:rFonts w:ascii="Times New Roman" w:cs="Times New Roman" w:eastAsia="Times New Roman" w:hAnsi="Times New Roman"/>
          <w:sz w:val="14"/>
          <w:szCs w:val="14"/>
          <w:color w:val="auto"/>
        </w:rPr>
        <w:t>Enter your name as shown on required U.S. federal tax documents on line 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name should match the name shown on the charter or other legal document creating the entity. Enter any business, trade, or DBA name on line 2.</w:t>
      </w:r>
    </w:p>
    <w:p>
      <w:pPr>
        <w:ind w:left="6" w:right="40" w:hanging="6"/>
        <w:spacing w:after="0" w:line="226" w:lineRule="auto"/>
        <w:tabs>
          <w:tab w:leader="none" w:pos="93"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Disregarded entity. </w:t>
      </w:r>
      <w:r>
        <w:rPr>
          <w:rFonts w:ascii="Times New Roman" w:cs="Times New Roman" w:eastAsia="Times New Roman" w:hAnsi="Times New Roman"/>
          <w:sz w:val="14"/>
          <w:szCs w:val="14"/>
          <w:color w:val="auto"/>
        </w:rPr>
        <w:t>In general, a business entity that has a single owner, including an LLC,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is not a corporation, is disregarded as an entity separate from its owner (a disregarded entity). See Regulations section 301.7701-2(c)(2). A disregarded entity should check the appropriate box for the tax classification of its owner. Enter the owner’s name on line 1. The name of the owner entered on line 1 should never be a disregarded entity. The name on line 1 should be the name shown on the income tax return on which the income should be reported. For example, if a foreign LLC that is treated as a disregarded entity for U.S. federal tax purposes has a single owner that is a U.S. person, the U.S. owner’s name is required to be provided on line 1. If the direct owner of the entity is also a disregarded entity, enter the first owner that is not disregarded for federal tax purposes. Enter the disregarded entity’s name on line 2. If the owner of the disregarded entity is a foreign person, the owner must complete an appropriate Form W-8 instead of a Form W-9. This is the case even if the foreign person has a U.S. TIN.</w:t>
      </w:r>
    </w:p>
    <w:p>
      <w:pPr>
        <w:spacing w:after="0" w:line="6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Line 2</w:t>
      </w:r>
    </w:p>
    <w:p>
      <w:pPr>
        <w:spacing w:after="0" w:line="32" w:lineRule="exact"/>
        <w:rPr>
          <w:sz w:val="20"/>
          <w:szCs w:val="20"/>
          <w:color w:val="auto"/>
        </w:rPr>
      </w:pPr>
    </w:p>
    <w:p>
      <w:pPr>
        <w:ind w:left="6" w:right="80"/>
        <w:spacing w:after="0" w:line="259" w:lineRule="auto"/>
        <w:rPr>
          <w:sz w:val="20"/>
          <w:szCs w:val="20"/>
          <w:color w:val="auto"/>
        </w:rPr>
      </w:pPr>
      <w:r>
        <w:rPr>
          <w:rFonts w:ascii="Times New Roman" w:cs="Times New Roman" w:eastAsia="Times New Roman" w:hAnsi="Times New Roman"/>
          <w:sz w:val="14"/>
          <w:szCs w:val="14"/>
          <w:color w:val="auto"/>
        </w:rPr>
        <w:t>If you have a business name, trade name, DBA name, or disregarded entity name, enter it on line 2.</w:t>
      </w:r>
    </w:p>
    <w:p>
      <w:pPr>
        <w:spacing w:after="0" w:line="5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Line 3a</w:t>
      </w:r>
    </w:p>
    <w:p>
      <w:pPr>
        <w:spacing w:after="0" w:line="44" w:lineRule="exact"/>
        <w:rPr>
          <w:sz w:val="20"/>
          <w:szCs w:val="20"/>
          <w:color w:val="auto"/>
        </w:rPr>
      </w:pPr>
    </w:p>
    <w:p>
      <w:pPr>
        <w:ind w:left="6" w:right="340"/>
        <w:spacing w:after="0" w:line="261" w:lineRule="auto"/>
        <w:rPr>
          <w:sz w:val="20"/>
          <w:szCs w:val="20"/>
          <w:color w:val="auto"/>
        </w:rPr>
      </w:pPr>
      <w:r>
        <w:rPr>
          <w:rFonts w:ascii="Times New Roman" w:cs="Times New Roman" w:eastAsia="Times New Roman" w:hAnsi="Times New Roman"/>
          <w:sz w:val="14"/>
          <w:szCs w:val="14"/>
          <w:color w:val="auto"/>
        </w:rPr>
        <w:t>Check the appropriate box on line 3a for the U.S. federal tax classification of the person whose name is entered on line 1. Check only one box on line 3a.</w:t>
      </w:r>
    </w:p>
    <w:p>
      <w:pPr>
        <w:spacing w:after="0" w:line="31" w:lineRule="exact"/>
        <w:rPr>
          <w:sz w:val="20"/>
          <w:szCs w:val="20"/>
          <w:color w:val="auto"/>
        </w:rPr>
      </w:pPr>
    </w:p>
    <w:tbl>
      <w:tblPr>
        <w:tblLayout w:type="fixed"/>
        <w:tblInd w:w="56" w:type="dxa"/>
        <w:tblCellMar>
          <w:top w:w="0" w:type="dxa"/>
          <w:left w:w="0" w:type="dxa"/>
          <w:bottom w:w="0" w:type="dxa"/>
          <w:right w:w="0" w:type="dxa"/>
        </w:tblCellMar>
      </w:tblPr>
      <w:tr>
        <w:trPr>
          <w:trHeight w:val="137"/>
        </w:trPr>
        <w:tc>
          <w:tcPr>
            <w:tcW w:w="2680" w:type="dxa"/>
            <w:vAlign w:val="bottom"/>
            <w:tcBorders>
              <w:top w:val="single" w:sz="8" w:color="auto"/>
              <w:left w:val="single" w:sz="8" w:color="auto"/>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IF the entity/individual on line 1 is</w:t>
            </w:r>
          </w:p>
        </w:tc>
        <w:tc>
          <w:tcPr>
            <w:tcW w:w="2700" w:type="dxa"/>
            <w:vAlign w:val="bottom"/>
            <w:tcBorders>
              <w:top w:val="single" w:sz="8" w:color="auto"/>
              <w:right w:val="single" w:sz="8" w:color="auto"/>
            </w:tcBorders>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THEN check the box for . . .</w:t>
            </w:r>
          </w:p>
        </w:tc>
      </w:tr>
      <w:tr>
        <w:trPr>
          <w:trHeight w:val="187"/>
        </w:trPr>
        <w:tc>
          <w:tcPr>
            <w:tcW w:w="26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a(n) . . .</w:t>
            </w:r>
          </w:p>
        </w:tc>
        <w:tc>
          <w:tcPr>
            <w:tcW w:w="2700" w:type="dxa"/>
            <w:vAlign w:val="bottom"/>
            <w:tcBorders>
              <w:bottom w:val="single" w:sz="8" w:color="auto"/>
              <w:right w:val="single" w:sz="8" w:color="auto"/>
            </w:tcBorders>
          </w:tcPr>
          <w:p>
            <w:pPr>
              <w:spacing w:after="0"/>
              <w:rPr>
                <w:sz w:val="16"/>
                <w:szCs w:val="16"/>
                <w:color w:val="auto"/>
              </w:rPr>
            </w:pPr>
          </w:p>
        </w:tc>
      </w:tr>
      <w:tr>
        <w:trPr>
          <w:trHeight w:val="142"/>
        </w:trPr>
        <w:tc>
          <w:tcPr>
            <w:tcW w:w="2680" w:type="dxa"/>
            <w:vAlign w:val="bottom"/>
            <w:tcBorders>
              <w:left w:val="single" w:sz="8" w:color="auto"/>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 Corporation</w:t>
            </w:r>
          </w:p>
        </w:tc>
        <w:tc>
          <w:tcPr>
            <w:tcW w:w="2700" w:type="dxa"/>
            <w:vAlign w:val="bottom"/>
            <w:tcBorders>
              <w:bottom w:val="single" w:sz="8" w:color="auto"/>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Corporation.</w:t>
            </w:r>
          </w:p>
        </w:tc>
      </w:tr>
      <w:tr>
        <w:trPr>
          <w:trHeight w:val="160"/>
        </w:trPr>
        <w:tc>
          <w:tcPr>
            <w:tcW w:w="2680" w:type="dxa"/>
            <w:vAlign w:val="bottom"/>
            <w:tcBorders>
              <w:left w:val="single" w:sz="8" w:color="auto"/>
              <w:right w:val="single" w:sz="8" w:color="auto"/>
            </w:tcBorders>
          </w:tcPr>
          <w:p>
            <w:pPr>
              <w:ind w:left="60"/>
              <w:spacing w:after="0" w:line="160" w:lineRule="exact"/>
              <w:rPr>
                <w:sz w:val="20"/>
                <w:szCs w:val="20"/>
                <w:color w:val="auto"/>
              </w:rPr>
            </w:pPr>
            <w:r>
              <w:rPr>
                <w:rFonts w:ascii="Times New Roman" w:cs="Times New Roman" w:eastAsia="Times New Roman" w:hAnsi="Times New Roman"/>
                <w:sz w:val="14"/>
                <w:szCs w:val="14"/>
                <w:color w:val="auto"/>
              </w:rPr>
              <w:t>• Individual or</w:t>
            </w:r>
          </w:p>
        </w:tc>
        <w:tc>
          <w:tcPr>
            <w:tcW w:w="270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Individual/sole proprietor.</w:t>
            </w:r>
          </w:p>
        </w:tc>
      </w:tr>
      <w:tr>
        <w:trPr>
          <w:trHeight w:val="185"/>
        </w:trPr>
        <w:tc>
          <w:tcPr>
            <w:tcW w:w="26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Sole proprietorship</w:t>
            </w:r>
          </w:p>
        </w:tc>
        <w:tc>
          <w:tcPr>
            <w:tcW w:w="2700" w:type="dxa"/>
            <w:vAlign w:val="bottom"/>
            <w:tcBorders>
              <w:bottom w:val="single" w:sz="8" w:color="auto"/>
              <w:right w:val="single" w:sz="8" w:color="auto"/>
            </w:tcBorders>
          </w:tcPr>
          <w:p>
            <w:pPr>
              <w:spacing w:after="0"/>
              <w:rPr>
                <w:sz w:val="16"/>
                <w:szCs w:val="16"/>
                <w:color w:val="auto"/>
              </w:rPr>
            </w:pPr>
          </w:p>
        </w:tc>
      </w:tr>
      <w:tr>
        <w:trPr>
          <w:trHeight w:val="119"/>
        </w:trPr>
        <w:tc>
          <w:tcPr>
            <w:tcW w:w="2680" w:type="dxa"/>
            <w:vAlign w:val="bottom"/>
            <w:tcBorders>
              <w:left w:val="single" w:sz="8" w:color="auto"/>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 LLC classified as a partnership for U.S.</w:t>
            </w:r>
          </w:p>
        </w:tc>
        <w:tc>
          <w:tcPr>
            <w:tcW w:w="2700" w:type="dxa"/>
            <w:vAlign w:val="bottom"/>
            <w:tcBorders>
              <w:right w:val="single" w:sz="8" w:color="auto"/>
            </w:tcBorders>
          </w:tcPr>
          <w:p>
            <w:pPr>
              <w:ind w:left="40"/>
              <w:spacing w:after="0" w:line="119" w:lineRule="exact"/>
              <w:rPr>
                <w:sz w:val="20"/>
                <w:szCs w:val="20"/>
                <w:color w:val="auto"/>
              </w:rPr>
            </w:pPr>
            <w:r>
              <w:rPr>
                <w:rFonts w:ascii="Times New Roman" w:cs="Times New Roman" w:eastAsia="Times New Roman" w:hAnsi="Times New Roman"/>
                <w:sz w:val="13"/>
                <w:szCs w:val="13"/>
                <w:color w:val="auto"/>
              </w:rPr>
              <w:t>Limited liability company and enter the</w:t>
            </w:r>
          </w:p>
        </w:tc>
      </w:tr>
      <w:tr>
        <w:trPr>
          <w:trHeight w:val="188"/>
        </w:trPr>
        <w:tc>
          <w:tcPr>
            <w:tcW w:w="26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federal tax purposes or</w:t>
            </w:r>
          </w:p>
        </w:tc>
        <w:tc>
          <w:tcPr>
            <w:tcW w:w="2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appropriate tax classification:</w:t>
            </w:r>
          </w:p>
        </w:tc>
      </w:tr>
      <w:tr>
        <w:trPr>
          <w:trHeight w:val="149"/>
        </w:trPr>
        <w:tc>
          <w:tcPr>
            <w:tcW w:w="2680" w:type="dxa"/>
            <w:vAlign w:val="bottom"/>
            <w:tcBorders>
              <w:left w:val="single" w:sz="8" w:color="auto"/>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 LLC that has filed Form 8832 or 2553</w:t>
            </w:r>
          </w:p>
        </w:tc>
        <w:tc>
          <w:tcPr>
            <w:tcW w:w="270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P = Partnership,</w:t>
            </w:r>
          </w:p>
        </w:tc>
      </w:tr>
      <w:tr>
        <w:trPr>
          <w:trHeight w:val="148"/>
        </w:trPr>
        <w:tc>
          <w:tcPr>
            <w:tcW w:w="2680" w:type="dxa"/>
            <w:vAlign w:val="bottom"/>
            <w:tcBorders>
              <w:left w:val="single" w:sz="8" w:color="auto"/>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electing to be taxed as a corporation</w:t>
            </w:r>
          </w:p>
        </w:tc>
        <w:tc>
          <w:tcPr>
            <w:tcW w:w="270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C = C corporation, or</w:t>
            </w:r>
          </w:p>
        </w:tc>
      </w:tr>
      <w:tr>
        <w:trPr>
          <w:trHeight w:val="185"/>
        </w:trPr>
        <w:tc>
          <w:tcPr>
            <w:tcW w:w="268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 S corporation.</w:t>
            </w:r>
          </w:p>
        </w:tc>
      </w:tr>
      <w:tr>
        <w:trPr>
          <w:trHeight w:val="142"/>
        </w:trPr>
        <w:tc>
          <w:tcPr>
            <w:tcW w:w="2680" w:type="dxa"/>
            <w:vAlign w:val="bottom"/>
            <w:tcBorders>
              <w:left w:val="single" w:sz="8" w:color="auto"/>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 Partnership</w:t>
            </w:r>
          </w:p>
        </w:tc>
        <w:tc>
          <w:tcPr>
            <w:tcW w:w="2700" w:type="dxa"/>
            <w:vAlign w:val="bottom"/>
            <w:tcBorders>
              <w:bottom w:val="single" w:sz="8" w:color="auto"/>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Partnership.</w:t>
            </w:r>
          </w:p>
        </w:tc>
      </w:tr>
      <w:tr>
        <w:trPr>
          <w:trHeight w:val="142"/>
        </w:trPr>
        <w:tc>
          <w:tcPr>
            <w:tcW w:w="2680" w:type="dxa"/>
            <w:vAlign w:val="bottom"/>
            <w:tcBorders>
              <w:left w:val="single" w:sz="8" w:color="auto"/>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 Trust/estate</w:t>
            </w:r>
          </w:p>
        </w:tc>
        <w:tc>
          <w:tcPr>
            <w:tcW w:w="2700" w:type="dxa"/>
            <w:vAlign w:val="bottom"/>
            <w:tcBorders>
              <w:bottom w:val="single" w:sz="8" w:color="auto"/>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Trust/estate.</w:t>
            </w:r>
          </w:p>
        </w:tc>
      </w:tr>
    </w:tbl>
    <w:p>
      <w:pPr>
        <w:spacing w:after="0" w:line="8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Line 3b</w:t>
      </w:r>
    </w:p>
    <w:p>
      <w:pPr>
        <w:spacing w:after="0" w:line="44" w:lineRule="exact"/>
        <w:rPr>
          <w:sz w:val="20"/>
          <w:szCs w:val="20"/>
          <w:color w:val="auto"/>
        </w:rPr>
      </w:pPr>
    </w:p>
    <w:p>
      <w:pPr>
        <w:ind w:left="6" w:right="60"/>
        <w:spacing w:after="0" w:line="229" w:lineRule="auto"/>
        <w:rPr>
          <w:sz w:val="20"/>
          <w:szCs w:val="20"/>
          <w:color w:val="auto"/>
        </w:rPr>
      </w:pPr>
      <w:r>
        <w:rPr>
          <w:rFonts w:ascii="Times New Roman" w:cs="Times New Roman" w:eastAsia="Times New Roman" w:hAnsi="Times New Roman"/>
          <w:sz w:val="14"/>
          <w:szCs w:val="14"/>
          <w:color w:val="auto"/>
        </w:rPr>
        <w:t>Check this box if you are a partnership (including an LLC classified as a partnership for U.S. federal tax purposes), trust, or estate that has any foreign partners, owners, or beneficiaries, and you are providing this form to a partnership, trust, or estate, in which you have an ownership interest. You must check the box on line 3b if you receive a Form W-8 (or documentary evidence) from any partner, owner, or beneficiary establishing foreign status or if you receive a Form W-9 from any partner, owner, or beneficiary that has checked the box on line 3b.</w:t>
      </w:r>
    </w:p>
    <w:p>
      <w:pPr>
        <w:spacing w:after="0" w:line="4" w:lineRule="exact"/>
        <w:rPr>
          <w:sz w:val="20"/>
          <w:szCs w:val="20"/>
          <w:color w:val="auto"/>
        </w:rPr>
      </w:pPr>
    </w:p>
    <w:p>
      <w:pPr>
        <w:ind w:left="6" w:right="260"/>
        <w:spacing w:after="0" w:line="234"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A partnership that provides a Form W-9 and checks box 3b may be required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 Schedules K-2 and K-3 (Form 1065). For more information, see the Partnership Instructions for Schedules K-2 and K-3 (Form 1065).</w:t>
      </w:r>
    </w:p>
    <w:p>
      <w:pPr>
        <w:spacing w:after="0" w:line="2" w:lineRule="exact"/>
        <w:rPr>
          <w:sz w:val="20"/>
          <w:szCs w:val="20"/>
          <w:color w:val="auto"/>
        </w:rPr>
      </w:pPr>
    </w:p>
    <w:p>
      <w:pPr>
        <w:ind w:left="6" w:right="60" w:firstLine="108"/>
        <w:spacing w:after="0" w:line="236" w:lineRule="auto"/>
        <w:rPr>
          <w:sz w:val="20"/>
          <w:szCs w:val="20"/>
          <w:color w:val="auto"/>
        </w:rPr>
      </w:pPr>
      <w:r>
        <w:rPr>
          <w:rFonts w:ascii="Times New Roman" w:cs="Times New Roman" w:eastAsia="Times New Roman" w:hAnsi="Times New Roman"/>
          <w:sz w:val="14"/>
          <w:szCs w:val="14"/>
          <w:color w:val="auto"/>
        </w:rPr>
        <w:t>If you are required to complete line 3b but fail to do so, you may not receive the information necessary to file a correct information return with the IRS or furnish a correct payee statement to your partners or beneficiaries. See, for example, sections 6698, 6722, and 6724 for penalties that may apply.</w:t>
      </w:r>
    </w:p>
    <w:p>
      <w:pPr>
        <w:spacing w:after="0" w:line="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Line 4 Exemptions</w:t>
      </w:r>
    </w:p>
    <w:p>
      <w:pPr>
        <w:spacing w:after="0" w:line="44" w:lineRule="exact"/>
        <w:rPr>
          <w:sz w:val="20"/>
          <w:szCs w:val="20"/>
          <w:color w:val="auto"/>
        </w:rPr>
      </w:pPr>
    </w:p>
    <w:p>
      <w:pPr>
        <w:ind w:left="6" w:right="40"/>
        <w:spacing w:after="0" w:line="261" w:lineRule="auto"/>
        <w:rPr>
          <w:sz w:val="20"/>
          <w:szCs w:val="20"/>
          <w:color w:val="auto"/>
        </w:rPr>
      </w:pPr>
      <w:r>
        <w:rPr>
          <w:rFonts w:ascii="Times New Roman" w:cs="Times New Roman" w:eastAsia="Times New Roman" w:hAnsi="Times New Roman"/>
          <w:sz w:val="14"/>
          <w:szCs w:val="14"/>
          <w:color w:val="auto"/>
        </w:rPr>
        <w:t>If you are exempt from backup withholding and/or FATCA reporting, enter in the appropriate space on line 4 any code(s) that may apply to you.</w:t>
      </w:r>
    </w:p>
    <w:p>
      <w:pPr>
        <w:sectPr>
          <w:pgSz w:w="11900" w:h="16838" w:orient="portrait"/>
          <w:cols w:equalWidth="0" w:num="2">
            <w:col w:w="5284" w:space="334"/>
            <w:col w:w="5406"/>
          </w:cols>
          <w:pgMar w:left="436" w:top="25" w:right="439" w:bottom="1440" w:gutter="0" w:footer="0" w:header="0"/>
          <w:type w:val="continuous"/>
        </w:sectPr>
      </w:pPr>
    </w:p>
    <w:bookmarkStart w:id="91" w:name="page92"/>
    <w:bookmarkEnd w:id="91"/>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Exempt payee code.</w:t>
      </w:r>
    </w:p>
    <w:p>
      <w:pPr>
        <w:spacing w:after="0" w:line="30" w:lineRule="exact"/>
        <w:rPr>
          <w:sz w:val="20"/>
          <w:szCs w:val="20"/>
          <w:color w:val="auto"/>
        </w:rPr>
      </w:pPr>
    </w:p>
    <w:p>
      <w:pPr>
        <w:ind w:left="4" w:right="660" w:hanging="4"/>
        <w:spacing w:after="0" w:line="250" w:lineRule="auto"/>
        <w:tabs>
          <w:tab w:leader="none" w:pos="9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individuals (including sole proprietors) are not exempt from backup withholding.</w:t>
      </w:r>
    </w:p>
    <w:p>
      <w:pPr>
        <w:spacing w:after="0" w:line="1" w:lineRule="exact"/>
        <w:rPr>
          <w:rFonts w:ascii="Times New Roman" w:cs="Times New Roman" w:eastAsia="Times New Roman" w:hAnsi="Times New Roman"/>
          <w:sz w:val="14"/>
          <w:szCs w:val="14"/>
          <w:color w:val="auto"/>
        </w:rPr>
      </w:pPr>
    </w:p>
    <w:p>
      <w:pPr>
        <w:ind w:left="4" w:right="120" w:hanging="4"/>
        <w:spacing w:after="0" w:line="223" w:lineRule="auto"/>
        <w:tabs>
          <w:tab w:leader="none" w:pos="9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below, corporations are exempt from backup withholding for certain payments, including interest and dividends.</w:t>
      </w:r>
    </w:p>
    <w:p>
      <w:pPr>
        <w:spacing w:after="0" w:line="1" w:lineRule="exact"/>
        <w:rPr>
          <w:rFonts w:ascii="Times New Roman" w:cs="Times New Roman" w:eastAsia="Times New Roman" w:hAnsi="Times New Roman"/>
          <w:sz w:val="14"/>
          <w:szCs w:val="14"/>
          <w:color w:val="auto"/>
        </w:rPr>
      </w:pPr>
    </w:p>
    <w:p>
      <w:pPr>
        <w:ind w:left="4" w:right="140" w:hanging="4"/>
        <w:spacing w:after="0" w:line="221" w:lineRule="auto"/>
        <w:tabs>
          <w:tab w:leader="none" w:pos="9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are not exempt from backup withholding for payments made in settlement of payment card or third-party network transactions.</w:t>
      </w:r>
    </w:p>
    <w:p>
      <w:pPr>
        <w:ind w:left="4" w:right="140" w:hanging="4"/>
        <w:spacing w:after="0" w:line="233" w:lineRule="auto"/>
        <w:tabs>
          <w:tab w:leader="none" w:pos="9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1" w:lineRule="exact"/>
        <w:rPr>
          <w:sz w:val="20"/>
          <w:szCs w:val="20"/>
          <w:color w:val="auto"/>
        </w:rPr>
      </w:pPr>
    </w:p>
    <w:p>
      <w:pPr>
        <w:ind w:left="4" w:right="60" w:firstLine="106"/>
        <w:spacing w:after="0" w:line="251" w:lineRule="auto"/>
        <w:rPr>
          <w:sz w:val="20"/>
          <w:szCs w:val="20"/>
          <w:color w:val="auto"/>
        </w:rPr>
      </w:pPr>
      <w:r>
        <w:rPr>
          <w:rFonts w:ascii="Times New Roman" w:cs="Times New Roman" w:eastAsia="Times New Roman" w:hAnsi="Times New Roman"/>
          <w:sz w:val="14"/>
          <w:szCs w:val="14"/>
          <w:color w:val="auto"/>
        </w:rPr>
        <w:t>The following codes identify payees that are exempt from backup withholding. Enter the appropriate code in the space on line 4.</w:t>
      </w:r>
    </w:p>
    <w:p>
      <w:pPr>
        <w:spacing w:after="0" w:line="1" w:lineRule="exact"/>
        <w:rPr>
          <w:sz w:val="20"/>
          <w:szCs w:val="20"/>
          <w:color w:val="auto"/>
        </w:rPr>
      </w:pPr>
    </w:p>
    <w:p>
      <w:pPr>
        <w:ind w:left="4" w:right="140" w:firstLine="106"/>
        <w:spacing w:after="0" w:line="233" w:lineRule="auto"/>
        <w:rPr>
          <w:sz w:val="20"/>
          <w:szCs w:val="20"/>
          <w:color w:val="auto"/>
        </w:rPr>
      </w:pPr>
      <w:r>
        <w:rPr>
          <w:rFonts w:ascii="Times New Roman" w:cs="Times New Roman" w:eastAsia="Times New Roman" w:hAnsi="Times New Roman"/>
          <w:sz w:val="14"/>
          <w:szCs w:val="14"/>
          <w:color w:val="auto"/>
        </w:rPr>
        <w:t>1—An organization exempt from tax under section 501(a), any IRA, or a custodial account under section 403(b)(7) if the account satisfies the requirements of section 401(f)</w:t>
      </w:r>
    </w:p>
    <w:p>
      <w:pPr>
        <w:ind w:left="4"/>
        <w:spacing w:after="0"/>
        <w:rPr>
          <w:sz w:val="20"/>
          <w:szCs w:val="20"/>
          <w:color w:val="auto"/>
        </w:rPr>
      </w:pPr>
      <w:r>
        <w:rPr>
          <w:rFonts w:ascii="Times New Roman" w:cs="Times New Roman" w:eastAsia="Times New Roman" w:hAnsi="Times New Roman"/>
          <w:sz w:val="14"/>
          <w:szCs w:val="14"/>
          <w:color w:val="auto"/>
        </w:rPr>
        <w:t>(2).</w:t>
      </w:r>
    </w:p>
    <w:p>
      <w:pPr>
        <w:spacing w:after="0" w:line="1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2—The United States or any of its agencies or instrumentalities.</w:t>
      </w:r>
    </w:p>
    <w:p>
      <w:pPr>
        <w:spacing w:after="0" w:line="15" w:lineRule="exact"/>
        <w:rPr>
          <w:sz w:val="20"/>
          <w:szCs w:val="20"/>
          <w:color w:val="auto"/>
        </w:rPr>
      </w:pPr>
    </w:p>
    <w:p>
      <w:pPr>
        <w:ind w:left="4" w:right="180" w:firstLine="106"/>
        <w:spacing w:after="0" w:line="251" w:lineRule="auto"/>
        <w:rPr>
          <w:sz w:val="20"/>
          <w:szCs w:val="20"/>
          <w:color w:val="auto"/>
        </w:rPr>
      </w:pPr>
      <w:r>
        <w:rPr>
          <w:rFonts w:ascii="Times New Roman" w:cs="Times New Roman" w:eastAsia="Times New Roman" w:hAnsi="Times New Roman"/>
          <w:sz w:val="14"/>
          <w:szCs w:val="14"/>
          <w:color w:val="auto"/>
        </w:rPr>
        <w:t>3—A state, the District of Columbia, a U.S. commonwealth or territory, or any of their political subdivisions or instrumentalities.</w:t>
      </w:r>
    </w:p>
    <w:p>
      <w:pPr>
        <w:spacing w:after="0" w:line="1" w:lineRule="exact"/>
        <w:rPr>
          <w:sz w:val="20"/>
          <w:szCs w:val="20"/>
          <w:color w:val="auto"/>
        </w:rPr>
      </w:pPr>
    </w:p>
    <w:p>
      <w:pPr>
        <w:ind w:left="4" w:right="940" w:firstLine="106"/>
        <w:spacing w:after="0" w:line="250" w:lineRule="auto"/>
        <w:rPr>
          <w:sz w:val="20"/>
          <w:szCs w:val="20"/>
          <w:color w:val="auto"/>
        </w:rPr>
      </w:pPr>
      <w:r>
        <w:rPr>
          <w:rFonts w:ascii="Times New Roman" w:cs="Times New Roman" w:eastAsia="Times New Roman" w:hAnsi="Times New Roman"/>
          <w:sz w:val="14"/>
          <w:szCs w:val="14"/>
          <w:color w:val="auto"/>
        </w:rPr>
        <w:t>4—A foreign government or any of its political subdivisions, agencies, or instrumentalities.</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5—A corporation.</w:t>
      </w:r>
    </w:p>
    <w:p>
      <w:pPr>
        <w:spacing w:after="0" w:line="15" w:lineRule="exact"/>
        <w:rPr>
          <w:sz w:val="20"/>
          <w:szCs w:val="20"/>
          <w:color w:val="auto"/>
        </w:rPr>
      </w:pPr>
    </w:p>
    <w:p>
      <w:pPr>
        <w:ind w:left="4" w:right="280" w:firstLine="106"/>
        <w:spacing w:after="0" w:line="251" w:lineRule="auto"/>
        <w:rPr>
          <w:sz w:val="20"/>
          <w:szCs w:val="20"/>
          <w:color w:val="auto"/>
        </w:rPr>
      </w:pPr>
      <w:r>
        <w:rPr>
          <w:rFonts w:ascii="Times New Roman" w:cs="Times New Roman" w:eastAsia="Times New Roman" w:hAnsi="Times New Roman"/>
          <w:sz w:val="14"/>
          <w:szCs w:val="14"/>
          <w:color w:val="auto"/>
        </w:rPr>
        <w:t>6—A dealer in securities or commodities required to register in the United States, the District of Columbia, or a U.S. commonwealth or territory.</w:t>
      </w:r>
    </w:p>
    <w:p>
      <w:pPr>
        <w:spacing w:after="0" w:line="1" w:lineRule="exact"/>
        <w:rPr>
          <w:sz w:val="20"/>
          <w:szCs w:val="20"/>
          <w:color w:val="auto"/>
        </w:rPr>
      </w:pPr>
    </w:p>
    <w:p>
      <w:pPr>
        <w:ind w:left="4" w:right="340" w:firstLine="106"/>
        <w:spacing w:after="0" w:line="250" w:lineRule="auto"/>
        <w:rPr>
          <w:sz w:val="20"/>
          <w:szCs w:val="20"/>
          <w:color w:val="auto"/>
        </w:rPr>
      </w:pPr>
      <w:r>
        <w:rPr>
          <w:rFonts w:ascii="Times New Roman" w:cs="Times New Roman" w:eastAsia="Times New Roman" w:hAnsi="Times New Roman"/>
          <w:sz w:val="14"/>
          <w:szCs w:val="14"/>
          <w:color w:val="auto"/>
        </w:rPr>
        <w:t>7—A futures commission merchant registered with the Commodity Futures Trading Commission.</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8—A real estate investment trust.</w:t>
      </w:r>
    </w:p>
    <w:p>
      <w:pPr>
        <w:spacing w:after="0" w:line="15" w:lineRule="exact"/>
        <w:rPr>
          <w:sz w:val="20"/>
          <w:szCs w:val="20"/>
          <w:color w:val="auto"/>
        </w:rPr>
      </w:pPr>
    </w:p>
    <w:p>
      <w:pPr>
        <w:ind w:left="4" w:right="180" w:firstLine="106"/>
        <w:spacing w:after="0" w:line="251" w:lineRule="auto"/>
        <w:rPr>
          <w:sz w:val="20"/>
          <w:szCs w:val="20"/>
          <w:color w:val="auto"/>
        </w:rPr>
      </w:pPr>
      <w:r>
        <w:rPr>
          <w:rFonts w:ascii="Times New Roman" w:cs="Times New Roman" w:eastAsia="Times New Roman" w:hAnsi="Times New Roman"/>
          <w:sz w:val="14"/>
          <w:szCs w:val="14"/>
          <w:color w:val="auto"/>
        </w:rPr>
        <w:t>9—An entity registered at all times during the tax year under the Investment Company Act of 1940.</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10—A common trust fund operated by a bank under section 584(a).</w:t>
      </w:r>
    </w:p>
    <w:p>
      <w:pPr>
        <w:spacing w:after="0" w:line="27"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11—A financial institution as defined under section 581.</w:t>
      </w:r>
    </w:p>
    <w:p>
      <w:pPr>
        <w:spacing w:after="0" w:line="15"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12—A middleman known in the investment community as a nominee or custodian.</w:t>
      </w:r>
    </w:p>
    <w:p>
      <w:pPr>
        <w:spacing w:after="0" w:line="27"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13—A trust exempt from tax under section 664 or described in section 4947.</w:t>
      </w:r>
    </w:p>
    <w:p>
      <w:pPr>
        <w:spacing w:after="0" w:line="15" w:lineRule="exact"/>
        <w:rPr>
          <w:sz w:val="20"/>
          <w:szCs w:val="20"/>
          <w:color w:val="auto"/>
        </w:rPr>
      </w:pPr>
    </w:p>
    <w:p>
      <w:pPr>
        <w:ind w:left="4" w:right="620" w:firstLine="106"/>
        <w:spacing w:after="0" w:line="261" w:lineRule="auto"/>
        <w:rPr>
          <w:sz w:val="20"/>
          <w:szCs w:val="20"/>
          <w:color w:val="auto"/>
        </w:rPr>
      </w:pPr>
      <w:r>
        <w:rPr>
          <w:rFonts w:ascii="Times New Roman" w:cs="Times New Roman" w:eastAsia="Times New Roman" w:hAnsi="Times New Roman"/>
          <w:sz w:val="14"/>
          <w:szCs w:val="14"/>
          <w:color w:val="auto"/>
        </w:rPr>
        <w:t>The following chart shows types of payments that may be exempt from backup withholding. The chart applies to the exempt payees listed above, 1 through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3351530" cy="14744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3351530" cy="1474470"/>
                    </a:xfrm>
                    <a:prstGeom prst="rect">
                      <a:avLst/>
                    </a:prstGeom>
                    <a:noFill/>
                  </pic:spPr>
                </pic:pic>
              </a:graphicData>
            </a:graphic>
          </wp:anchor>
        </w:drawing>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137"/>
        </w:trPr>
        <w:tc>
          <w:tcPr>
            <w:tcW w:w="268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IF the payment is for . . .</w:t>
            </w:r>
          </w:p>
        </w:tc>
        <w:tc>
          <w:tcPr>
            <w:tcW w:w="2600" w:type="dxa"/>
            <w:vAlign w:val="bottom"/>
            <w:tcBorders>
              <w:top w:val="single" w:sz="8" w:color="auto"/>
            </w:tcBorders>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THEN the payment is exempt</w:t>
            </w:r>
          </w:p>
        </w:tc>
      </w:tr>
      <w:tr>
        <w:trPr>
          <w:trHeight w:val="173"/>
        </w:trPr>
        <w:tc>
          <w:tcPr>
            <w:tcW w:w="26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for . . .</w:t>
            </w:r>
          </w:p>
        </w:tc>
      </w:tr>
      <w:tr>
        <w:trPr>
          <w:trHeight w:val="142"/>
        </w:trPr>
        <w:tc>
          <w:tcPr>
            <w:tcW w:w="26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 Interest and dividend payments</w:t>
            </w:r>
          </w:p>
        </w:tc>
        <w:tc>
          <w:tcPr>
            <w:tcW w:w="260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All exempt payees except for 7.</w:t>
            </w: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Broker transactions</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Exempt payees 1 through 4 and 6 through</w:t>
            </w:r>
          </w:p>
        </w:tc>
      </w:tr>
      <w:tr>
        <w:trPr>
          <w:trHeight w:val="148"/>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11 and all C corporations. S corporations</w:t>
            </w:r>
          </w:p>
        </w:tc>
      </w:tr>
      <w:tr>
        <w:trPr>
          <w:trHeight w:val="148"/>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must not enter an exempt payee code</w:t>
            </w:r>
          </w:p>
        </w:tc>
      </w:tr>
      <w:tr>
        <w:trPr>
          <w:trHeight w:val="149"/>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because they are exempt only for sales of</w:t>
            </w:r>
          </w:p>
        </w:tc>
      </w:tr>
      <w:tr>
        <w:trPr>
          <w:trHeight w:val="148"/>
        </w:trPr>
        <w:tc>
          <w:tcPr>
            <w:tcW w:w="268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noncovered securities acquired prior to</w:t>
            </w:r>
          </w:p>
        </w:tc>
      </w:tr>
      <w:tr>
        <w:trPr>
          <w:trHeight w:val="171"/>
        </w:trPr>
        <w:tc>
          <w:tcPr>
            <w:tcW w:w="26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2012.</w:t>
            </w: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Barter exchange transactions and patronage</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Exempt payees 1 through 4.</w:t>
            </w:r>
          </w:p>
        </w:tc>
      </w:tr>
      <w:tr>
        <w:trPr>
          <w:trHeight w:val="171"/>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dividends</w:t>
            </w:r>
          </w:p>
        </w:tc>
        <w:tc>
          <w:tcPr>
            <w:tcW w:w="2600" w:type="dxa"/>
            <w:vAlign w:val="bottom"/>
            <w:tcBorders>
              <w:bottom w:val="single" w:sz="8" w:color="auto"/>
            </w:tcBorders>
          </w:tcPr>
          <w:p>
            <w:pPr>
              <w:spacing w:after="0"/>
              <w:rPr>
                <w:sz w:val="14"/>
                <w:szCs w:val="14"/>
                <w:color w:val="auto"/>
              </w:rPr>
            </w:pP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Payments over $600 required to be reported</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Generally, exempt payees 1 through 5.</w:t>
            </w:r>
            <w:r>
              <w:rPr>
                <w:rFonts w:ascii="Times New Roman" w:cs="Times New Roman" w:eastAsia="Times New Roman" w:hAnsi="Times New Roman"/>
                <w:sz w:val="9"/>
                <w:szCs w:val="9"/>
                <w:color w:val="auto"/>
              </w:rPr>
              <w:t>2</w:t>
            </w:r>
          </w:p>
        </w:tc>
      </w:tr>
      <w:tr>
        <w:trPr>
          <w:trHeight w:val="171"/>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and direct sales over $5,000</w:t>
            </w:r>
            <w:r>
              <w:rPr>
                <w:rFonts w:ascii="Times New Roman" w:cs="Times New Roman" w:eastAsia="Times New Roman" w:hAnsi="Times New Roman"/>
                <w:sz w:val="10"/>
                <w:szCs w:val="10"/>
                <w:color w:val="auto"/>
              </w:rPr>
              <w:t>1</w:t>
            </w:r>
          </w:p>
        </w:tc>
        <w:tc>
          <w:tcPr>
            <w:tcW w:w="2600" w:type="dxa"/>
            <w:vAlign w:val="bottom"/>
            <w:tcBorders>
              <w:bottom w:val="single" w:sz="8" w:color="auto"/>
            </w:tcBorders>
          </w:tcPr>
          <w:p>
            <w:pPr>
              <w:spacing w:after="0"/>
              <w:rPr>
                <w:sz w:val="14"/>
                <w:szCs w:val="14"/>
                <w:color w:val="auto"/>
              </w:rPr>
            </w:pPr>
          </w:p>
        </w:tc>
      </w:tr>
      <w:tr>
        <w:trPr>
          <w:trHeight w:val="119"/>
        </w:trPr>
        <w:tc>
          <w:tcPr>
            <w:tcW w:w="26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 Payments made in settlement of payment</w:t>
            </w:r>
          </w:p>
        </w:tc>
        <w:tc>
          <w:tcPr>
            <w:tcW w:w="260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Exempt payees 1 through 4.</w:t>
            </w:r>
          </w:p>
        </w:tc>
      </w:tr>
      <w:tr>
        <w:trPr>
          <w:trHeight w:val="178"/>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card or third-party network transactions</w:t>
            </w:r>
          </w:p>
        </w:tc>
        <w:tc>
          <w:tcPr>
            <w:tcW w:w="2600" w:type="dxa"/>
            <w:vAlign w:val="bottom"/>
          </w:tcPr>
          <w:p>
            <w:pPr>
              <w:spacing w:after="0"/>
              <w:rPr>
                <w:sz w:val="15"/>
                <w:szCs w:val="15"/>
                <w:color w:val="auto"/>
              </w:rPr>
            </w:pPr>
          </w:p>
        </w:tc>
      </w:tr>
    </w:tbl>
    <w:p>
      <w:pPr>
        <w:ind w:left="104" w:hanging="104"/>
        <w:spacing w:after="0" w:line="221" w:lineRule="auto"/>
        <w:tabs>
          <w:tab w:leader="none" w:pos="104" w:val="left"/>
        </w:tabs>
        <w:numPr>
          <w:ilvl w:val="0"/>
          <w:numId w:val="9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Form 1099-MISC, Miscellaneous Information, and its instructions.</w:t>
      </w:r>
    </w:p>
    <w:p>
      <w:pPr>
        <w:ind w:left="104" w:right="120" w:hanging="104"/>
        <w:spacing w:after="0" w:line="230" w:lineRule="auto"/>
        <w:tabs>
          <w:tab w:leader="none" w:pos="104" w:val="left"/>
        </w:tabs>
        <w:numPr>
          <w:ilvl w:val="0"/>
          <w:numId w:val="9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However, the following payments made to a corporation and reportable on Form 1099-MISC are not exempt from backup withholding: medical and health care payments, attorneys’ fees, gross proceeds paid to an attorney reportable under section 6045(f), and payments for services paid by a federal executive agency.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 xml:space="preserve">Exemption from FATCA reporting code. </w:t>
      </w:r>
      <w:r>
        <w:rPr>
          <w:rFonts w:ascii="Times New Roman" w:cs="Times New Roman" w:eastAsia="Times New Roman" w:hAnsi="Times New Roman"/>
          <w:sz w:val="14"/>
          <w:szCs w:val="14"/>
          <w:color w:val="auto"/>
        </w:rPr>
        <w:t>The following codes identify payees that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 A requester may indicate that a code is not required by providing you with a Form W-9 with “Not Applicable” (or any similar indication) entered on the line for a FATCA exemption code.</w:t>
      </w:r>
    </w:p>
    <w:p>
      <w:pPr>
        <w:spacing w:after="0" w:line="2" w:lineRule="exact"/>
        <w:rPr>
          <w:sz w:val="20"/>
          <w:szCs w:val="20"/>
          <w:color w:val="auto"/>
        </w:rPr>
      </w:pPr>
    </w:p>
    <w:p>
      <w:pPr>
        <w:ind w:right="280" w:firstLine="108"/>
        <w:spacing w:after="0" w:line="250" w:lineRule="auto"/>
        <w:rPr>
          <w:sz w:val="20"/>
          <w:szCs w:val="20"/>
          <w:color w:val="auto"/>
        </w:rPr>
      </w:pPr>
      <w:r>
        <w:rPr>
          <w:rFonts w:ascii="Times New Roman" w:cs="Times New Roman" w:eastAsia="Times New Roman" w:hAnsi="Times New Roman"/>
          <w:sz w:val="14"/>
          <w:szCs w:val="14"/>
          <w:color w:val="auto"/>
        </w:rPr>
        <w:t>A—An organization exempt from tax under section 501(a) or any individual retirement plan as defined in section 7701(a)(37).</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B—The United States or any of its agencies or instrumentalities.</w:t>
      </w:r>
    </w:p>
    <w:p>
      <w:pPr>
        <w:spacing w:after="0" w:line="15" w:lineRule="exact"/>
        <w:rPr>
          <w:sz w:val="20"/>
          <w:szCs w:val="20"/>
          <w:color w:val="auto"/>
        </w:rPr>
      </w:pPr>
    </w:p>
    <w:p>
      <w:pPr>
        <w:ind w:right="280" w:firstLine="108"/>
        <w:spacing w:after="0" w:line="251" w:lineRule="auto"/>
        <w:rPr>
          <w:sz w:val="20"/>
          <w:szCs w:val="20"/>
          <w:color w:val="auto"/>
        </w:rPr>
      </w:pPr>
      <w:r>
        <w:rPr>
          <w:rFonts w:ascii="Times New Roman" w:cs="Times New Roman" w:eastAsia="Times New Roman" w:hAnsi="Times New Roman"/>
          <w:sz w:val="14"/>
          <w:szCs w:val="14"/>
          <w:color w:val="auto"/>
        </w:rPr>
        <w:t>C—A state, the District of Columbia, a U.S. commonwealth or territory, or any of their political subdivisions or instrumentalities.</w:t>
      </w:r>
    </w:p>
    <w:p>
      <w:pPr>
        <w:spacing w:after="0" w:line="1" w:lineRule="exact"/>
        <w:rPr>
          <w:sz w:val="20"/>
          <w:szCs w:val="20"/>
          <w:color w:val="auto"/>
        </w:rPr>
      </w:pPr>
    </w:p>
    <w:p>
      <w:pPr>
        <w:ind w:right="480" w:firstLine="108"/>
        <w:spacing w:after="0" w:line="250" w:lineRule="auto"/>
        <w:rPr>
          <w:sz w:val="20"/>
          <w:szCs w:val="20"/>
          <w:color w:val="auto"/>
        </w:rPr>
      </w:pPr>
      <w:r>
        <w:rPr>
          <w:rFonts w:ascii="Times New Roman" w:cs="Times New Roman" w:eastAsia="Times New Roman" w:hAnsi="Times New Roman"/>
          <w:sz w:val="14"/>
          <w:szCs w:val="14"/>
          <w:color w:val="auto"/>
        </w:rPr>
        <w:t>D—A corporation the stock of which is regularly traded on one or more established securities markets, as described in Regulations section 1.1472-1(c)(1)(i).</w:t>
      </w:r>
    </w:p>
    <w:p>
      <w:pPr>
        <w:spacing w:after="0" w:line="1" w:lineRule="exact"/>
        <w:rPr>
          <w:sz w:val="20"/>
          <w:szCs w:val="20"/>
          <w:color w:val="auto"/>
        </w:rPr>
      </w:pPr>
    </w:p>
    <w:p>
      <w:pPr>
        <w:ind w:right="100" w:firstLine="108"/>
        <w:spacing w:after="0" w:line="242" w:lineRule="auto"/>
        <w:rPr>
          <w:sz w:val="20"/>
          <w:szCs w:val="20"/>
          <w:color w:val="auto"/>
        </w:rPr>
      </w:pPr>
      <w:r>
        <w:rPr>
          <w:rFonts w:ascii="Times New Roman" w:cs="Times New Roman" w:eastAsia="Times New Roman" w:hAnsi="Times New Roman"/>
          <w:sz w:val="14"/>
          <w:szCs w:val="14"/>
          <w:color w:val="auto"/>
        </w:rPr>
        <w:t>E—A corporation that is a member of the same expanded affiliated group as a corporation described in Regulations section 1.1472-1(c)(1)(i).</w:t>
      </w:r>
    </w:p>
    <w:p>
      <w:pPr>
        <w:ind w:right="180" w:firstLine="108"/>
        <w:spacing w:after="0" w:line="241" w:lineRule="auto"/>
        <w:rPr>
          <w:sz w:val="20"/>
          <w:szCs w:val="20"/>
          <w:color w:val="auto"/>
        </w:rPr>
      </w:pPr>
      <w:r>
        <w:rPr>
          <w:rFonts w:ascii="Times New Roman" w:cs="Times New Roman" w:eastAsia="Times New Roman" w:hAnsi="Times New Roman"/>
          <w:sz w:val="14"/>
          <w:szCs w:val="14"/>
          <w:color w:val="auto"/>
        </w:rPr>
        <w:t>F—A dealer in securities, commodities, or derivative financial instruments (including notional principal contracts, futures, forwards, and options) that is registered as such under the laws of the United States or any state.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G—A real estate investment trust.</w:t>
      </w:r>
    </w:p>
    <w:p>
      <w:pPr>
        <w:spacing w:after="0" w:line="27" w:lineRule="exact"/>
        <w:rPr>
          <w:sz w:val="20"/>
          <w:szCs w:val="20"/>
          <w:color w:val="auto"/>
        </w:rPr>
      </w:pPr>
    </w:p>
    <w:p>
      <w:pPr>
        <w:ind w:right="60" w:firstLine="108"/>
        <w:spacing w:after="0" w:line="242" w:lineRule="auto"/>
        <w:rPr>
          <w:sz w:val="20"/>
          <w:szCs w:val="20"/>
          <w:color w:val="auto"/>
        </w:rPr>
      </w:pPr>
      <w:r>
        <w:rPr>
          <w:rFonts w:ascii="Times New Roman" w:cs="Times New Roman" w:eastAsia="Times New Roman" w:hAnsi="Times New Roman"/>
          <w:sz w:val="14"/>
          <w:szCs w:val="14"/>
          <w:color w:val="auto"/>
        </w:rPr>
        <w:t>H—A regulated investment company as defined in section 851 or an entity registered at all times during the tax year under the Investment Company Act of 1940.</w:t>
      </w:r>
    </w:p>
    <w:p>
      <w:pPr>
        <w:ind w:left="100"/>
        <w:spacing w:after="0"/>
        <w:rPr>
          <w:sz w:val="20"/>
          <w:szCs w:val="20"/>
          <w:color w:val="auto"/>
        </w:rPr>
      </w:pPr>
      <w:r>
        <w:rPr>
          <w:rFonts w:ascii="Times New Roman" w:cs="Times New Roman" w:eastAsia="Times New Roman" w:hAnsi="Times New Roman"/>
          <w:sz w:val="14"/>
          <w:szCs w:val="14"/>
          <w:color w:val="auto"/>
        </w:rPr>
        <w:t>I—A common trust fund as defined in section 584(a).</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J—A bank as defined in section 581.</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K—A broker.</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L—A trust exempt from tax under section 664 or described in section 4947(a)(1).</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M—A tax-exempt trust under a section 403(b) plan or section 457(g) plan.</w:t>
      </w:r>
    </w:p>
    <w:p>
      <w:pPr>
        <w:spacing w:after="0" w:line="27" w:lineRule="exact"/>
        <w:rPr>
          <w:sz w:val="20"/>
          <w:szCs w:val="20"/>
          <w:color w:val="auto"/>
        </w:rPr>
      </w:pPr>
    </w:p>
    <w:p>
      <w:pPr>
        <w:ind w:right="520"/>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You may wish to consult with the financial institution requesting this form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determine whether the FATCA code and/or exempt payee code should be completed.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Line 5</w:t>
      </w:r>
    </w:p>
    <w:p>
      <w:pPr>
        <w:spacing w:after="0" w:line="4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Enter your address (number, street, and apartment or suite number). This is where the requester of this Form W-9 will mail your information returns. If this address differs from the one the requester already has on file, enter “NEW” at the top. If a new address is provided, there is still a chance the old address will be used until the payor changes your address in their records.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Line 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Enter your city, state, and ZIP code.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Taxpayer Identification Number (TIN)</w:t>
      </w:r>
    </w:p>
    <w:p>
      <w:pPr>
        <w:spacing w:after="0" w:line="3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4"/>
          <w:szCs w:val="14"/>
          <w:b w:val="1"/>
          <w:bCs w:val="1"/>
          <w:color w:val="auto"/>
        </w:rPr>
        <w:t>Enter your TIN in the appropriate box</w:t>
      </w:r>
      <w:r>
        <w:rPr>
          <w:rFonts w:ascii="Times New Roman" w:cs="Times New Roman" w:eastAsia="Times New Roman" w:hAnsi="Times New Roman"/>
          <w:sz w:val="14"/>
          <w:szCs w:val="14"/>
          <w:color w:val="auto"/>
        </w:rPr>
        <w:t>. If you are a resident alien and you do not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are not eligible to get, an SSN, your TIN is your IRS ITIN. Enter it in the entry space for the Social security number. If you do not have an ITIN, see </w:t>
      </w:r>
      <w:r>
        <w:rPr>
          <w:rFonts w:ascii="Times New Roman" w:cs="Times New Roman" w:eastAsia="Times New Roman" w:hAnsi="Times New Roman"/>
          <w:sz w:val="14"/>
          <w:szCs w:val="14"/>
          <w:i w:val="1"/>
          <w:iCs w:val="1"/>
          <w:color w:val="auto"/>
        </w:rPr>
        <w:t>How to get a TIN</w:t>
      </w:r>
      <w:r>
        <w:rPr>
          <w:rFonts w:ascii="Times New Roman" w:cs="Times New Roman" w:eastAsia="Times New Roman" w:hAnsi="Times New Roman"/>
          <w:sz w:val="14"/>
          <w:szCs w:val="14"/>
          <w:color w:val="auto"/>
        </w:rPr>
        <w:t xml:space="preserve"> below.</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If you are a sole proprietor and you have an EIN, you may enter either your SSN or EIN.</w:t>
      </w:r>
    </w:p>
    <w:p>
      <w:pPr>
        <w:spacing w:after="0" w:line="27" w:lineRule="exact"/>
        <w:rPr>
          <w:sz w:val="20"/>
          <w:szCs w:val="20"/>
          <w:color w:val="auto"/>
        </w:rPr>
      </w:pPr>
    </w:p>
    <w:p>
      <w:pPr>
        <w:ind w:right="240" w:firstLine="108"/>
        <w:spacing w:after="0" w:line="234" w:lineRule="auto"/>
        <w:rPr>
          <w:sz w:val="20"/>
          <w:szCs w:val="20"/>
          <w:color w:val="auto"/>
        </w:rPr>
      </w:pPr>
      <w:r>
        <w:rPr>
          <w:rFonts w:ascii="Times New Roman" w:cs="Times New Roman" w:eastAsia="Times New Roman" w:hAnsi="Times New Roman"/>
          <w:sz w:val="14"/>
          <w:szCs w:val="14"/>
          <w:color w:val="auto"/>
        </w:rPr>
        <w:t>If you are a single-member LLC that is disregarded as an entity separate from its owner, enter the owner’s SSN (or EIN, if the owner has one). If the LLC is classified as a corporation or partnership, enter the entity’s EIN.</w:t>
      </w:r>
    </w:p>
    <w:p>
      <w:pPr>
        <w:spacing w:after="0" w:line="2"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What Name and Number To Give the Requester</w:t>
      </w:r>
      <w:r>
        <w:rPr>
          <w:rFonts w:ascii="Times New Roman" w:cs="Times New Roman" w:eastAsia="Times New Roman" w:hAnsi="Times New Roman"/>
          <w:sz w:val="14"/>
          <w:szCs w:val="14"/>
          <w:color w:val="auto"/>
        </w:rPr>
        <w:t>, later, for further clarification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name and TIN combinations.</w:t>
      </w:r>
    </w:p>
    <w:p>
      <w:pPr>
        <w:spacing w:after="0" w:line="1"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How to get a TIN. </w:t>
      </w:r>
      <w:r>
        <w:rPr>
          <w:rFonts w:ascii="Times New Roman" w:cs="Times New Roman" w:eastAsia="Times New Roman" w:hAnsi="Times New Roman"/>
          <w:sz w:val="14"/>
          <w:szCs w:val="14"/>
          <w:color w:val="auto"/>
        </w:rPr>
        <w:t>If you do not have a TIN, apply for one immediately. To apply for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SSN, get Form SS-5, Application for a Social Security Card, from your local SSA office or get this form online at </w:t>
      </w:r>
      <w:r>
        <w:rPr>
          <w:rFonts w:ascii="Times New Roman" w:cs="Times New Roman" w:eastAsia="Times New Roman" w:hAnsi="Times New Roman"/>
          <w:sz w:val="14"/>
          <w:szCs w:val="14"/>
          <w:i w:val="1"/>
          <w:iCs w:val="1"/>
          <w:color w:val="auto"/>
        </w:rPr>
        <w:t>www.SSA.gov</w:t>
      </w:r>
      <w:r>
        <w:rPr>
          <w:rFonts w:ascii="Times New Roman" w:cs="Times New Roman" w:eastAsia="Times New Roman" w:hAnsi="Times New Roman"/>
          <w:sz w:val="14"/>
          <w:szCs w:val="14"/>
          <w:color w:val="auto"/>
        </w:rPr>
        <w:t>. You may also get this form by calling 800-772-1213. Use Form W-7,</w:t>
      </w:r>
    </w:p>
    <w:p>
      <w:pPr>
        <w:sectPr>
          <w:pgSz w:w="11900" w:h="16838" w:orient="portrait"/>
          <w:cols w:equalWidth="0" w:num="2">
            <w:col w:w="5284" w:space="340"/>
            <w:col w:w="5400"/>
          </w:cols>
          <w:pgMar w:left="436" w:top="25" w:right="439" w:bottom="1440" w:gutter="0" w:footer="0" w:header="0"/>
          <w:type w:val="continuous"/>
        </w:sectPr>
      </w:pPr>
    </w:p>
    <w:bookmarkStart w:id="92" w:name="page93"/>
    <w:bookmarkEnd w:id="92"/>
    <w:p>
      <w:pPr>
        <w:spacing w:after="0"/>
        <w:tabs>
          <w:tab w:leader="none" w:pos="10620"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-116840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156845</wp:posOffset>
            </wp:positionV>
            <wp:extent cx="6995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5" w:right="4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4"/>
          <w:szCs w:val="14"/>
          <w:color w:val="auto"/>
        </w:rPr>
        <w:t xml:space="preserve">Application for IRS Individual Taxpayer Identification Number, to apply for an ITIN, or Form SS-4, Application for Employer Identification Number, to apply for an EIN. You can apply for an EIN online by accessing the IRS website at </w:t>
      </w:r>
      <w:r>
        <w:rPr>
          <w:rFonts w:ascii="Times New Roman" w:cs="Times New Roman" w:eastAsia="Times New Roman" w:hAnsi="Times New Roman"/>
          <w:sz w:val="14"/>
          <w:szCs w:val="14"/>
          <w:i w:val="1"/>
          <w:iCs w:val="1"/>
          <w:color w:val="auto"/>
        </w:rPr>
        <w:t>www.irs.gov/EIN</w:t>
      </w:r>
      <w:r>
        <w:rPr>
          <w:rFonts w:ascii="Times New Roman" w:cs="Times New Roman" w:eastAsia="Times New Roman" w:hAnsi="Times New Roman"/>
          <w:sz w:val="14"/>
          <w:szCs w:val="14"/>
          <w:color w:val="auto"/>
        </w:rPr>
        <w:t xml:space="preserve">. Go to </w:t>
      </w:r>
      <w:r>
        <w:rPr>
          <w:rFonts w:ascii="Times New Roman" w:cs="Times New Roman" w:eastAsia="Times New Roman" w:hAnsi="Times New Roman"/>
          <w:sz w:val="14"/>
          <w:szCs w:val="14"/>
          <w:i w:val="1"/>
          <w:iCs w:val="1"/>
          <w:color w:val="auto"/>
        </w:rPr>
        <w:t xml:space="preserve">www.irs.gov/Forms </w:t>
      </w:r>
      <w:r>
        <w:rPr>
          <w:rFonts w:ascii="Times New Roman" w:cs="Times New Roman" w:eastAsia="Times New Roman" w:hAnsi="Times New Roman"/>
          <w:sz w:val="14"/>
          <w:szCs w:val="14"/>
          <w:color w:val="auto"/>
        </w:rPr>
        <w:t>to view, download, or print Form W-7 and/or Form SS-4. Or, you can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go to </w:t>
      </w:r>
      <w:r>
        <w:rPr>
          <w:rFonts w:ascii="Times New Roman" w:cs="Times New Roman" w:eastAsia="Times New Roman" w:hAnsi="Times New Roman"/>
          <w:sz w:val="14"/>
          <w:szCs w:val="14"/>
          <w:i w:val="1"/>
          <w:iCs w:val="1"/>
          <w:color w:val="auto"/>
        </w:rPr>
        <w:t>www.irs.gov/OrderForms</w:t>
      </w:r>
      <w:r>
        <w:rPr>
          <w:rFonts w:ascii="Times New Roman" w:cs="Times New Roman" w:eastAsia="Times New Roman" w:hAnsi="Times New Roman"/>
          <w:sz w:val="14"/>
          <w:szCs w:val="14"/>
          <w:color w:val="auto"/>
        </w:rPr>
        <w:t xml:space="preserve"> to place an order and have Form W-7 and/or Form SS-4 mailed to you within 15 business days.</w:t>
      </w:r>
    </w:p>
    <w:p>
      <w:pPr>
        <w:spacing w:after="0" w:line="2" w:lineRule="exact"/>
        <w:rPr>
          <w:sz w:val="20"/>
          <w:szCs w:val="20"/>
          <w:color w:val="auto"/>
        </w:rPr>
      </w:pPr>
    </w:p>
    <w:p>
      <w:pPr>
        <w:ind w:right="20" w:firstLine="106"/>
        <w:spacing w:after="0" w:line="229" w:lineRule="auto"/>
        <w:rPr>
          <w:sz w:val="20"/>
          <w:szCs w:val="20"/>
          <w:color w:val="auto"/>
        </w:rPr>
      </w:pPr>
      <w:r>
        <w:rPr>
          <w:rFonts w:ascii="Times New Roman" w:cs="Times New Roman" w:eastAsia="Times New Roman" w:hAnsi="Times New Roman"/>
          <w:sz w:val="14"/>
          <w:szCs w:val="14"/>
          <w:color w:val="auto"/>
        </w:rPr>
        <w:t>If you are asked to complete Form W-9 but do not have a TIN, apply for a TIN and enter “Applied For” in the space for the TIN, sign and date the form, and give it to the requester. For interest and dividend payments, and certain payments made with respect to readily tradable instruments, you will generally have 60 days to get a TIN and give it to the requester before you are subject to backup withholding on payments. The 60-day rule does not apply to other types of payments. You will be subject to backup withholding on all such payments until you provide your TIN to the requester.</w:t>
      </w:r>
    </w:p>
    <w:p>
      <w:pPr>
        <w:spacing w:after="0" w:line="4"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Entering “Applied For” means that you have already applied for a TIN or that you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intend to apply for one soon. See also </w:t>
      </w:r>
      <w:r>
        <w:rPr>
          <w:rFonts w:ascii="Times New Roman" w:cs="Times New Roman" w:eastAsia="Times New Roman" w:hAnsi="Times New Roman"/>
          <w:sz w:val="14"/>
          <w:szCs w:val="14"/>
          <w:i w:val="1"/>
          <w:iCs w:val="1"/>
          <w:color w:val="auto"/>
        </w:rPr>
        <w:t>Establishing U.S. status for purposes of chapter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chapter 4 withholding</w:t>
      </w:r>
      <w:r>
        <w:rPr>
          <w:rFonts w:ascii="Times New Roman" w:cs="Times New Roman" w:eastAsia="Times New Roman" w:hAnsi="Times New Roman"/>
          <w:sz w:val="14"/>
          <w:szCs w:val="14"/>
          <w:color w:val="auto"/>
        </w:rPr>
        <w:t>, earlier, for when you may instead be subject to withholding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chapter 3 or 4 of the Code.</w:t>
      </w:r>
    </w:p>
    <w:p>
      <w:pPr>
        <w:spacing w:after="0" w:line="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Caution: </w:t>
      </w:r>
      <w:r>
        <w:rPr>
          <w:rFonts w:ascii="Times New Roman" w:cs="Times New Roman" w:eastAsia="Times New Roman" w:hAnsi="Times New Roman"/>
          <w:sz w:val="14"/>
          <w:szCs w:val="14"/>
          <w:color w:val="auto"/>
        </w:rPr>
        <w:t>A disregarded U.S. entity that has a foreign owner must use the appropriate Form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Certification</w:t>
      </w:r>
    </w:p>
    <w:p>
      <w:pPr>
        <w:spacing w:after="0" w:line="39"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4"/>
          <w:szCs w:val="14"/>
          <w:color w:val="auto"/>
        </w:rPr>
        <w:t>To establish to the withholding agent that you are a U.S. person, or resident alien, sign Form W-9. You may be requested to sign by the withholding agent even if item 1, 4, or 5 below indicates otherwise.</w:t>
      </w:r>
    </w:p>
    <w:p>
      <w:pPr>
        <w:jc w:val="both"/>
        <w:ind w:right="320" w:firstLine="106"/>
        <w:spacing w:after="0" w:line="234" w:lineRule="auto"/>
        <w:rPr>
          <w:sz w:val="20"/>
          <w:szCs w:val="20"/>
          <w:color w:val="auto"/>
        </w:rPr>
      </w:pPr>
      <w:r>
        <w:rPr>
          <w:rFonts w:ascii="Times New Roman" w:cs="Times New Roman" w:eastAsia="Times New Roman" w:hAnsi="Times New Roman"/>
          <w:sz w:val="14"/>
          <w:szCs w:val="14"/>
          <w:color w:val="auto"/>
        </w:rPr>
        <w:t xml:space="preserve">For a joint account, only the person whose TIN is shown in Part I should sign (when required). In the case of a disregarded entity, the person identified on line 1 must sign. Exempt payees, see </w:t>
      </w:r>
      <w:r>
        <w:rPr>
          <w:rFonts w:ascii="Times New Roman" w:cs="Times New Roman" w:eastAsia="Times New Roman" w:hAnsi="Times New Roman"/>
          <w:sz w:val="14"/>
          <w:szCs w:val="14"/>
          <w:i w:val="1"/>
          <w:iCs w:val="1"/>
          <w:color w:val="auto"/>
        </w:rPr>
        <w:t>Exempt payee code</w:t>
      </w:r>
      <w:r>
        <w:rPr>
          <w:rFonts w:ascii="Times New Roman" w:cs="Times New Roman" w:eastAsia="Times New Roman" w:hAnsi="Times New Roman"/>
          <w:sz w:val="14"/>
          <w:szCs w:val="14"/>
          <w:color w:val="auto"/>
        </w:rPr>
        <w:t>, earlier.</w:t>
      </w:r>
    </w:p>
    <w:p>
      <w:pPr>
        <w:spacing w:after="0" w:line="2"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Signature requirements. </w:t>
      </w:r>
      <w:r>
        <w:rPr>
          <w:rFonts w:ascii="Times New Roman" w:cs="Times New Roman" w:eastAsia="Times New Roman" w:hAnsi="Times New Roman"/>
          <w:sz w:val="14"/>
          <w:szCs w:val="14"/>
          <w:color w:val="auto"/>
        </w:rPr>
        <w:t>Complete the certification as indicated in items 1 through 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below.</w:t>
      </w:r>
    </w:p>
    <w:p>
      <w:pPr>
        <w:spacing w:after="0" w:line="1" w:lineRule="exact"/>
        <w:rPr>
          <w:sz w:val="20"/>
          <w:szCs w:val="20"/>
          <w:color w:val="auto"/>
        </w:rPr>
      </w:pPr>
    </w:p>
    <w:p>
      <w:pPr>
        <w:jc w:val="both"/>
        <w:ind w:right="60" w:firstLine="102"/>
        <w:spacing w:after="0" w:line="241" w:lineRule="auto"/>
        <w:tabs>
          <w:tab w:leader="none" w:pos="250"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Interest, dividend, and barter exchange accounts opened before 1984 and broker accounts considered active during 1983. </w:t>
      </w:r>
      <w:r>
        <w:rPr>
          <w:rFonts w:ascii="Times New Roman" w:cs="Times New Roman" w:eastAsia="Times New Roman" w:hAnsi="Times New Roman"/>
          <w:sz w:val="14"/>
          <w:szCs w:val="14"/>
          <w:color w:val="auto"/>
        </w:rPr>
        <w:t>You must give your correct TIN, but you do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to sign the certification.</w:t>
      </w:r>
    </w:p>
    <w:p>
      <w:pPr>
        <w:spacing w:after="0" w:line="1" w:lineRule="exact"/>
        <w:rPr>
          <w:rFonts w:ascii="Times New Roman" w:cs="Times New Roman" w:eastAsia="Times New Roman" w:hAnsi="Times New Roman"/>
          <w:sz w:val="14"/>
          <w:szCs w:val="14"/>
          <w:b w:val="1"/>
          <w:bCs w:val="1"/>
          <w:color w:val="auto"/>
        </w:rPr>
      </w:pPr>
    </w:p>
    <w:p>
      <w:pPr>
        <w:ind w:right="160" w:firstLine="102"/>
        <w:spacing w:after="0" w:line="229" w:lineRule="auto"/>
        <w:tabs>
          <w:tab w:leader="none" w:pos="250"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Interest, dividend, broker, and barter exchange accounts opened after 1983 and broker accounts considered inactive during 1983. </w:t>
      </w:r>
      <w:r>
        <w:rPr>
          <w:rFonts w:ascii="Times New Roman" w:cs="Times New Roman" w:eastAsia="Times New Roman" w:hAnsi="Times New Roman"/>
          <w:sz w:val="14"/>
          <w:szCs w:val="14"/>
          <w:color w:val="auto"/>
        </w:rPr>
        <w:t>You must sign the certification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backup withholding will apply. If you are subject to backup withholding and you are merely providing your correct TIN to the requester, you must cross out item 2 in the certification before signing the form.</w:t>
      </w:r>
    </w:p>
    <w:p>
      <w:pPr>
        <w:spacing w:after="0" w:line="1" w:lineRule="exact"/>
        <w:rPr>
          <w:rFonts w:ascii="Times New Roman" w:cs="Times New Roman" w:eastAsia="Times New Roman" w:hAnsi="Times New Roman"/>
          <w:sz w:val="14"/>
          <w:szCs w:val="14"/>
          <w:b w:val="1"/>
          <w:bCs w:val="1"/>
          <w:color w:val="auto"/>
        </w:rPr>
      </w:pPr>
    </w:p>
    <w:p>
      <w:pPr>
        <w:ind w:right="40" w:firstLine="102"/>
        <w:spacing w:after="0" w:line="251" w:lineRule="auto"/>
        <w:tabs>
          <w:tab w:leader="none" w:pos="250"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Real estate transactions. </w:t>
      </w:r>
      <w:r>
        <w:rPr>
          <w:rFonts w:ascii="Times New Roman" w:cs="Times New Roman" w:eastAsia="Times New Roman" w:hAnsi="Times New Roman"/>
          <w:sz w:val="14"/>
          <w:szCs w:val="14"/>
          <w:color w:val="auto"/>
        </w:rPr>
        <w:t>You must sign the certification. You may cross out item 2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certification.</w:t>
      </w:r>
    </w:p>
    <w:p>
      <w:pPr>
        <w:ind w:firstLine="102"/>
        <w:spacing w:after="0" w:line="228" w:lineRule="auto"/>
        <w:tabs>
          <w:tab w:leader="none" w:pos="250"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Other payments. </w:t>
      </w:r>
      <w:r>
        <w:rPr>
          <w:rFonts w:ascii="Times New Roman" w:cs="Times New Roman" w:eastAsia="Times New Roman" w:hAnsi="Times New Roman"/>
          <w:sz w:val="14"/>
          <w:szCs w:val="14"/>
          <w:color w:val="auto"/>
        </w:rPr>
        <w:t>You must give your correct TIN, but you do not have to sign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certification unless you have been notified that you have previously given an incorrect TIN. “Other payments” include payments made in the course of the requester’s trade or business for rents, royalties, goods (other than bills for merchandise), medical and health care services (including payments to corporations), payments to a nonemployee for services, payments made in settlement of payment card and third-party network transactions, payments to certain fishing boat crew members and fishermen, and gross proceeds paid to attorneys (including payments to corporations).</w:t>
      </w:r>
    </w:p>
    <w:p>
      <w:pPr>
        <w:spacing w:after="0" w:line="5" w:lineRule="exact"/>
        <w:rPr>
          <w:rFonts w:ascii="Times New Roman" w:cs="Times New Roman" w:eastAsia="Times New Roman" w:hAnsi="Times New Roman"/>
          <w:sz w:val="14"/>
          <w:szCs w:val="14"/>
          <w:b w:val="1"/>
          <w:bCs w:val="1"/>
          <w:color w:val="auto"/>
        </w:rPr>
      </w:pPr>
    </w:p>
    <w:p>
      <w:pPr>
        <w:ind w:right="120" w:firstLine="102"/>
        <w:spacing w:after="0" w:line="229" w:lineRule="auto"/>
        <w:tabs>
          <w:tab w:leader="none" w:pos="250"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Mortgage interest paid by you, acquisition or abandonment of secured property, cancellation of debt, qualified tuition program payments (under section 529), ABLE accounts (under section 529A), IRA, Coverdell ESA, Archer MSA or HSA contributions or distributions, and pension distributions. </w:t>
      </w:r>
      <w:r>
        <w:rPr>
          <w:rFonts w:ascii="Times New Roman" w:cs="Times New Roman" w:eastAsia="Times New Roman" w:hAnsi="Times New Roman"/>
          <w:sz w:val="14"/>
          <w:szCs w:val="14"/>
          <w:color w:val="auto"/>
        </w:rPr>
        <w:t>You must give your correct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TIN, but you do not have to sign the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auto"/>
        </w:rPr>
        <w:t>What Name and Number To Give the Requester</w:t>
      </w:r>
    </w:p>
    <w:p>
      <w:pPr>
        <w:spacing w:after="0" w:line="123"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260" w:type="dxa"/>
            <w:vAlign w:val="bottom"/>
            <w:tcBorders>
              <w:top w:val="single" w:sz="8" w:color="auto"/>
              <w:bottom w:val="single" w:sz="8" w:color="auto"/>
            </w:tcBorders>
          </w:tcPr>
          <w:p>
            <w:pPr>
              <w:spacing w:after="0"/>
              <w:rPr>
                <w:sz w:val="15"/>
                <w:szCs w:val="15"/>
                <w:color w:val="auto"/>
              </w:rPr>
            </w:pPr>
          </w:p>
        </w:tc>
        <w:tc>
          <w:tcPr>
            <w:tcW w:w="25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For this type of account:</w:t>
            </w:r>
          </w:p>
        </w:tc>
        <w:tc>
          <w:tcPr>
            <w:tcW w:w="26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Give name and SSN of:</w:t>
            </w:r>
          </w:p>
        </w:tc>
        <w:tc>
          <w:tcPr>
            <w:tcW w:w="0" w:type="dxa"/>
            <w:vAlign w:val="bottom"/>
          </w:tcPr>
          <w:p>
            <w:pPr>
              <w:spacing w:after="0"/>
              <w:rPr>
                <w:sz w:val="1"/>
                <w:szCs w:val="1"/>
                <w:color w:val="auto"/>
              </w:rPr>
            </w:pPr>
          </w:p>
        </w:tc>
      </w:tr>
      <w:tr>
        <w:trPr>
          <w:trHeight w:val="137"/>
        </w:trPr>
        <w:tc>
          <w:tcPr>
            <w:tcW w:w="2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c>
          <w:tcPr>
            <w:tcW w:w="252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auto"/>
              </w:rPr>
              <w:t>Individual</w:t>
            </w:r>
          </w:p>
        </w:tc>
        <w:tc>
          <w:tcPr>
            <w:tcW w:w="262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The individual</w:t>
            </w:r>
          </w:p>
        </w:tc>
        <w:tc>
          <w:tcPr>
            <w:tcW w:w="0" w:type="dxa"/>
            <w:vAlign w:val="bottom"/>
          </w:tcPr>
          <w:p>
            <w:pPr>
              <w:spacing w:after="0"/>
              <w:rPr>
                <w:sz w:val="1"/>
                <w:szCs w:val="1"/>
                <w:color w:val="auto"/>
              </w:rPr>
            </w:pPr>
          </w:p>
        </w:tc>
      </w:tr>
      <w:tr>
        <w:trPr>
          <w:trHeight w:val="135"/>
        </w:trPr>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Two or more individuals (joint account) other</w:t>
            </w:r>
          </w:p>
        </w:tc>
        <w:tc>
          <w:tcPr>
            <w:tcW w:w="26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The actual owner of the account or, if combined</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than an account maintained by an FFI</w:t>
            </w:r>
          </w:p>
        </w:tc>
        <w:tc>
          <w:tcPr>
            <w:tcW w:w="2620" w:type="dxa"/>
            <w:vAlign w:val="bottom"/>
          </w:tcPr>
          <w:p>
            <w:pPr>
              <w:ind w:left="80"/>
              <w:spacing w:after="0" w:line="162" w:lineRule="exact"/>
              <w:rPr>
                <w:sz w:val="20"/>
                <w:szCs w:val="20"/>
                <w:color w:val="auto"/>
              </w:rPr>
            </w:pPr>
            <w:r>
              <w:rPr>
                <w:rFonts w:ascii="Times New Roman" w:cs="Times New Roman" w:eastAsia="Times New Roman" w:hAnsi="Times New Roman"/>
                <w:sz w:val="13"/>
                <w:szCs w:val="13"/>
                <w:color w:val="auto"/>
              </w:rPr>
              <w:t>funds, the first individual on the account</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135"/>
        </w:trPr>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Two or more U.S. persons (joint account</w:t>
            </w:r>
          </w:p>
        </w:tc>
        <w:tc>
          <w:tcPr>
            <w:tcW w:w="26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Each holder of the account</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maintained by an FFI)</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Custodial account of a minor (Uniform Gift to</w:t>
            </w:r>
          </w:p>
        </w:tc>
        <w:tc>
          <w:tcPr>
            <w:tcW w:w="2620" w:type="dxa"/>
            <w:vAlign w:val="bottom"/>
          </w:tcPr>
          <w:p>
            <w:pPr>
              <w:ind w:left="80"/>
              <w:spacing w:after="0" w:line="135" w:lineRule="exact"/>
              <w:rPr>
                <w:sz w:val="20"/>
                <w:szCs w:val="20"/>
                <w:color w:val="auto"/>
              </w:rPr>
            </w:pPr>
            <w:r>
              <w:rPr>
                <w:rFonts w:ascii="Times New Roman" w:cs="Times New Roman" w:eastAsia="Times New Roman" w:hAnsi="Times New Roman"/>
                <w:sz w:val="11"/>
                <w:szCs w:val="11"/>
                <w:color w:val="auto"/>
              </w:rPr>
              <w:t>The minor</w:t>
            </w:r>
            <w:r>
              <w:rPr>
                <w:rFonts w:ascii="Times New Roman" w:cs="Times New Roman" w:eastAsia="Times New Roman" w:hAnsi="Times New Roman"/>
                <w:sz w:val="15"/>
                <w:szCs w:val="15"/>
                <w:color w:val="auto"/>
                <w:vertAlign w:val="superscript"/>
              </w:rPr>
              <w:t>2</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Minors Act)</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 The usual revocable savings trust (grantor is</w:t>
            </w:r>
          </w:p>
        </w:tc>
        <w:tc>
          <w:tcPr>
            <w:tcW w:w="2620" w:type="dxa"/>
            <w:vAlign w:val="bottom"/>
          </w:tcPr>
          <w:p>
            <w:pPr>
              <w:ind w:left="80"/>
              <w:spacing w:after="0" w:line="135" w:lineRule="exact"/>
              <w:rPr>
                <w:sz w:val="20"/>
                <w:szCs w:val="20"/>
                <w:color w:val="auto"/>
              </w:rPr>
            </w:pPr>
            <w:r>
              <w:rPr>
                <w:rFonts w:ascii="Times New Roman" w:cs="Times New Roman" w:eastAsia="Times New Roman" w:hAnsi="Times New Roman"/>
                <w:sz w:val="11"/>
                <w:szCs w:val="11"/>
                <w:color w:val="auto"/>
              </w:rPr>
              <w:t>The grantor-trustee</w:t>
            </w:r>
            <w:r>
              <w:rPr>
                <w:rFonts w:ascii="Times New Roman" w:cs="Times New Roman" w:eastAsia="Times New Roman" w:hAnsi="Times New Roman"/>
                <w:sz w:val="15"/>
                <w:szCs w:val="15"/>
                <w:color w:val="auto"/>
                <w:vertAlign w:val="superscript"/>
              </w:rPr>
              <w:t>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also trustee)</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b. So-called trust account that is not a legal or</w:t>
            </w:r>
          </w:p>
        </w:tc>
        <w:tc>
          <w:tcPr>
            <w:tcW w:w="2620" w:type="dxa"/>
            <w:vAlign w:val="bottom"/>
          </w:tcPr>
          <w:p>
            <w:pPr>
              <w:ind w:left="80"/>
              <w:spacing w:after="0" w:line="135" w:lineRule="exact"/>
              <w:rPr>
                <w:sz w:val="20"/>
                <w:szCs w:val="20"/>
                <w:color w:val="auto"/>
              </w:rPr>
            </w:pPr>
            <w:r>
              <w:rPr>
                <w:rFonts w:ascii="Times New Roman" w:cs="Times New Roman" w:eastAsia="Times New Roman" w:hAnsi="Times New Roman"/>
                <w:sz w:val="11"/>
                <w:szCs w:val="11"/>
                <w:color w:val="auto"/>
              </w:rPr>
              <w:t>The actual owner</w:t>
            </w:r>
            <w:r>
              <w:rPr>
                <w:rFonts w:ascii="Times New Roman" w:cs="Times New Roman" w:eastAsia="Times New Roman" w:hAnsi="Times New Roman"/>
                <w:sz w:val="15"/>
                <w:szCs w:val="15"/>
                <w:color w:val="auto"/>
                <w:vertAlign w:val="superscript"/>
              </w:rPr>
              <w:t>1</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valid trust under state law</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Sole proprietorship or disregarded entity</w:t>
            </w:r>
          </w:p>
        </w:tc>
        <w:tc>
          <w:tcPr>
            <w:tcW w:w="2620" w:type="dxa"/>
            <w:vAlign w:val="bottom"/>
          </w:tcPr>
          <w:p>
            <w:pPr>
              <w:ind w:left="80"/>
              <w:spacing w:after="0" w:line="135" w:lineRule="exact"/>
              <w:rPr>
                <w:sz w:val="20"/>
                <w:szCs w:val="20"/>
                <w:color w:val="auto"/>
              </w:rPr>
            </w:pPr>
            <w:r>
              <w:rPr>
                <w:rFonts w:ascii="Times New Roman" w:cs="Times New Roman" w:eastAsia="Times New Roman" w:hAnsi="Times New Roman"/>
                <w:sz w:val="11"/>
                <w:szCs w:val="11"/>
                <w:color w:val="auto"/>
              </w:rPr>
              <w:t>The owner</w:t>
            </w:r>
            <w:r>
              <w:rPr>
                <w:rFonts w:ascii="Times New Roman" w:cs="Times New Roman" w:eastAsia="Times New Roman" w:hAnsi="Times New Roman"/>
                <w:sz w:val="15"/>
                <w:szCs w:val="15"/>
                <w:color w:val="auto"/>
                <w:vertAlign w:val="superscript"/>
              </w:rPr>
              <w:t>3</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owned by an individual</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Grantor trust filing under Optional Filing</w:t>
            </w:r>
          </w:p>
        </w:tc>
        <w:tc>
          <w:tcPr>
            <w:tcW w:w="26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The grantor*</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Method 1 (see Regulations section</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1.671-4(b)(2)(i)(A))**</w:t>
            </w:r>
          </w:p>
        </w:tc>
        <w:tc>
          <w:tcPr>
            <w:tcW w:w="2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For this type of account:</w:t>
            </w:r>
          </w:p>
        </w:tc>
        <w:tc>
          <w:tcPr>
            <w:tcW w:w="2620" w:type="dxa"/>
            <w:vAlign w:val="bottom"/>
            <w:tcBorders>
              <w:bottom w:val="single" w:sz="8" w:color="auto"/>
            </w:tcBorders>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rPr>
              <w:t>Give name and EIN of:</w:t>
            </w:r>
          </w:p>
        </w:tc>
        <w:tc>
          <w:tcPr>
            <w:tcW w:w="0" w:type="dxa"/>
            <w:vAlign w:val="bottom"/>
          </w:tcPr>
          <w:p>
            <w:pPr>
              <w:spacing w:after="0"/>
              <w:rPr>
                <w:sz w:val="1"/>
                <w:szCs w:val="1"/>
                <w:color w:val="auto"/>
              </w:rPr>
            </w:pPr>
          </w:p>
        </w:tc>
      </w:tr>
      <w:tr>
        <w:trPr>
          <w:trHeight w:val="146"/>
        </w:trPr>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w:t>
            </w:r>
          </w:p>
        </w:tc>
        <w:tc>
          <w:tcPr>
            <w:tcW w:w="252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color w:val="auto"/>
              </w:rPr>
              <w:t>Disregarded entity not owned by an individual</w:t>
            </w:r>
          </w:p>
        </w:tc>
        <w:tc>
          <w:tcPr>
            <w:tcW w:w="2620" w:type="dxa"/>
            <w:vAlign w:val="bottom"/>
          </w:tcPr>
          <w:p>
            <w:pPr>
              <w:ind w:left="80"/>
              <w:spacing w:after="0" w:line="146" w:lineRule="exact"/>
              <w:rPr>
                <w:sz w:val="20"/>
                <w:szCs w:val="20"/>
                <w:color w:val="auto"/>
              </w:rPr>
            </w:pPr>
            <w:r>
              <w:rPr>
                <w:rFonts w:ascii="Times New Roman" w:cs="Times New Roman" w:eastAsia="Times New Roman" w:hAnsi="Times New Roman"/>
                <w:sz w:val="13"/>
                <w:szCs w:val="13"/>
                <w:color w:val="auto"/>
              </w:rPr>
              <w:t>The owner</w:t>
            </w:r>
          </w:p>
        </w:tc>
        <w:tc>
          <w:tcPr>
            <w:tcW w:w="0" w:type="dxa"/>
            <w:vAlign w:val="bottom"/>
          </w:tcPr>
          <w:p>
            <w:pPr>
              <w:spacing w:after="0"/>
              <w:rPr>
                <w:sz w:val="1"/>
                <w:szCs w:val="1"/>
                <w:color w:val="auto"/>
              </w:rPr>
            </w:pPr>
          </w:p>
        </w:tc>
      </w:tr>
      <w:tr>
        <w:trPr>
          <w:trHeight w:val="175"/>
        </w:trPr>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 valid trust, estate, or pension trust</w:t>
            </w:r>
          </w:p>
        </w:tc>
        <w:tc>
          <w:tcPr>
            <w:tcW w:w="2620" w:type="dxa"/>
            <w:vAlign w:val="bottom"/>
          </w:tcPr>
          <w:p>
            <w:pPr>
              <w:ind w:left="80"/>
              <w:spacing w:after="0" w:line="176" w:lineRule="exact"/>
              <w:rPr>
                <w:sz w:val="20"/>
                <w:szCs w:val="20"/>
                <w:color w:val="auto"/>
              </w:rPr>
            </w:pPr>
            <w:r>
              <w:rPr>
                <w:rFonts w:ascii="Times New Roman" w:cs="Times New Roman" w:eastAsia="Times New Roman" w:hAnsi="Times New Roman"/>
                <w:sz w:val="13"/>
                <w:szCs w:val="13"/>
                <w:color w:val="auto"/>
              </w:rPr>
              <w:t>Legal entity</w:t>
            </w:r>
            <w:r>
              <w:rPr>
                <w:rFonts w:ascii="Times New Roman" w:cs="Times New Roman" w:eastAsia="Times New Roman" w:hAnsi="Times New Roman"/>
                <w:sz w:val="18"/>
                <w:szCs w:val="18"/>
                <w:color w:val="auto"/>
                <w:vertAlign w:val="superscript"/>
              </w:rPr>
              <w:t>4</w:t>
            </w:r>
          </w:p>
        </w:tc>
        <w:tc>
          <w:tcPr>
            <w:tcW w:w="0" w:type="dxa"/>
            <w:vAlign w:val="bottom"/>
          </w:tcPr>
          <w:p>
            <w:pPr>
              <w:spacing w:after="0"/>
              <w:rPr>
                <w:sz w:val="1"/>
                <w:szCs w:val="1"/>
                <w:color w:val="auto"/>
              </w:rPr>
            </w:pPr>
          </w:p>
        </w:tc>
      </w:tr>
      <w:tr>
        <w:trPr>
          <w:trHeight w:val="144"/>
        </w:trPr>
        <w:tc>
          <w:tcPr>
            <w:tcW w:w="2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25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Corporation or LLC electing corporate status</w:t>
            </w:r>
          </w:p>
        </w:tc>
        <w:tc>
          <w:tcPr>
            <w:tcW w:w="26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The corporation</w:t>
            </w:r>
          </w:p>
        </w:tc>
        <w:tc>
          <w:tcPr>
            <w:tcW w:w="0" w:type="dxa"/>
            <w:vAlign w:val="bottom"/>
          </w:tcPr>
          <w:p>
            <w:pPr>
              <w:spacing w:after="0"/>
              <w:rPr>
                <w:sz w:val="1"/>
                <w:szCs w:val="1"/>
                <w:color w:val="auto"/>
              </w:rPr>
            </w:pPr>
          </w:p>
        </w:tc>
      </w:tr>
      <w:tr>
        <w:trPr>
          <w:trHeight w:val="157"/>
        </w:trPr>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on Form 8832 or Form 2553</w:t>
            </w: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0" w:type="dxa"/>
            <w:vAlign w:val="bottom"/>
            <w:vMerge w:val="continue"/>
          </w:tcPr>
          <w:p>
            <w:pPr>
              <w:spacing w:after="0"/>
              <w:rPr>
                <w:sz w:val="12"/>
                <w:szCs w:val="12"/>
                <w:color w:val="auto"/>
              </w:rPr>
            </w:pPr>
          </w:p>
        </w:tc>
        <w:tc>
          <w:tcPr>
            <w:tcW w:w="252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auto"/>
              </w:rPr>
              <w:t>Association, club, religious, charitable,</w:t>
            </w:r>
          </w:p>
        </w:tc>
        <w:tc>
          <w:tcPr>
            <w:tcW w:w="26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auto"/>
              </w:rPr>
              <w:t>The organization</w:t>
            </w:r>
          </w:p>
        </w:tc>
        <w:tc>
          <w:tcPr>
            <w:tcW w:w="0" w:type="dxa"/>
            <w:vAlign w:val="bottom"/>
          </w:tcPr>
          <w:p>
            <w:pPr>
              <w:spacing w:after="0"/>
              <w:rPr>
                <w:sz w:val="1"/>
                <w:szCs w:val="1"/>
                <w:color w:val="auto"/>
              </w:rPr>
            </w:pPr>
          </w:p>
        </w:tc>
      </w:tr>
      <w:tr>
        <w:trPr>
          <w:trHeight w:val="157"/>
        </w:trPr>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educational, or other tax-exempt organization</w:t>
            </w: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0" w:type="dxa"/>
            <w:vAlign w:val="bottom"/>
            <w:vMerge w:val="continue"/>
          </w:tcPr>
          <w:p>
            <w:pPr>
              <w:spacing w:after="0"/>
              <w:rPr>
                <w:sz w:val="14"/>
                <w:szCs w:val="14"/>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Partnership or multi-member LLC</w:t>
            </w:r>
          </w:p>
        </w:tc>
        <w:tc>
          <w:tcPr>
            <w:tcW w:w="2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The partnership</w:t>
            </w:r>
          </w:p>
        </w:tc>
        <w:tc>
          <w:tcPr>
            <w:tcW w:w="0" w:type="dxa"/>
            <w:vAlign w:val="bottom"/>
          </w:tcPr>
          <w:p>
            <w:pPr>
              <w:spacing w:after="0"/>
              <w:rPr>
                <w:sz w:val="1"/>
                <w:szCs w:val="1"/>
                <w:color w:val="auto"/>
              </w:rPr>
            </w:pPr>
          </w:p>
        </w:tc>
      </w:tr>
      <w:tr>
        <w:trPr>
          <w:trHeight w:val="153"/>
        </w:trPr>
        <w:tc>
          <w:tcPr>
            <w:tcW w:w="2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w:t>
            </w:r>
          </w:p>
        </w:tc>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 broker or registered nominee</w:t>
            </w:r>
          </w:p>
        </w:tc>
        <w:tc>
          <w:tcPr>
            <w:tcW w:w="2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The broker or nominee</w:t>
            </w:r>
          </w:p>
        </w:tc>
        <w:tc>
          <w:tcPr>
            <w:tcW w:w="0" w:type="dxa"/>
            <w:vAlign w:val="bottom"/>
          </w:tcPr>
          <w:p>
            <w:pPr>
              <w:spacing w:after="0"/>
              <w:rPr>
                <w:sz w:val="1"/>
                <w:szCs w:val="1"/>
                <w:color w:val="auto"/>
              </w:rPr>
            </w:pPr>
          </w:p>
        </w:tc>
      </w:tr>
      <w:tr>
        <w:trPr>
          <w:trHeight w:val="135"/>
        </w:trPr>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Account with the Department of Agriculture in</w:t>
            </w:r>
          </w:p>
        </w:tc>
        <w:tc>
          <w:tcPr>
            <w:tcW w:w="26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The public entity</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the name of a public entity (such as a state or</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local government, school district, or prison)</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2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that receives agricultural program payments</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Grantor trust filing Form 1041 or under the</w:t>
            </w:r>
          </w:p>
        </w:tc>
        <w:tc>
          <w:tcPr>
            <w:tcW w:w="26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The trust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5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9"/>
              </w:rPr>
              <w:t>Optional Filing Method 2, requiring Form 1099</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99"/>
              </w:rPr>
              <w:t>(see Regulations section 1.671-4(b)(2)(i)(B))**</w:t>
            </w:r>
          </w:p>
        </w:tc>
        <w:tc>
          <w:tcPr>
            <w:tcW w:w="2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 w:right="180" w:hanging="6"/>
        <w:spacing w:after="0" w:line="250" w:lineRule="auto"/>
        <w:tabs>
          <w:tab w:leader="none" w:pos="96" w:val="left"/>
        </w:tabs>
        <w:numPr>
          <w:ilvl w:val="0"/>
          <w:numId w:val="10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List first and circle the name of the person whose number you furnish. If only one person on a joint account has an SSN, that person’s number must be furnished.</w:t>
      </w:r>
    </w:p>
    <w:p>
      <w:pPr>
        <w:spacing w:after="0" w:line="1" w:lineRule="exact"/>
        <w:rPr>
          <w:rFonts w:ascii="Times New Roman" w:cs="Times New Roman" w:eastAsia="Times New Roman" w:hAnsi="Times New Roman"/>
          <w:sz w:val="11"/>
          <w:szCs w:val="11"/>
          <w:color w:val="auto"/>
        </w:rPr>
      </w:pPr>
    </w:p>
    <w:p>
      <w:pPr>
        <w:ind w:left="6"/>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2 </w:t>
      </w:r>
      <w:r>
        <w:rPr>
          <w:rFonts w:ascii="Times New Roman" w:cs="Times New Roman" w:eastAsia="Times New Roman" w:hAnsi="Times New Roman"/>
          <w:sz w:val="14"/>
          <w:szCs w:val="14"/>
          <w:color w:val="auto"/>
        </w:rPr>
        <w:t>Circle the minor’s name and furnish the minor’s SSN.</w:t>
      </w:r>
    </w:p>
    <w:p>
      <w:pPr>
        <w:spacing w:after="0" w:line="15" w:lineRule="exact"/>
        <w:rPr>
          <w:sz w:val="20"/>
          <w:szCs w:val="20"/>
          <w:color w:val="auto"/>
        </w:rPr>
      </w:pPr>
    </w:p>
    <w:p>
      <w:pPr>
        <w:ind w:left="6" w:right="200" w:hanging="6"/>
        <w:spacing w:after="0" w:line="241" w:lineRule="auto"/>
        <w:tabs>
          <w:tab w:leader="none" w:pos="96" w:val="left"/>
        </w:tabs>
        <w:numPr>
          <w:ilvl w:val="0"/>
          <w:numId w:val="10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You must show your individual name on line 1, and enter your business or DBA name, if any, on line 2. You may use either your SSN or EIN (if you have one), but the IRS encourages you to use your SSN.</w:t>
      </w:r>
    </w:p>
    <w:p>
      <w:pPr>
        <w:spacing w:after="0" w:line="1" w:lineRule="exact"/>
        <w:rPr>
          <w:sz w:val="20"/>
          <w:szCs w:val="20"/>
          <w:color w:val="auto"/>
        </w:rPr>
      </w:pPr>
    </w:p>
    <w:p>
      <w:pPr>
        <w:ind w:left="6" w:right="40" w:hanging="6"/>
        <w:spacing w:after="0" w:line="241" w:lineRule="auto"/>
        <w:tabs>
          <w:tab w:leader="none" w:pos="96" w:val="left"/>
        </w:tabs>
        <w:numPr>
          <w:ilvl w:val="0"/>
          <w:numId w:val="10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List first and circle the name of the trust, estate, or pension trust. (Do not furnish the TIN of the personal representative or trustee unless the legal entity itself is not designated in the account title.)</w:t>
      </w:r>
    </w:p>
    <w:p>
      <w:pPr>
        <w:ind w:left="6"/>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4"/>
          <w:szCs w:val="14"/>
          <w:color w:val="auto"/>
        </w:rPr>
        <w:t xml:space="preserve"> The grantor must also provide a Form W-9 to the trustee of the trust.</w:t>
      </w:r>
    </w:p>
    <w:p>
      <w:pPr>
        <w:spacing w:after="0" w:line="15" w:lineRule="exact"/>
        <w:rPr>
          <w:sz w:val="20"/>
          <w:szCs w:val="20"/>
          <w:color w:val="auto"/>
        </w:rPr>
      </w:pPr>
    </w:p>
    <w:p>
      <w:pPr>
        <w:ind w:left="6" w:right="40" w:hanging="6"/>
        <w:spacing w:after="0" w:line="250" w:lineRule="auto"/>
        <w:tabs>
          <w:tab w:leader="none" w:pos="186"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on optional filing methods for grantor trusts, see the Instructions for Form 1041.</w:t>
      </w:r>
    </w:p>
    <w:p>
      <w:pPr>
        <w:spacing w:after="0" w:line="1" w:lineRule="exact"/>
        <w:rPr>
          <w:sz w:val="20"/>
          <w:szCs w:val="20"/>
          <w:color w:val="auto"/>
        </w:rPr>
      </w:pPr>
    </w:p>
    <w:p>
      <w:pPr>
        <w:ind w:left="6" w:right="660"/>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If no name is circled when more than one name is listed, the number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considered to be that of the first name listed.</w:t>
      </w:r>
    </w:p>
    <w:p>
      <w:pPr>
        <w:sectPr>
          <w:pgSz w:w="11900" w:h="16838" w:orient="portrait"/>
          <w:cols w:equalWidth="0" w:num="2">
            <w:col w:w="5280" w:space="334"/>
            <w:col w:w="5406"/>
          </w:cols>
          <w:pgMar w:left="440" w:top="25" w:right="439" w:bottom="1440" w:gutter="0" w:footer="0" w:header="0"/>
          <w:type w:val="continuous"/>
        </w:sectPr>
      </w:pPr>
    </w:p>
    <w:bookmarkStart w:id="93" w:name="page94"/>
    <w:bookmarkEnd w:id="93"/>
    <w:p>
      <w:pPr>
        <w:ind w:left="4"/>
        <w:spacing w:after="0"/>
        <w:tabs>
          <w:tab w:leader="none" w:pos="10624" w:val="left"/>
        </w:tabs>
        <w:rPr>
          <w:sz w:val="20"/>
          <w:szCs w:val="20"/>
          <w:color w:val="auto"/>
        </w:rPr>
      </w:pPr>
      <w:r>
        <w:rPr>
          <w:rFonts w:ascii="Times New Roman" w:cs="Times New Roman" w:eastAsia="Times New Roman" w:hAnsi="Times New Roman"/>
          <w:sz w:val="13"/>
          <w:szCs w:val="13"/>
          <w:color w:val="auto"/>
        </w:rPr>
        <w:t>Form W-9 (Rev. 3-2024)</w:t>
      </w:r>
      <w:r>
        <w:rPr>
          <w:sz w:val="20"/>
          <w:szCs w:val="20"/>
          <w:color w:val="auto"/>
        </w:rPr>
        <w:tab/>
      </w:r>
      <w:r>
        <w:rPr>
          <w:rFonts w:ascii="Times New Roman" w:cs="Times New Roman" w:eastAsia="Times New Roman" w:hAnsi="Times New Roman"/>
          <w:sz w:val="19"/>
          <w:szCs w:val="19"/>
          <w:color w:val="auto"/>
          <w:vertAlign w:val="subscript"/>
        </w:rPr>
        <w:t xml:space="preserve">Page </w:t>
      </w:r>
      <w:r>
        <w:rPr>
          <w:rFonts w:ascii="Times New Roman" w:cs="Times New Roman" w:eastAsia="Times New Roman" w:hAnsi="Times New Roman"/>
          <w:sz w:val="26"/>
          <w:szCs w:val="26"/>
          <w:b w:val="1"/>
          <w:bCs w:val="1"/>
          <w:color w:val="auto"/>
          <w:vertAlign w:val="sub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-116840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5" w:right="4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Secure Your Tax Records From Identity Theft</w:t>
      </w:r>
    </w:p>
    <w:p>
      <w:pPr>
        <w:spacing w:after="0" w:line="39" w:lineRule="exact"/>
        <w:rPr>
          <w:sz w:val="20"/>
          <w:szCs w:val="20"/>
          <w:color w:val="auto"/>
        </w:rPr>
      </w:pPr>
    </w:p>
    <w:p>
      <w:pPr>
        <w:ind w:left="4" w:right="80"/>
        <w:spacing w:after="0" w:line="236" w:lineRule="auto"/>
        <w:rPr>
          <w:sz w:val="20"/>
          <w:szCs w:val="20"/>
          <w:color w:val="auto"/>
        </w:rPr>
      </w:pPr>
      <w:r>
        <w:rPr>
          <w:rFonts w:ascii="Times New Roman" w:cs="Times New Roman" w:eastAsia="Times New Roman" w:hAnsi="Times New Roman"/>
          <w:sz w:val="14"/>
          <w:szCs w:val="14"/>
          <w:color w:val="auto"/>
        </w:rPr>
        <w:t>Identity theft occurs when someone uses your personal information, such as your name, SSN, or other identifying information, without your permission to commit fraud or other crimes. An identity thief may use your SSN to get a job or may file a tax return using your SSN to receive a refund.</w:t>
      </w:r>
    </w:p>
    <w:p>
      <w:pPr>
        <w:spacing w:after="0" w:line="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To reduce your risk:</w:t>
      </w:r>
    </w:p>
    <w:p>
      <w:pPr>
        <w:spacing w:after="0" w:line="15" w:lineRule="exact"/>
        <w:rPr>
          <w:sz w:val="20"/>
          <w:szCs w:val="20"/>
          <w:color w:val="auto"/>
        </w:rPr>
      </w:pPr>
    </w:p>
    <w:p>
      <w:pPr>
        <w:ind w:left="84" w:hanging="84"/>
        <w:spacing w:after="0"/>
        <w:tabs>
          <w:tab w:leader="none" w:pos="84"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 your SSN,</w:t>
      </w:r>
    </w:p>
    <w:p>
      <w:pPr>
        <w:spacing w:after="0" w:line="28"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your employer is protecting your SSN, and</w:t>
      </w:r>
    </w:p>
    <w:p>
      <w:pPr>
        <w:spacing w:after="0" w:line="27" w:lineRule="exact"/>
        <w:rPr>
          <w:rFonts w:ascii="Times New Roman" w:cs="Times New Roman" w:eastAsia="Times New Roman" w:hAnsi="Times New Roman"/>
          <w:sz w:val="14"/>
          <w:szCs w:val="14"/>
          <w:color w:val="auto"/>
        </w:rPr>
      </w:pPr>
    </w:p>
    <w:p>
      <w:pPr>
        <w:ind w:left="84" w:hanging="84"/>
        <w:spacing w:after="0"/>
        <w:tabs>
          <w:tab w:leader="none" w:pos="84"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careful when choosing a tax return preparer.</w:t>
      </w:r>
    </w:p>
    <w:p>
      <w:pPr>
        <w:spacing w:after="0" w:line="15" w:lineRule="exact"/>
        <w:rPr>
          <w:sz w:val="20"/>
          <w:szCs w:val="20"/>
          <w:color w:val="auto"/>
        </w:rPr>
      </w:pPr>
    </w:p>
    <w:p>
      <w:pPr>
        <w:ind w:left="4" w:right="200" w:firstLine="106"/>
        <w:spacing w:after="0" w:line="251" w:lineRule="auto"/>
        <w:rPr>
          <w:sz w:val="20"/>
          <w:szCs w:val="20"/>
          <w:color w:val="auto"/>
        </w:rPr>
      </w:pPr>
      <w:r>
        <w:rPr>
          <w:rFonts w:ascii="Times New Roman" w:cs="Times New Roman" w:eastAsia="Times New Roman" w:hAnsi="Times New Roman"/>
          <w:sz w:val="14"/>
          <w:szCs w:val="14"/>
          <w:color w:val="auto"/>
        </w:rPr>
        <w:t>If your tax records are affected by identity theft and you receive a notice from the IRS, respond right away to the name and phone number printed on the IRS notice or letter.</w:t>
      </w:r>
    </w:p>
    <w:p>
      <w:pPr>
        <w:spacing w:after="0" w:line="1" w:lineRule="exact"/>
        <w:rPr>
          <w:sz w:val="20"/>
          <w:szCs w:val="20"/>
          <w:color w:val="auto"/>
        </w:rPr>
      </w:pPr>
    </w:p>
    <w:p>
      <w:pPr>
        <w:ind w:left="4" w:right="20" w:firstLine="106"/>
        <w:spacing w:after="0"/>
        <w:rPr>
          <w:sz w:val="20"/>
          <w:szCs w:val="20"/>
          <w:color w:val="auto"/>
        </w:rPr>
      </w:pPr>
      <w:r>
        <w:rPr>
          <w:rFonts w:ascii="Times New Roman" w:cs="Times New Roman" w:eastAsia="Times New Roman" w:hAnsi="Times New Roman"/>
          <w:sz w:val="14"/>
          <w:szCs w:val="14"/>
          <w:color w:val="auto"/>
        </w:rPr>
        <w:t>If your tax records are not currently affected by identity theft but you think you are at risk due to a lost or stolen purse or wallet, questionable credit card activity, or a questionable credit report, contact the IRS Identity Theft Hotline at 800-908-4490 or submit Form 14039.</w:t>
      </w:r>
    </w:p>
    <w:p>
      <w:pPr>
        <w:spacing w:after="0" w:line="151" w:lineRule="exact"/>
        <w:rPr>
          <w:sz w:val="20"/>
          <w:szCs w:val="20"/>
          <w:color w:val="auto"/>
        </w:rPr>
      </w:pPr>
    </w:p>
    <w:p>
      <w:pPr>
        <w:ind w:left="104"/>
        <w:spacing w:after="0"/>
        <w:rPr>
          <w:sz w:val="20"/>
          <w:szCs w:val="20"/>
          <w:color w:val="auto"/>
        </w:rPr>
      </w:pPr>
      <w:r>
        <w:rPr>
          <w:rFonts w:ascii="Times New Roman" w:cs="Times New Roman" w:eastAsia="Times New Roman" w:hAnsi="Times New Roman"/>
          <w:sz w:val="14"/>
          <w:szCs w:val="14"/>
          <w:color w:val="auto"/>
        </w:rPr>
        <w:t>For more information, see Pub. 5027, Identity Theft Information for Taxpayers.</w:t>
      </w:r>
    </w:p>
    <w:p>
      <w:pPr>
        <w:spacing w:after="0" w:line="15" w:lineRule="exact"/>
        <w:rPr>
          <w:sz w:val="20"/>
          <w:szCs w:val="20"/>
          <w:color w:val="auto"/>
        </w:rPr>
      </w:pPr>
    </w:p>
    <w:p>
      <w:pPr>
        <w:ind w:left="4" w:right="100" w:firstLine="106"/>
        <w:spacing w:after="0" w:line="233" w:lineRule="auto"/>
        <w:rPr>
          <w:sz w:val="20"/>
          <w:szCs w:val="20"/>
          <w:color w:val="auto"/>
        </w:rPr>
      </w:pPr>
      <w:r>
        <w:rPr>
          <w:rFonts w:ascii="Times New Roman" w:cs="Times New Roman" w:eastAsia="Times New Roman" w:hAnsi="Times New Roman"/>
          <w:sz w:val="14"/>
          <w:szCs w:val="14"/>
          <w:color w:val="auto"/>
        </w:rPr>
        <w:t>Victims of identity theft who are experiencing economic harm or a systemic problem, or are seeking help in resolving tax problems that have not been resolved through normal channels, may be eligible for Taxpayer Advocate Service (TAS) assistance. You can reach TAS by calling the TAS toll-free case intake line at 877-777-4778 or TTY/TDD 800-829-4059.</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Protect yourself from suspicious emails or phishing schemes.</w:t>
      </w:r>
    </w:p>
    <w:p>
      <w:pPr>
        <w:spacing w:after="0" w:line="4" w:lineRule="exact"/>
        <w:rPr>
          <w:sz w:val="20"/>
          <w:szCs w:val="20"/>
          <w:color w:val="auto"/>
        </w:rPr>
      </w:pPr>
    </w:p>
    <w:p>
      <w:pPr>
        <w:ind w:left="4" w:right="180"/>
        <w:spacing w:after="0" w:line="230" w:lineRule="auto"/>
        <w:rPr>
          <w:sz w:val="20"/>
          <w:szCs w:val="20"/>
          <w:color w:val="auto"/>
        </w:rPr>
      </w:pPr>
      <w:r>
        <w:rPr>
          <w:rFonts w:ascii="Times New Roman" w:cs="Times New Roman" w:eastAsia="Times New Roman" w:hAnsi="Times New Roman"/>
          <w:sz w:val="14"/>
          <w:szCs w:val="14"/>
          <w:color w:val="auto"/>
        </w:rPr>
        <w:t>Phishing is the creation 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w:t>
      </w:r>
    </w:p>
    <w:p>
      <w:pPr>
        <w:spacing w:after="0" w:line="1" w:lineRule="exact"/>
        <w:rPr>
          <w:sz w:val="20"/>
          <w:szCs w:val="20"/>
          <w:color w:val="auto"/>
        </w:rPr>
      </w:pPr>
    </w:p>
    <w:p>
      <w:pPr>
        <w:ind w:left="4" w:firstLine="106"/>
        <w:spacing w:after="0" w:line="231" w:lineRule="auto"/>
        <w:rPr>
          <w:sz w:val="20"/>
          <w:szCs w:val="20"/>
          <w:color w:val="auto"/>
        </w:rPr>
      </w:pPr>
      <w:r>
        <w:rPr>
          <w:rFonts w:ascii="Times New Roman" w:cs="Times New Roman" w:eastAsia="Times New Roman" w:hAnsi="Times New Roman"/>
          <w:sz w:val="14"/>
          <w:szCs w:val="14"/>
          <w:color w:val="auto"/>
        </w:rPr>
        <w:t>The IRS does not initiate contacts with taxpayers via emails. Also, the IRS does not request personal detailed information through email or ask taxpayers for the PIN numbers, passwords, or similar secret access information for their credit card, bank, or other financial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right="40" w:firstLine="108"/>
        <w:spacing w:after="0" w:line="229" w:lineRule="auto"/>
        <w:rPr>
          <w:sz w:val="20"/>
          <w:szCs w:val="20"/>
          <w:color w:val="auto"/>
        </w:rPr>
      </w:pPr>
      <w:r>
        <w:rPr>
          <w:rFonts w:ascii="Times New Roman" w:cs="Times New Roman" w:eastAsia="Times New Roman" w:hAnsi="Times New Roman"/>
          <w:sz w:val="14"/>
          <w:szCs w:val="14"/>
          <w:color w:val="auto"/>
        </w:rPr>
        <w:t xml:space="preserve">If you receive an unsolicited email claiming to be from the IRS, forward this message to </w:t>
      </w:r>
      <w:r>
        <w:rPr>
          <w:rFonts w:ascii="Times New Roman" w:cs="Times New Roman" w:eastAsia="Times New Roman" w:hAnsi="Times New Roman"/>
          <w:sz w:val="14"/>
          <w:szCs w:val="14"/>
          <w:i w:val="1"/>
          <w:iCs w:val="1"/>
          <w:color w:val="auto"/>
        </w:rPr>
        <w:t>phishing@irs.gov</w:t>
      </w:r>
      <w:r>
        <w:rPr>
          <w:rFonts w:ascii="Times New Roman" w:cs="Times New Roman" w:eastAsia="Times New Roman" w:hAnsi="Times New Roman"/>
          <w:sz w:val="14"/>
          <w:szCs w:val="14"/>
          <w:color w:val="auto"/>
        </w:rPr>
        <w:t>. You may also report misuse of the IRS name, logo, or other IRS property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to the Treasury Inspector General for Tax Administration (TIGTA) at 800-366-4484. You can forward suspicious emails to the Federal Trade Commission at </w:t>
      </w:r>
      <w:r>
        <w:rPr>
          <w:rFonts w:ascii="Times New Roman" w:cs="Times New Roman" w:eastAsia="Times New Roman" w:hAnsi="Times New Roman"/>
          <w:sz w:val="14"/>
          <w:szCs w:val="14"/>
          <w:i w:val="1"/>
          <w:iCs w:val="1"/>
          <w:color w:val="auto"/>
        </w:rPr>
        <w:t>spam@uce.gov</w:t>
      </w:r>
      <w:r>
        <w:rPr>
          <w:rFonts w:ascii="Times New Roman" w:cs="Times New Roman" w:eastAsia="Times New Roman" w:hAnsi="Times New Roman"/>
          <w:sz w:val="14"/>
          <w:szCs w:val="14"/>
          <w:color w:val="auto"/>
        </w:rPr>
        <w:t xml:space="preserve"> or report them at </w:t>
      </w:r>
      <w:r>
        <w:rPr>
          <w:rFonts w:ascii="Times New Roman" w:cs="Times New Roman" w:eastAsia="Times New Roman" w:hAnsi="Times New Roman"/>
          <w:sz w:val="14"/>
          <w:szCs w:val="14"/>
          <w:i w:val="1"/>
          <w:iCs w:val="1"/>
          <w:color w:val="auto"/>
        </w:rPr>
        <w:t>www.ftc.gov/complaint</w:t>
      </w:r>
      <w:r>
        <w:rPr>
          <w:rFonts w:ascii="Times New Roman" w:cs="Times New Roman" w:eastAsia="Times New Roman" w:hAnsi="Times New Roman"/>
          <w:sz w:val="14"/>
          <w:szCs w:val="14"/>
          <w:color w:val="auto"/>
        </w:rPr>
        <w:t xml:space="preserve">. You can contact the FTC at </w:t>
      </w:r>
      <w:r>
        <w:rPr>
          <w:rFonts w:ascii="Times New Roman" w:cs="Times New Roman" w:eastAsia="Times New Roman" w:hAnsi="Times New Roman"/>
          <w:sz w:val="14"/>
          <w:szCs w:val="14"/>
          <w:i w:val="1"/>
          <w:iCs w:val="1"/>
          <w:color w:val="auto"/>
        </w:rPr>
        <w:t>www.ftc.gov/idtheft</w:t>
      </w:r>
      <w:r>
        <w:rPr>
          <w:rFonts w:ascii="Times New Roman" w:cs="Times New Roman" w:eastAsia="Times New Roman" w:hAnsi="Times New Roman"/>
          <w:sz w:val="14"/>
          <w:szCs w:val="14"/>
          <w:color w:val="auto"/>
        </w:rPr>
        <w:t xml:space="preserve"> or 877-IDTHEFT (877-438-4338). If you have been the victim of identity theft, see </w:t>
      </w:r>
      <w:r>
        <w:rPr>
          <w:rFonts w:ascii="Times New Roman" w:cs="Times New Roman" w:eastAsia="Times New Roman" w:hAnsi="Times New Roman"/>
          <w:sz w:val="14"/>
          <w:szCs w:val="14"/>
          <w:i w:val="1"/>
          <w:iCs w:val="1"/>
          <w:color w:val="auto"/>
        </w:rPr>
        <w:t>www.IdentityTheft.gov</w:t>
      </w:r>
      <w:r>
        <w:rPr>
          <w:rFonts w:ascii="Times New Roman" w:cs="Times New Roman" w:eastAsia="Times New Roman" w:hAnsi="Times New Roman"/>
          <w:sz w:val="14"/>
          <w:szCs w:val="14"/>
          <w:color w:val="auto"/>
        </w:rPr>
        <w:t xml:space="preserve"> and Pub. 5027.</w:t>
      </w:r>
    </w:p>
    <w:p>
      <w:pPr>
        <w:spacing w:after="0" w:line="4" w:lineRule="exact"/>
        <w:rPr>
          <w:sz w:val="20"/>
          <w:szCs w:val="20"/>
          <w:color w:val="auto"/>
        </w:rPr>
      </w:pPr>
    </w:p>
    <w:p>
      <w:pPr>
        <w:ind w:right="120" w:firstLine="108"/>
        <w:spacing w:after="0" w:line="263" w:lineRule="auto"/>
        <w:rPr>
          <w:sz w:val="20"/>
          <w:szCs w:val="20"/>
          <w:color w:val="auto"/>
        </w:rPr>
      </w:pPr>
      <w:r>
        <w:rPr>
          <w:rFonts w:ascii="Times New Roman" w:cs="Times New Roman" w:eastAsia="Times New Roman" w:hAnsi="Times New Roman"/>
          <w:sz w:val="14"/>
          <w:szCs w:val="14"/>
          <w:color w:val="auto"/>
        </w:rPr>
        <w:t xml:space="preserve">Go to </w:t>
      </w:r>
      <w:r>
        <w:rPr>
          <w:rFonts w:ascii="Times New Roman" w:cs="Times New Roman" w:eastAsia="Times New Roman" w:hAnsi="Times New Roman"/>
          <w:sz w:val="14"/>
          <w:szCs w:val="14"/>
          <w:i w:val="1"/>
          <w:iCs w:val="1"/>
          <w:color w:val="auto"/>
        </w:rPr>
        <w:t>www.irs.gov/IdentityTheft</w:t>
      </w:r>
      <w:r>
        <w:rPr>
          <w:rFonts w:ascii="Times New Roman" w:cs="Times New Roman" w:eastAsia="Times New Roman" w:hAnsi="Times New Roman"/>
          <w:sz w:val="14"/>
          <w:szCs w:val="14"/>
          <w:color w:val="auto"/>
        </w:rPr>
        <w:t xml:space="preserve"> to learn more about identity theft and how to reduce your risk.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 Act Notice</w:t>
      </w:r>
    </w:p>
    <w:p>
      <w:pPr>
        <w:spacing w:after="0" w:line="33"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4"/>
          <w:szCs w:val="14"/>
          <w:color w:val="auto"/>
        </w:rPr>
        <w:t>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territories for use in administering their laws. The information may also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payors must generally withhold a percentage of taxable interest, dividends, and certain other payments to a payee who does not give a TIN to the payor. Certain penalties may also apply for providing false or fraudulent information.</w:t>
      </w:r>
    </w:p>
    <w:p>
      <w:pPr>
        <w:sectPr>
          <w:pgSz w:w="11900" w:h="16838" w:orient="portrait"/>
          <w:cols w:equalWidth="0" w:num="2">
            <w:col w:w="5284" w:space="340"/>
            <w:col w:w="5400"/>
          </w:cols>
          <w:pgMar w:left="436" w:top="25" w:right="439" w:bottom="1440" w:gutter="0" w:footer="0" w:header="0"/>
          <w:type w:val="continuous"/>
        </w:sectPr>
      </w:pPr>
    </w:p>
    <w:bookmarkStart w:id="94" w:name="page95"/>
    <w:bookmarkEnd w:id="94"/>
    <w:tbl>
      <w:tblPr>
        <w:tblLayout w:type="fixed"/>
        <w:tblInd w:w="1260" w:type="dxa"/>
        <w:tblCellMar>
          <w:top w:w="0" w:type="dxa"/>
          <w:left w:w="0" w:type="dxa"/>
          <w:bottom w:w="0" w:type="dxa"/>
          <w:right w:w="0" w:type="dxa"/>
        </w:tblCellMar>
      </w:tblPr>
      <w:tr>
        <w:trPr>
          <w:trHeight w:val="236"/>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220" w:type="dxa"/>
            <w:vAlign w:val="bottom"/>
            <w:gridSpan w:val="5"/>
          </w:tcPr>
          <w:p>
            <w:pPr>
              <w:ind w:left="160"/>
              <w:spacing w:after="0"/>
              <w:rPr>
                <w:sz w:val="20"/>
                <w:szCs w:val="20"/>
                <w:color w:val="auto"/>
              </w:rPr>
            </w:pPr>
            <w:r>
              <w:rPr>
                <w:rFonts w:ascii="Times New Roman" w:cs="Times New Roman" w:eastAsia="Times New Roman" w:hAnsi="Times New Roman"/>
                <w:sz w:val="18"/>
                <w:szCs w:val="18"/>
                <w:i w:val="1"/>
                <w:iCs w:val="1"/>
                <w:color w:val="auto"/>
              </w:rPr>
              <w:t>The Depositary for the Offer to Purchase is:</w:t>
            </w:r>
          </w:p>
        </w:tc>
      </w:tr>
      <w:tr>
        <w:trPr>
          <w:trHeight w:val="418"/>
        </w:trPr>
        <w:tc>
          <w:tcPr>
            <w:tcW w:w="200" w:type="dxa"/>
            <w:vAlign w:val="bottom"/>
          </w:tcPr>
          <w:p>
            <w:pPr>
              <w:spacing w:after="0"/>
              <w:rPr>
                <w:sz w:val="24"/>
                <w:szCs w:val="24"/>
                <w:color w:val="auto"/>
              </w:rPr>
            </w:pPr>
          </w:p>
        </w:tc>
        <w:tc>
          <w:tcPr>
            <w:tcW w:w="4160" w:type="dxa"/>
            <w:vAlign w:val="bottom"/>
            <w:gridSpan w:val="4"/>
          </w:tcPr>
          <w:p>
            <w:pPr>
              <w:jc w:val="center"/>
              <w:ind w:right="1460"/>
              <w:spacing w:after="0"/>
              <w:rPr>
                <w:sz w:val="20"/>
                <w:szCs w:val="20"/>
                <w:color w:val="auto"/>
              </w:rPr>
            </w:pPr>
            <w:r>
              <w:rPr>
                <w:rFonts w:ascii="Times New Roman" w:cs="Times New Roman" w:eastAsia="Times New Roman" w:hAnsi="Times New Roman"/>
                <w:sz w:val="18"/>
                <w:szCs w:val="18"/>
                <w:color w:val="auto"/>
                <w:w w:val="99"/>
              </w:rPr>
              <w:t>If delivering by express mail, courier,</w:t>
            </w:r>
          </w:p>
        </w:tc>
        <w:tc>
          <w:tcPr>
            <w:tcW w:w="2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2"/>
          </w:tcPr>
          <w:p>
            <w:pPr>
              <w:jc w:val="center"/>
              <w:ind w:right="310"/>
              <w:spacing w:after="0" w:line="182" w:lineRule="exact"/>
              <w:rPr>
                <w:sz w:val="20"/>
                <w:szCs w:val="20"/>
                <w:color w:val="auto"/>
              </w:rPr>
            </w:pPr>
            <w:r>
              <w:rPr>
                <w:rFonts w:ascii="Times New Roman" w:cs="Times New Roman" w:eastAsia="Times New Roman" w:hAnsi="Times New Roman"/>
                <w:sz w:val="18"/>
                <w:szCs w:val="18"/>
                <w:color w:val="auto"/>
                <w:w w:val="99"/>
              </w:rPr>
              <w:t>or other expedited service:</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By mail:</w:t>
            </w:r>
          </w:p>
        </w:tc>
        <w:tc>
          <w:tcPr>
            <w:tcW w:w="1240" w:type="dxa"/>
            <w:vAlign w:val="bottom"/>
          </w:tcPr>
          <w:p>
            <w:pPr>
              <w:spacing w:after="0"/>
              <w:rPr>
                <w:sz w:val="17"/>
                <w:szCs w:val="17"/>
                <w:color w:val="auto"/>
              </w:rPr>
            </w:pPr>
          </w:p>
        </w:tc>
      </w:tr>
      <w:tr>
        <w:trPr>
          <w:trHeight w:val="333"/>
        </w:trPr>
        <w:tc>
          <w:tcPr>
            <w:tcW w:w="200" w:type="dxa"/>
            <w:vAlign w:val="bottom"/>
          </w:tcPr>
          <w:p>
            <w:pPr>
              <w:spacing w:after="0"/>
              <w:rPr>
                <w:sz w:val="24"/>
                <w:szCs w:val="24"/>
                <w:color w:val="auto"/>
              </w:rPr>
            </w:pPr>
          </w:p>
        </w:tc>
        <w:tc>
          <w:tcPr>
            <w:tcW w:w="416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color w:val="auto"/>
                <w:w w:val="99"/>
              </w:rPr>
              <w:t>Suite # 101</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rPr>
              <w:t>Attn: Onbase - Reorganization Department</w:t>
            </w:r>
          </w:p>
        </w:tc>
      </w:tr>
      <w:tr>
        <w:trPr>
          <w:trHeight w:val="216"/>
        </w:trPr>
        <w:tc>
          <w:tcPr>
            <w:tcW w:w="200" w:type="dxa"/>
            <w:vAlign w:val="bottom"/>
          </w:tcPr>
          <w:p>
            <w:pPr>
              <w:spacing w:after="0"/>
              <w:rPr>
                <w:sz w:val="18"/>
                <w:szCs w:val="18"/>
                <w:color w:val="auto"/>
              </w:rPr>
            </w:pPr>
          </w:p>
        </w:tc>
        <w:tc>
          <w:tcPr>
            <w:tcW w:w="4160" w:type="dxa"/>
            <w:vAlign w:val="bottom"/>
            <w:gridSpan w:val="4"/>
          </w:tcPr>
          <w:p>
            <w:pPr>
              <w:jc w:val="center"/>
              <w:ind w:right="144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w w:val="99"/>
              </w:rPr>
              <w:t>1110 Centre Pointe Curve</w:t>
            </w:r>
          </w:p>
        </w:tc>
      </w:tr>
      <w:tr>
        <w:trPr>
          <w:trHeight w:val="216"/>
        </w:trPr>
        <w:tc>
          <w:tcPr>
            <w:tcW w:w="436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color w:val="auto"/>
              </w:rPr>
              <w:t>Attn: Onbase - Reorganization Department</w:t>
            </w:r>
          </w:p>
        </w:tc>
        <w:tc>
          <w:tcPr>
            <w:tcW w:w="436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w w:val="99"/>
              </w:rPr>
              <w:t>Suite # 101</w:t>
            </w:r>
          </w:p>
        </w:tc>
      </w:tr>
      <w:tr>
        <w:trPr>
          <w:trHeight w:val="234"/>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36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w w:val="99"/>
              </w:rPr>
              <w:t>Mendota Heights, MN 55120</w:t>
            </w: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3542665</wp:posOffset>
            </wp:positionH>
            <wp:positionV relativeFrom="page">
              <wp:posOffset>182880</wp:posOffset>
            </wp:positionV>
            <wp:extent cx="462915" cy="4629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jc w:val="center"/>
        <w:ind w:left="540" w:right="460"/>
        <w:spacing w:after="0" w:line="286"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OTHER THAN AS SET FORTH ABOVE WILL NOT CONSTITUTE A VALID DELIVERY TO THE DEPOSITARY.</w:t>
      </w:r>
    </w:p>
    <w:p>
      <w:pPr>
        <w:spacing w:after="0" w:line="159" w:lineRule="exact"/>
        <w:rPr>
          <w:sz w:val="20"/>
          <w:szCs w:val="20"/>
          <w:color w:val="auto"/>
        </w:rPr>
      </w:pPr>
    </w:p>
    <w:p>
      <w:pPr>
        <w:jc w:val="both"/>
        <w:ind w:firstLine="440"/>
        <w:spacing w:after="0" w:line="289" w:lineRule="auto"/>
        <w:rPr>
          <w:sz w:val="20"/>
          <w:szCs w:val="20"/>
          <w:color w:val="auto"/>
        </w:rPr>
      </w:pPr>
      <w:r>
        <w:rPr>
          <w:rFonts w:ascii="Times New Roman" w:cs="Times New Roman" w:eastAsia="Times New Roman" w:hAnsi="Times New Roman"/>
          <w:sz w:val="17"/>
          <w:szCs w:val="17"/>
          <w:color w:val="auto"/>
        </w:rPr>
        <w:t>Any questions or requests for assistance may be directed to the Information Agent at its telephone number and location listed below. Requests for additional copies of this Offer to Purchase and the Letter of Transmittal may be directed to the Information Agent at its telephone number and location listed below. You may also contact your broker, dealer, commercial bank or trust company or other nominee for assistance concerning the Offer.</w:t>
      </w:r>
    </w:p>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172720</wp:posOffset>
            </wp:positionV>
            <wp:extent cx="1680210" cy="4972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168021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 Penn Plaza</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5420" w:right="4860" w:hanging="478"/>
        <w:spacing w:after="0" w:line="250" w:lineRule="auto"/>
        <w:tabs>
          <w:tab w:leader="none" w:pos="536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929-5500 or</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Call Toll-Free (800) 322-2885</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Email: tenderoffer@mackenziepartners.com</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VOLUNTARY CORPORATE ACTIONS, COY: SLNO</w:t>
      </w:r>
    </w:p>
    <w:p>
      <w:pPr>
        <w:sectPr>
          <w:pgSz w:w="11900" w:h="16838" w:orient="portrait"/>
          <w:cols w:equalWidth="0" w:num="1">
            <w:col w:w="10920"/>
          </w:cols>
          <w:pgMar w:left="440" w:top="1213" w:right="5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(a)(1)(C)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$53.00 per share, payable in cash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April 20,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ONE MINUTE FOLLOWING 11:59 P.M. EASTERN TIME ON MAY 15, 2026, UNLESS THE OFFER IS EXTENDED OR EARLIER TERMINATED.</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April 20,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Brokers, Dealers, Commercial Banks, Trust Companies and Other Nominees:</w:t>
      </w:r>
    </w:p>
    <w:p>
      <w:pPr>
        <w:spacing w:after="0" w:line="11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We have been engaged by Sigma Merger Sub, Inc., a Delaware corporation (which we refer to as “Purchaser”) and a direct wholly owned subsidiary of Neurocrine Biosciences, Inc., a Delaware corporation (which we refer to as “Neurocrine”), to act as information agent (“Information Agent”) in connection with Purchaser’s offer to purchase, subject to certain conditions, including the satisfaction of the Minimum Condition (as defined in the Offer to Purchase), any and all of the outstanding shares of common stock, par value $0.001 per share (which we refer to as the “Shares”), of Soleno Therapeutics, Inc., a Delaware corporation (which we refer to as “Soleno”), in exchange for $53.00 per Share, payable in cash, without interest and subject to reduction for any applicable withholding taxes (which we refer to as the “Offer Price”), upon the terms and subject to the conditions set forth in the Offer to Purchase, dated April 20, 2026 (which we refer to as the “Offer to Purchase”), and the related Letter of Transmittal (which we refer to as the “Letter of Transmittal” and which, together with the Offer to Purchase, each as may be amended or supplemented from time to time, constitutes, and we refer to as, the “Offer”) enclosed herewith. Please furnish copies of the enclosed materials to those of your clients for whom you hold Shares registered in your name or in the name of your nominee.</w:t>
      </w:r>
    </w:p>
    <w:p>
      <w:pPr>
        <w:spacing w:after="0" w:line="29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SOLENO HAS RECOMMENDED THAT STOCKHOLDERS TENDER ALL OF THEIR SHARES TO PURCHASER PURSUANT TO THE OFFER.</w:t>
      </w:r>
    </w:p>
    <w:p>
      <w:pPr>
        <w:spacing w:after="0" w:line="4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Offer is not subject to any financing condition. The conditions to the Offer are described in Section 15 of the Offer to Purchase. Under no circumstances will Neurocrine or Purchaser pay interest on the Offer Price by reason of any extension of the Offer or any delay in making such payment for Shares.</w:t>
      </w:r>
    </w:p>
    <w:p>
      <w:pPr>
        <w:spacing w:after="0" w:line="6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For your information and for forwarding to your clients for whom you hold Shares registered in your name or in the name of your nominee, we are enclosing the following documents:</w:t>
      </w:r>
    </w:p>
    <w:p>
      <w:pPr>
        <w:spacing w:after="0" w:line="67" w:lineRule="exact"/>
        <w:rPr>
          <w:sz w:val="20"/>
          <w:szCs w:val="20"/>
          <w:color w:val="auto"/>
        </w:rPr>
      </w:pPr>
    </w:p>
    <w:p>
      <w:pPr>
        <w:ind w:left="960" w:hanging="532"/>
        <w:spacing w:after="0"/>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w:t>
      </w:r>
    </w:p>
    <w:p>
      <w:pPr>
        <w:spacing w:after="0" w:line="130"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for your use in accepting the Offer and tendering Shares and for the information of your clients, together with the included Internal Revenue Service Form W-9; and</w:t>
      </w:r>
    </w:p>
    <w:p>
      <w:pPr>
        <w:spacing w:after="0" w:line="67"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which may be sent to your clients for whose accounts you hold Shares registered in your name or in the name of your nominee, with space provided for obtaining such clients’ instructions with regard to the Offer.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96" w:name="page97"/>
    <w:bookmarkEnd w:id="96"/>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urge you to contact your clients as promptly as possible. Please note that the Offer and withdrawal rights will expire one minute following 11:59 p.m. Eastern Time on May 15, 2026, unless the Offer is extended or earlier terminated.</w:t>
      </w:r>
    </w:p>
    <w:p>
      <w:pPr>
        <w:spacing w:after="0" w:line="5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April 5, 2026 (as it may be amended, supplemented or otherwise modified from time to time, the “Merger Agreement”), among Soleno, Neurocrine and Purchaser. The Merger Agreement provides, among other things, that as soon as practicable after the consummation of the Offer and subject to the satisfaction or waiver of certain conditions, Purchaser will be merged with and into Soleno (the “Merger”) without a vote of the stockholders of Soleno, with Soleno continuing as the surviving corporation in the Merger and thereby becoming a direct wholly owned subsidiary of Neurocrine.</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Shares to be properly tendered and accepted for purchase pursuant to the Offer, the share certificates or confirmation of receipt of such Shares under the procedure for book-entry transfer, together in the case of book-entry transfer, an Agent’s Message (as defined in Section 2 of the Offer to Purchase) in lieu of such Letter of Transmittal, and any other documents required in the Letter of Transmittal, must be timely received by Equiniti Trust Company, LLC (the “Depositary”).</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set forth in the Offer to Purchase, Purchaser will not pay any fees or commissions to any broker or dealer or other person, other than to us, as the Information Agent, and Equiniti Trust Company, LLC, as the Depositary, for soliciting tenders of Shares pursuant to the Offer. Purchaser will, however, upon request, reimburse brokers, dealers, commercial banks, trust companies and other nominees for customary mailing and handling expenses incurred by them in forwarding the offering material to their customers. Purchaser will pay all stock transfer taxes applicable to its purchase of Shares pursuant to the Offer, subject to Instruction 6 of the Letter of Transmittal.</w:t>
      </w:r>
    </w:p>
    <w:p>
      <w:pPr>
        <w:spacing w:after="0" w:line="183"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Any inquiries you may have with respect to the Offer should be addressed to, and additional copies of the enclosed materials may be obtained from, the undersigned at the address and telephone numbers set forth below.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32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Nothing contained herein or in the enclosed documents shall render you the agent of Neurocrine, Purchaser, the Information Agent or the Depositary or any affiliate of any of them or authorize you or any other person to use any document or make any statement on behalf of any of them in connection with the Offer other than the enclosed documents and the statements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139700</wp:posOffset>
            </wp:positionV>
            <wp:extent cx="1680210" cy="4718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16802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929-5500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 Toll-Free (800) 322-2885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tenderoffer@mackenziepartners.com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$53.00 per share, payable in cash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April 20,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20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ONE MINUTE FOLLOWING 11:59 P.M. EASTERN TIME ON MAY 15, 2026, UNLESS THE OFFER IS EXTENDED OR EARLIER TERMINATED (SUCH DATE AND TIME, AS IT MAY BE EXTENDED, THE “EXPIRATION DATE”).</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April 20,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Clients:</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Enclosed for your consideration are the Offer to Purchase, dated April 20, 2026 (which we refer to as the “Offer to Purchase”), and the related Letter of Transmittal (which we refer to as the “Letter of Transmittal” and which, together with the Offer to Purchase, as each may be amended or supplemented from time to time, constitutes, and we refer to as, the “Offer”) in connection with the offer by Sigma Merger Sub, Inc., a Delaware corporation (which we refer to as “Purchaser”) and a direct wholly owned subsidiary of Neurocrine Biosciences, Inc., a Delaware corporation (which we refer to as “Neurocrine”), to purchase, subject to certain conditions, including the satisfaction of the Minimum Condition (as defined in the Offer to Purchase), any and all of the outstanding shares of common stock, par value $0.001 per share (which we refer to as the “Shares”), of Soleno Therapeutics, Inc., a Delaware corporation (which we refer to as “Soleno”), in exchange for $53.00 per Share, payable in cash, without interest and subject to reduction for any applicable withholding taxes.</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SOLENO HAS RECOMMENDED THAT STOCKHOLDERS TENDER ALL OF THEIR SHARES TO PURCHASER PURSUANT TO THE OFFER.</w:t>
      </w:r>
    </w:p>
    <w:p>
      <w:pPr>
        <w:spacing w:after="0" w:line="5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or our nominees are the holder of record of Shares held for your account. A tender of such Shares can be made only by us as the holder of record and pursuant to your instructions. The Letter of Transmittal accompanying this letter is furnished to you for your information only and cannot be used by you to tender Shares held by us for your account.</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We request instructions as to whether you wish us to tender any or all of the Shares held by us for your account, upon the terms and subject to the conditions set forth in the enclosed Offer to Purchase and the Letter of Transmittal.</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note carefully the following:</w:t>
      </w:r>
    </w:p>
    <w:p>
      <w:pPr>
        <w:spacing w:after="0" w:line="131" w:lineRule="exact"/>
        <w:rPr>
          <w:sz w:val="20"/>
          <w:szCs w:val="20"/>
          <w:color w:val="auto"/>
        </w:rPr>
      </w:pPr>
    </w:p>
    <w:p>
      <w:pPr>
        <w:ind w:left="960" w:hanging="532"/>
        <w:spacing w:after="0"/>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in the Offer is $53.00 per Share, payable in cash.</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w:t>
      </w:r>
    </w:p>
    <w:p>
      <w:pPr>
        <w:spacing w:after="0" w:line="130"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in connection with the Agreement and Plan of Merger, dated as of April 5, 2026, among Soleno, Neurocrine and Purchaser, pursuant to which, after the consummation of the Offer and subject to the satisfaction or waiver of certain conditions, Purchaser will be merged with and into Soleno without a vote of the stockholders of Soleno in accordance with Section 251(h) of the General Corporation Law of the State of Delaware, with Soleno continuing as the surviving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98" w:name="page99"/>
    <w:bookmarkEnd w:id="9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thereby becoming a direct wholly owned subsidiary of Neurocrine.</w:t>
      </w:r>
    </w:p>
    <w:p>
      <w:pPr>
        <w:spacing w:after="0" w:line="131" w:lineRule="exact"/>
        <w:rPr>
          <w:sz w:val="20"/>
          <w:szCs w:val="20"/>
          <w:color w:val="auto"/>
        </w:rPr>
      </w:pPr>
    </w:p>
    <w:p>
      <w:pPr>
        <w:ind w:left="960" w:right="100" w:hanging="532"/>
        <w:spacing w:after="0" w:line="282"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withdrawal rights will expire one minute following 11:59 p.m. Eastern Time on May 15, 2026, unless the Offer is extended by Purchaser or earlier terminated.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subject to any financing condition. The Offer is subject to the conditions described in Section 15 of the Offer to Purchase.</w:t>
      </w:r>
    </w:p>
    <w:p>
      <w:pPr>
        <w:spacing w:after="0" w:line="130" w:lineRule="exact"/>
        <w:rPr>
          <w:rFonts w:ascii="Times New Roman" w:cs="Times New Roman" w:eastAsia="Times New Roman" w:hAnsi="Times New Roman"/>
          <w:sz w:val="18"/>
          <w:szCs w:val="18"/>
          <w:color w:val="auto"/>
        </w:rPr>
      </w:pPr>
    </w:p>
    <w:p>
      <w:pPr>
        <w:jc w:val="both"/>
        <w:ind w:left="960" w:right="60" w:hanging="532"/>
        <w:spacing w:after="0" w:line="266"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stockholders who are record owners of their Shares and who tender directly to Equiniti Trust Company, LLC, the depositary for the Offer, will not be obligated to pay brokerage fees, commissions or similar expenses or, except as otherwise provided in Instruction 6 of the Letter of Transmittal, stock transfer taxes with respect to the purchase of Shares by Purchaser pursuant to the Offer.</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If you wish to have us tender any or all of your Shares, then please so instruct us by completing, executing, detaching and returning to us the Instruction Form on the detachable part hereof. An envelope to return your instructions to us is enclosed. If you authorize tender of your Shares, then all such Shares will be tendered unless otherwise specified on the Instruction Form.</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Your prompt action is requested. Your Instruction Form should be forwarded to us in ample time to permit us to submit the tender on your behalf before the Expiration Date.</w:t>
      </w:r>
    </w:p>
    <w:p>
      <w:pPr>
        <w:spacing w:after="0" w:line="51"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The making of the Offer in jurisdictions other than the United States may be restricted or prohibited by law. We are not currently aware of any jurisdiction where the making of the Offer is restricted or prohibited by law. If we become aware of any such restriction or prohibition on the making of the Offer or the acceptance of the Shares, we will make a good faith effort to comply or seek to have such prohibition or restriction declared inapplicable to the Offer. If, after a good faith effort, we cannot comply, we will not make the Offer to, nor will we accept tenders from or on behalf of, the holders of the Shares in that jurisdiction. If you are in any doubt as to your eligibility to participate in the Offer, you should contact your professional advisor immediately. In those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99" w:name="page100"/>
    <w:bookmarkEnd w:id="9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 FORM</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With Respect to the Offer to Purchase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$53.00 per share, payable in cash</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April 20, 2026</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20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Purchase, dated April 20, 2026 (which we refer to as the “Offer to Purchase”), and the related Letter of Transmittal (which we refer to as the “Letter of Transmittal” and which, together with the Offer to Purchase, as each may be amended or supplemented from time to time, constitutes, and we refer to as, the “Offer”), in connection with the offer by Sigma Merger Sub, Inc., a Delaware corporation (which we refer to as “Purchaser”) and a direct wholly owned subsidiary of Neurocrine Biosciences, Inc., a Delaware corporation, to purchase, subject to certain conditions, including the satisfaction of the Minimum Condition (as defined in the Offer to Purchase), any and all of the outstanding shares of common stock, par value $0.001 per share (which we refer to as the “Shares”), of Soleno Therapeutics, Inc., a Delaware corporation, in exchange for $53.00 per Share, payable in cash, without interest and subject to reduction for any applicable withholding taxes.</w:t>
      </w:r>
    </w:p>
    <w:p>
      <w:pPr>
        <w:spacing w:after="0" w:line="189"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undersigned hereby instruct(s) you to tender to Purchaser the number of Shares indicated below or, if no number is indicated, all Shares held by you for the account of the undersigned, upon the terms and subject to the conditions set forth in the Offer. The undersigned understand(s) and acknowledge(s) that all questions as to validity, form and eligibility of the surrender of any certificate representing Shares submitted on the undersigned’s behalf will be determined by Purchaser and such determination shall be final and binding.</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NUMBER OF SHARES BEING TENDERED HEREBY: _____ SHARES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both"/>
        <w:ind w:left="4"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method of delivery of this document is at the election and risk of the tendering stockholder. If delivery is by mail, then registered mail with return receipt requested, properly insured, is recommended. In all cases, sufficient time should be allowed to ensure timely delivery prior to the Expiration Date (as defined in the Offer to Purchase).</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17145</wp:posOffset>
            </wp:positionV>
            <wp:extent cx="32829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-7620</wp:posOffset>
            </wp:positionV>
            <wp:extent cx="20567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2056765" cy="8890"/>
                    </a:xfrm>
                    <a:prstGeom prst="rect">
                      <a:avLst/>
                    </a:prstGeom>
                    <a:noFill/>
                  </pic:spPr>
                </pic:pic>
              </a:graphicData>
            </a:graphic>
          </wp:anchor>
        </w:drawing>
      </w:r>
    </w:p>
    <w:p>
      <w:pPr>
        <w:spacing w:after="0" w:line="12"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294005</wp:posOffset>
            </wp:positionV>
            <wp:extent cx="32829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b w:val="1"/>
          <w:bCs w:val="1"/>
          <w:color w:val="auto"/>
        </w:rPr>
        <w:t>Please Print Name(s)</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17145</wp:posOffset>
            </wp:positionV>
            <wp:extent cx="64293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124" w:lineRule="exact"/>
        <w:rPr>
          <w:sz w:val="20"/>
          <w:szCs w:val="20"/>
          <w:color w:val="auto"/>
        </w:rPr>
      </w:pPr>
    </w:p>
    <w:p>
      <w:pPr>
        <w:ind w:left="4524"/>
        <w:spacing w:after="0"/>
        <w:rPr>
          <w:sz w:val="20"/>
          <w:szCs w:val="20"/>
          <w:color w:val="auto"/>
        </w:rPr>
      </w:pPr>
      <w:r>
        <w:rPr>
          <w:rFonts w:ascii="Times New Roman" w:cs="Times New Roman" w:eastAsia="Times New Roman" w:hAnsi="Times New Roman"/>
          <w:sz w:val="18"/>
          <w:szCs w:val="18"/>
          <w:color w:val="auto"/>
        </w:rPr>
        <w:t>(Include Zip Code)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5715</wp:posOffset>
            </wp:positionV>
            <wp:extent cx="51689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pacing w:after="0" w:line="1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Tax Identification or 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17145</wp:posOffset>
            </wp:positionV>
            <wp:extent cx="44748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246" w:lineRule="exact"/>
        <w:rPr>
          <w:sz w:val="20"/>
          <w:szCs w:val="20"/>
          <w:color w:val="auto"/>
        </w:rPr>
      </w:pPr>
    </w:p>
    <w:p>
      <w:pPr>
        <w:ind w:left="5464" w:right="3000" w:hanging="5464"/>
        <w:spacing w:after="0" w:line="454" w:lineRule="auto"/>
        <w:tabs>
          <w:tab w:leader="none" w:pos="21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it will be assumed that all Shares held by us for your account are to be tendered. 3</w:t>
      </w:r>
    </w:p>
    <w:p>
      <w:pPr>
        <w:sectPr>
          <w:pgSz w:w="11900" w:h="16838" w:orient="portrait"/>
          <w:cols w:equalWidth="0" w:num="1">
            <w:col w:w="11004"/>
          </w:cols>
          <w:pgMar w:left="436" w:top="266" w:right="459" w:bottom="1440" w:gutter="0" w:footer="0" w:header="0"/>
        </w:sectPr>
      </w:pPr>
    </w:p>
    <w:bookmarkStart w:id="100" w:name="page101"/>
    <w:bookmarkEnd w:id="100"/>
    <w:p>
      <w:pPr>
        <w:ind w:left="9740"/>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227"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This announcement is neither an offer to purchase nor a solicitation of an offer to sell Shares (as defined below), and the provisions herein are subject in their entirety to the provisions of the Offer (as defined below). The Offer is made solely pursuant to the Offer to Purchase, dated April 20, 2026, and the related Letter of Transmittal (as defined below) and any amendments or supplements thereto, and is being made to all holders of Shares. The making of the Offer in jurisdictions other than the United States may be restricted or prohibited by law. We are not currently aware of any jurisdiction where the making of the Offer is restricted or prohibited by law. If we become aware of any such restriction or prohibition on the making of the Offer or the acceptance of the Shares, we will make a good faith effort to comply or seek to have such prohibition or restriction declared inapplicable to the Offer. If, after a good faith effort, we cannot comply, we will not make the Offer to, nor will we accept tenders from or on behalf of, the holders of the Shares in that jurisdiction. If you are in any doubt as to your eligibility to participate in the Offer, you should contact your professional advisor immediately. In those jurisdictions where applicable laws require the Offer to be made by a licensed broker or dealer, the Offer shall be deemed to be made on behalf of Purchaser (as defined below) by one or more registered brokers or dealers licensed under the laws of such jurisdiction to be designated by Purchaser.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$53.00 per share, payable in cash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April 20,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SIGMA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direct wholly owned subsidiary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NEUROCRINE BIOSCIENCES, INC.</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Sigma Merger Sub, Inc., a Delaware corporation (“Purchaser”) and a direct wholly owned subsidiary of Neurocrine Biosciences, Inc., a Delaware corporation (“Neurocrine”), is offering to purchase, subject to certain conditions, including the satisfaction of the Minimum Condition, as described below, any and all of the outstanding shares of common stock, par value $0.001 per share (the “Shares”), of Soleno Therapeutics, Inc., a Delaware corporation (“Soleno”), in exchange for $53.00 per Share, payable in cash, without interest and subject to reduction for any applicable withholding taxes (the “Offer Price”), upon the terms and subject to the conditions set forth in the Offer to Purchase, dated April 20, 2026 (the “Offer to Purchase”), and in the related Letter of Transmittal (the “Letter of Transmittal” which, together with the Offer to Purchase and other related tender offer materials, as each may be amended or supplemented from time to time, the “Offer”).</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Tendering stockholders who are record owners of their Shares and who tender Shares directly to Equiniti Trust Company, LLC (the “Depositary”) will not be obligated to pay brokerage fees or commissions or, except as otherwise provided in the Letter of Transmittal, stock transfer taxes with respect to the purchase of Shares by Purchaser pursuant to the Offer. Tendering stockholders who hold their Shares through a broker, dealer, commercial bank, trust company or other nominee should consult with such institution as to whether it charges any service fees or commissions.</w:t>
      </w:r>
    </w:p>
    <w:p>
      <w:pPr>
        <w:spacing w:after="0" w:line="176"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ONE MINUTE FOLLOWING 11:59 P.M. EASTERN TIME ON MAY 15, 2026, UNLESS THE OFFER IS EXTENDED OR EARLIER TERMINATED.</w:t>
      </w:r>
    </w:p>
    <w:p>
      <w:pPr>
        <w:spacing w:after="0" w:line="159"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April 5, 2026 (as it may be amended, supplemented or otherwise modified from time to time, we refer to as the “Merger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01" w:name="page102"/>
    <w:bookmarkEnd w:id="10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among Soleno, Neurocrine and Purchaser. The Merger Agreement provides, among other things, that, as soon as practicable (but in any event no later than the first business day) following Purchaser’s acceptance for payment of all Shares tendered (and not validly withdrawn, as permitted under the Offer to Purchase) pursuant to the Offer (the date and time of such acceptance, the “Offer Acceptance Time”) and subject to the satisfaction or waiver of certain conditions, Purchaser will be merged with and into Soleno (the “Merger”) without a vote of the stockholders of Soleno in accordance with Section 251(h) of the General Corporation Law of the State of Delaware (the “DGCL”), with Soleno continuing as the surviving corporation. In the Merger, each Share outstanding immediately prior to the effective time of the Merger (other than any Shares held by Soleno, Neurocrine, Purchaser or any of their respective subsidiaries or by any persons who have properly exercised and perfected their respective demands for appraisal of such Shares in the time and manner provided in Section 262 of the DGCL) will be converted into the right to receive the Offer Price, without interest and subject to reduction for any applicable withholding taxes. As a result of the Merger, Soleno will cease to be a publicly traded company and will become a direct wholly owned subsidiary of Neurocrine. Under no circumstances will interest be paid on the Offer Price for Shares, regardless of any extension of the Offer or any delay in making payment for Shares. The Merger Agreement is more fully described in the Offer to Purchase.</w:t>
      </w:r>
    </w:p>
    <w:p>
      <w:pPr>
        <w:spacing w:after="0" w:line="19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Offer is not subject to any financing condition. The Offer is conditioned upon, among other things, (a) the Merger Agreement not having been terminated in accordance with its terms and (b) satisfaction of (i) the Minimum Condition (as defined below), (ii) the Regulatory Condition to the Offer (as defined below) and (iii) the Governmental Authority Condition to the Offer (as defined below). The “Minimum Condition” requires that the number of Shares validly tendered in accordance with the terms of the Offer, and not validly withdrawn, on or prior to one minute following 11:59 p.m. Eastern Time on May 15, 2026 (the “Expiration Date,” unless Purchaser shall have extended the period during which the Offer is open in accordance with the Merger Agreement, in which event “Expiration Date” will mean the latest time and date at which the Offer, as so extended by Purchaser, will expire), together with all other Shares (if any) beneficially owned by Neurocrine and its subsidiaries, represent one more Share than 50% of the total number of Shares outstanding at the Expiration Date. The “Regulatory Condition to the Offer” requires that all applicable waiting periods under the Hart-Scott-Rodino Antitrust Improvements Act of 1976, as amended, and any required antitrust approvals shall have expired or been terminated (including any timing agreement entered into with any governmental authority) and any approvals or clearances required thereunder shall have been obtained. The “Governmental Authority Condition to the Offer” requires that no governmental authority of competent jurisdiction that is within a jurisdiction that is material to the business and operations of Soleno or Neurocrine shall have issued an order, decree or ruling (whether temporary, preliminary or permanent) that (x) restrains, enjoins or otherwise prohibits the acceptance for payment of Shares pursuant to the Offer or the Merger or (y) makes the consummation of the Offer or the Merger illegal. The Offer is also subject to other conditions (each individually, an “Offer Condition,” and collectively, the “Offer Conditions”) as described in the Offer to Purchase.</w:t>
      </w:r>
    </w:p>
    <w:p>
      <w:pPr>
        <w:spacing w:after="0" w:line="192"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The board of directors of Soleno has (i) determined that the Merger Agreement and the transactions contemplated thereby, including the Offer and the Merger, are advisable and fair to, and in the best interest of, Soleno and its stockholders, (ii) approved the execution, delivery and performance by Soleno of the Merger Agreement and the consummation of the transactions contemplated thereby, including the Offer and the Merger, (iii) resolved that the Merger shall be effected under Section 251(h) of the DGCL, and (iv) resolved to recommend that the stockholders of Soleno accept the Offer and tender their Shares to Purchaser pursuant to the Offer, in each case on the terms and subject to the conditions of the Merger Agreement.</w:t>
      </w:r>
    </w:p>
    <w:p>
      <w:pPr>
        <w:spacing w:after="0" w:line="18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Soleno will file a Solicitation/Recommendation Statement on Schedule 14D-9 (the “Schedule 14D-9”) with the United States Securities and Exchange Commission (the “SEC”) and disseminate the Schedule 14D-9 to Soleno’s stockholders with the Offer to Purchase. The Schedule 14D-9 will include a description of the Soleno board of directors’ reasons for authorizing and approving the Merger Agreement and the transactions contemplated thereby and therefore stockholders are encouraged to review the Schedule 14D-9 carefully and in its entirety.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02" w:name="page103"/>
    <w:bookmarkEnd w:id="102"/>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Merger Agreement contains provisions to govern the circumstances in which Purchaser is required or permitted to extend the Offer. Specifically, the Merger Agreement provides that (i) if, as of the then-scheduled Expiration Date, any Offer Condition (other than the Minimum Condition or such Offer Conditions that by their nature are to be satisfied or waived as of the Offer Acceptance Time) is not satisfied and has not been waived, Purchaser must extend the Expiration Date of the Offer on one or more occasions for an additional period of up to ten (10) business days per extension to permit such Offer Condition to be satisfied; (ii) Purchaser must extend the Offer from time to time for: (A) any period required by any legal requirement or any interpretation or position of the SEC or its staff or the Nasdaq Capital Market or its staff, in each case, applicable to the Offer; and</w:t>
      </w:r>
    </w:p>
    <w:p>
      <w:pPr>
        <w:spacing w:after="0" w:line="5" w:lineRule="exact"/>
        <w:rPr>
          <w:sz w:val="20"/>
          <w:szCs w:val="20"/>
          <w:color w:val="auto"/>
        </w:rPr>
      </w:pPr>
    </w:p>
    <w:p>
      <w:pPr>
        <w:ind w:left="4" w:hanging="4"/>
        <w:spacing w:after="0" w:line="251" w:lineRule="auto"/>
        <w:tabs>
          <w:tab w:leader="none" w:pos="28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of up to ten (10) business days per extension, until any waiting period (and any extension thereof) applicable to the consummation of the Offer under the Hart-Scott-Rodino Antitrust Improvements Act of 1976, as amended, shall have expired or been terminated; and (iii) if, as of the then-scheduled Expiration Date, the Minimum Condition is the only Offer Condition not satisfied (other than such Offer Conditions that by their nature are to be satisfied or waived as of the Offer Acceptance Time), Purchaser must extend the Offer on up to two (2) occasions for an additional period of up to ten (10) business days per extension, to permit the Minimum Condition to be satisfied. Notwithstanding the above extension options and obligations, in no event shall Purchaser: (1) be required to extend the Offer beyond the earlier to occur of (x) the valid termination of the Merger Agreement in compliance with Article IX of the Merger Agreement and (y) the Outside Date (as defined below) (such earlier occurrence, the “Extension Deadline”); or (2) be permitted to extend the Offer beyond the Extension Deadline without the prior written consent of Soleno.</w:t>
      </w:r>
    </w:p>
    <w:p>
      <w:pPr>
        <w:spacing w:after="0" w:line="194"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Either Soleno or Neurocrine may terminate the Merger Agreement, at any time prior to the time Purchaser accepts the Shares tendered pursuant to the Offer for payment if the consummation of the Merger has not occurred in accordance with the terms of the Merger Agreement on or prior to 5:00 p.m. Eastern Time on October 5, 2026, which date will automatically be extended to January 5, 2027 if, as of 5:00 p.m. Eastern Time on October 5, 2026, all of the Offer Conditions other than the Regulatory Condition to the Offer, the Governmental Authority Condition to the Offer (in the case of the Governmental Authority Condition to the Offer, only if the restraint, prohibition or illegality arises as a result of antitrust laws), the Minimum Condition and such other Offer Conditions that by their nature are to be satisfied or waived as of the Offer Acceptance Time are satisfied or waived (such date, as it may be automatically extended, the “Outside Date”).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Subject to the applicable rules and regulations of the SEC, Purchaser and Neurocrine expressly reserve the right to (a) increase the Offer Price,</w:t>
      </w:r>
    </w:p>
    <w:p>
      <w:pPr>
        <w:spacing w:after="0" w:line="27" w:lineRule="exact"/>
        <w:rPr>
          <w:sz w:val="20"/>
          <w:szCs w:val="20"/>
          <w:color w:val="auto"/>
        </w:rPr>
      </w:pPr>
    </w:p>
    <w:p>
      <w:pPr>
        <w:ind w:left="4" w:right="160" w:hanging="4"/>
        <w:spacing w:after="0" w:line="251" w:lineRule="auto"/>
        <w:tabs>
          <w:tab w:leader="none" w:pos="2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Offer Condition (other than the Minimum Condition) and (c) make any other changes in the terms and conditions of the Offer not inconsistent with the terms of the Merger Agreement, except that, without the prior written consent of Soleno, Neurocrine and Purchaser are not permitted to: (i) decrease the Offer Price (other than as a result of certain adjustments as permitted by the Merger Agreement), (ii) change the form of consideration payable in the Offer, (iii) decrease the maximum number of Shares sought to be purchased in the Offer (other than as a result of certain adjustments as permitted by the Merger Agreement), (iv) impose conditions or requirements to the Offer other than the Offer Conditions, (v) amend or modify any of the Offer Conditions (other than to waive any condition other than the Minimum Condition), (vi) change or waive the Minimum Condition, (vii) extend or otherwise change the Expiration Date, except as otherwise required or expressly permitted by the Merger Agreement, or (viii) provide any “subsequent offering period” (or any extension thereof) in accordance with Rule 14d-11 of the Securities Exchange Act of 1934, as amended (the “Exchange Act”).</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Subject to the terms and conditions set forth in the Merger Agreement and to the satisfaction or waiver of the Offer Conditions, Purchaser will</w:t>
      </w:r>
    </w:p>
    <w:p>
      <w:pPr>
        <w:spacing w:after="0" w:line="27" w:lineRule="exact"/>
        <w:rPr>
          <w:sz w:val="20"/>
          <w:szCs w:val="20"/>
          <w:color w:val="auto"/>
        </w:rPr>
      </w:pPr>
    </w:p>
    <w:p>
      <w:pPr>
        <w:ind w:left="4" w:right="20" w:hanging="4"/>
        <w:spacing w:after="0" w:line="253" w:lineRule="auto"/>
        <w:tabs>
          <w:tab w:leader="none" w:pos="21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Expiration Date, irrevocably accept for payment all Shares tendered (and not validly withdrawn, as permitted under the Offer to Purchase) pursuant to the Offer and (ii) promptly after the Offer Acceptance Time, deposit, or cause to be deposited, with the Depositary cash sufficient to pay the aggregate Offer Price for such Shares. For purposes of the Offer, Purchaser will be deemed to have accepted for payment, and thereby purchased, Shares validly tendered (and not validly withdrawn) if and when Purchaser gives oral or written notice to the Depositary of its acceptance for purchase of such Shares pursuant to the Offer. Upon the terms and subject to the conditions of the Offer, payment for Shares accepted for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03" w:name="page104"/>
    <w:bookmarkEnd w:id="103"/>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 pursuant to the Offer will be made by deposit of the Offer Price for such Shares with the Depositary, which will act as paying agent for tendering stockholders for the purpose of receiving payments from Purchaser and transmitting such payments to tendering stockholders whose Shares have been accepted for purchase. If Purchaser extends the Offer, is delayed in its acceptance for payment of Shares or is unable to accept Shares for payment pursuant to the Offer for any reason, then, without prejudice to Purchaser’s rights under the Offer and the Merger Agreement, the Depositary may retain tendered Shares on Purchaser’s behalf, and such Shares may not be withdrawn except to the extent that tendering stockholders are entitled to withdrawal rights as described in the Offer to Purchase and as otherwise required by Rule 14e-1(c) under the Exchange Act. </w:t>
      </w:r>
      <w:r>
        <w:rPr>
          <w:rFonts w:ascii="Times New Roman" w:cs="Times New Roman" w:eastAsia="Times New Roman" w:hAnsi="Times New Roman"/>
          <w:sz w:val="18"/>
          <w:szCs w:val="18"/>
          <w:b w:val="1"/>
          <w:bCs w:val="1"/>
          <w:color w:val="auto"/>
        </w:rPr>
        <w:t>Under no circumstances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will Neurocrine or Purchaser pay interest on the Offer Price for Shares by reason of any extension of the Offer or any delay in making such payment for Shares.</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In all cases, payment for Shares tendered and accepted for purchase pursuant to the Offer will only be made after timely receipt by the Depositary of (i) the certificates evidencing such Shares (the “Certificates”) or confirmation of a book-entry transfer of such Shares (a “Book-Entry Confirmation”) into the Depositary’s account at The Depository Trust Company (“DTC”) pursuant to the procedures set forth in the Offer to Purchase, (ii) the Letter of Transmittal, properly completed and duly executed, with any required signature guarantees or, in the case of a book-entry transfer, an Agent’s Message (as defined below) in lieu of the Letter of Transmittal and (iii) any other documents required by the Letter of Transmittal. Accordingly, tendering stockholders may be paid at different times depending upon when Certificates or Book-Entry Confirmations with respect to Shares are actually received by the Depositary. The term “Agent’s Message” means a message, transmitted by DTC to and received by the Depositary and forming a part of a Book-Entry Confirmation, that states that DTC has received an express acknowledgment from the participant in DTC tendering the Shares that are the subject of such Book-Entry Confirmation, that such participant has received and agrees to be bound by the terms of the Letter of Transmittal and that Purchaser may enforce such agreement against such participant.</w:t>
      </w:r>
    </w:p>
    <w:p>
      <w:pPr>
        <w:spacing w:after="0" w:line="194"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Shares tendered pursuant to the Offer may be withdrawn at any time until the Expiration Date and, unless accepted for payment by Purchaser pursuant to the Offer, pursuant to Section 14(d)(5) of the Exchange Act, may also be withdrawn at any time after June 19, 2026, which is the 60th day after the date of the commencement of the Offer, unless prior to that date Purchaser has accepted for purchase the Shares validly tendered (and not validly withdrawn) pursuant to the Offer.</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For a withdrawal to be effective, a written notice of withdrawal must be timely received by the Depositary at one of its addresses set forth in the Offer to Purchase. Any such notice of withdrawal must specify the name of the person who tendered the Shares to be withdrawn, the number of Shares to be withdrawn and the name of the registered holder of such Shares, if different from that of the person who tendered such Shares. If Certificates evidencing Shares to be withdrawn have been delivered or otherwise identified to the Depositary, then, prior to the physical release of such Certificates, the serial numbers shown on such Certificates must be submitted to the Depositary and the signature(s) on the notice of withdrawal must be guaranteed by a financial institution (including most commercial banks, savings and loan associations and brokerage houses) that is a member in good standing of the Securities Transfer Agents Medallion Program or any other “eligible guarantor institution,” as such term is defined in Rule 17Ad-15 of the Exchange Act (an “Eligible Institution”), unless such Shares have been tendered for the account of an Eligible Institution. If Shares have been tendered pursuant to the procedure for book-entry transfer as set forth in the Offer to Purchase, any notice of withdrawal must also specify the name and number of the account at DTC to be credited with the withdrawn Shares.</w:t>
      </w:r>
    </w:p>
    <w:p>
      <w:pPr>
        <w:spacing w:after="0" w:line="194"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Withdrawals of Shares may not be rescinded. Any Shares validly withdrawn will thereafter be deemed not to have been validly tendered for purposes of the Offer. However, withdrawn Shares may be re-tendered by again following one of the procedures described in the Offer to Purchase at any time prior to the Expiration Date.</w:t>
      </w:r>
    </w:p>
    <w:p>
      <w:pPr>
        <w:spacing w:after="0" w:line="172"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Purchaser will determine, in its sole discretion, all questions as to the form and validity (including time of receipt) of any notice of withdrawal and Purchaser’s determination will be final and binding. None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4" w:name="page105"/>
    <w:bookmarkEnd w:id="104"/>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Neurocrine, Purchaser, the Depositary, the Information Agent (as defined below) or any other person will be under any duty to give notice of any defects or irregularities in any notice of withdrawal or incur any liability for failure to give any such notification.</w:t>
      </w:r>
    </w:p>
    <w:p>
      <w:pPr>
        <w:spacing w:after="0" w:line="15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paragraph (d)(1) of Rule 14d-6 of the General Rules and Regulations under the Exchange Act is contained in the Offer to Purchase and is incorporated herein by reference.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Soleno has provided Neurocrine with its stockholder list and security position listings for the purpose of disseminating the Offer to Purchase, the related Letter of Transmittal and other related tender offer materials to holders of Shares. The Offer to Purchase and the related Letter of Transmittal will be mailed to record holders of Shares whose names appear on the stockholder list of Soleno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exchange of Shares for cash pursuant to the Offer or the Merger will be a taxable transaction to U.S. Holders for United States federal income tax purposes. The term “U.S. Holder” means a beneficial owner of Shares that, for U.S. federal income tax purposes, is: (i) an individual who is a citizen or resident of the United States; (ii) a corporation, or other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court within the United States is able to exercise primary supervision over the trust’s administration and one or more U.S. persons have authority to control all of the trust’s substantial decisions or (B) the trust has a valid election in effect under applicable U.S. Treasury Regulations to be treated as a U.S. person for U.S. federal income tax purposes.</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Accordingly, a U.S. Holder who exchanges Shares for cash in the Offer or the Merger generally will recognize gain or loss in an amount equal to the difference, if any, between the amount of cash that such U.S. Holder receives in the Offer or the Merger and such U.S. Holder’s adjusted tax basis in the Shares surrendered pursuant to the Offer or the Merger, respectively. See the Offer to Purchase for a more detailed discussion of the tax treatment of the Offer and the Merger. </w:t>
      </w:r>
      <w:r>
        <w:rPr>
          <w:rFonts w:ascii="Times New Roman" w:cs="Times New Roman" w:eastAsia="Times New Roman" w:hAnsi="Times New Roman"/>
          <w:sz w:val="18"/>
          <w:szCs w:val="18"/>
          <w:b w:val="1"/>
          <w:bCs w:val="1"/>
          <w:color w:val="auto"/>
        </w:rPr>
        <w:t>Each holder of Shares should consult with its tax advisor as to the particular tax consequences to such holder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exchanging Shares for cash pursuant to the Offer or the Merger.</w:t>
      </w:r>
    </w:p>
    <w:p>
      <w:pPr>
        <w:spacing w:after="0" w:line="179"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Offer to Purchase and the related Letter of Transmittal and the Schedule 14D-9 (which contains the recommendation of the Soleno board of directors and the reasons therefor) contain important information. Holders of Shares should carefully read both documents in their entirety before any decision is made with respect to the Offer.</w:t>
      </w:r>
    </w:p>
    <w:p>
      <w:pPr>
        <w:spacing w:after="0" w:line="175"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Questions and requests for assistance may be directed to MacKenzie Partners, Inc., the information agent (the “Information Agent”) for the Offer, at its addresses and telephone numbers set forth below. Requests for copies of the Offer to Purchase, the Letter of Transmittal and other related tender offer materials may be directed to the Information Agent. Such copies will be furnished promptly at Purchaser’s expense. Stockholders may also contact brokers, dealers, commercial banks or trust companies for assistance concerning the Offer. Except as set forth in the Offer to Purchase, neither Purchaser nor Neurocrine will pay any fees or commissions to any broker or dealer or any other person for soliciting tenders of Shares pursuant to the Offer.</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05" w:name="page106"/>
    <w:bookmarkEnd w:id="105"/>
    <w:p>
      <w:pPr>
        <w:ind w:left="40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173990</wp:posOffset>
            </wp:positionV>
            <wp:extent cx="1663065" cy="4972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7 Penn Plaza</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(212) 929-5500</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Call Toll-Free (800) 322-2885</w:t>
      </w:r>
    </w:p>
    <w:p>
      <w:pPr>
        <w:spacing w:after="0" w:line="99"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8"/>
          <w:szCs w:val="18"/>
          <w:color w:val="auto"/>
        </w:rPr>
        <w:t>Email: tenderoffer@mackenziepartners.com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19"/>
          </w:cols>
          <w:pgMar w:left="440" w:top="266"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(d)(3)</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Soleno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2040255" cy="8229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2040255" cy="822960"/>
                    </a:xfrm>
                    <a:prstGeom prst="rect">
                      <a:avLst/>
                    </a:prstGeom>
                    <a:noFill/>
                  </pic:spPr>
                </pic:pic>
              </a:graphicData>
            </a:graphic>
          </wp:anchor>
        </w:drawing>
      </w:r>
    </w:p>
    <w:p>
      <w:pPr>
        <w:spacing w:after="0" w:line="309"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100 Marine Parkway</w:t>
      </w:r>
    </w:p>
    <w:p>
      <w:pPr>
        <w:spacing w:after="0" w:line="9"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Redwood City, CA 94065</w:t>
      </w:r>
    </w:p>
    <w:p>
      <w:pPr>
        <w:spacing w:after="0" w:line="9" w:lineRule="exact"/>
        <w:rPr>
          <w:sz w:val="20"/>
          <w:szCs w:val="20"/>
          <w:color w:val="auto"/>
        </w:rPr>
      </w:pPr>
    </w:p>
    <w:p>
      <w:pPr>
        <w:ind w:left="8780"/>
        <w:spacing w:after="0"/>
        <w:tabs>
          <w:tab w:leader="none" w:pos="10460" w:val="left"/>
        </w:tabs>
        <w:rPr>
          <w:sz w:val="20"/>
          <w:szCs w:val="20"/>
          <w:color w:val="auto"/>
        </w:rPr>
      </w:pPr>
      <w:r>
        <w:rPr>
          <w:rFonts w:ascii="Times New Roman" w:cs="Times New Roman" w:eastAsia="Times New Roman" w:hAnsi="Times New Roman"/>
          <w:sz w:val="18"/>
          <w:szCs w:val="18"/>
          <w:b w:val="1"/>
          <w:bCs w:val="1"/>
          <w:color w:val="auto"/>
        </w:rPr>
        <w:t>650-213-8444 Main</w:t>
        <w:tab/>
        <w:t xml:space="preserve">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Neurocrine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6027 Edgewood Bend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your consideration of a potential negotiated acquisition or negotiated business combination transaction between Soleno Therapeutics, Inc., a Delaware corporation (together with its subsidiaries,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Neurocrine Biosciences, Inc., a Delaware corporation (together with its subsidiaries,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(any such transaction being referred to herein as a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it is expected that each of the Company or its Representatives (as defined below) and Buyer or its Representatives will convey, furnish or otherwise make available to the other party (as defined below), Confidential Information (as defined below) for purposes of evaluating a Transaction. Each of Buyer and Company agree to treat all Confidential Information (as defined below), all Evaluation Material (as defined below) and all Transaction Information (as defined below) in accordance with the provisions of this letter agreement, and to take or abstain from taking certain other actions herein set forth. Each of the Company and Buyer is sometimes referred to herein, individually, as a “party” and, collectively, as the “parties.”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letter agreement, the following terms have the following respective meanings:</w:t>
      </w:r>
    </w:p>
    <w:p>
      <w:pPr>
        <w:spacing w:after="0" w:line="117" w:lineRule="exact"/>
        <w:rPr>
          <w:sz w:val="20"/>
          <w:szCs w:val="20"/>
          <w:color w:val="auto"/>
        </w:rPr>
      </w:pPr>
    </w:p>
    <w:p>
      <w:pPr>
        <w:ind w:left="440" w:right="100" w:firstLine="423"/>
        <w:spacing w:after="0" w:line="253" w:lineRule="auto"/>
        <w:rPr>
          <w:sz w:val="20"/>
          <w:szCs w:val="20"/>
          <w:color w:val="auto"/>
        </w:rPr>
      </w:pPr>
      <w:r>
        <w:rPr>
          <w:rFonts w:ascii="Times New Roman" w:cs="Times New Roman" w:eastAsia="Times New Roman" w:hAnsi="Times New Roman"/>
          <w:sz w:val="18"/>
          <w:szCs w:val="18"/>
          <w:color w:val="auto"/>
        </w:rPr>
        <w:t>The capitalized term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information or other data concerning the Disclosing Party (as defined below) or any of its subsidiaries (including, without limitation, all information and other data about the Disclosing Party or any of its subsidiaries’ business, business plans, operations, financial condition, results of operations, projections, forecasts, budgets, prospects, technology, products, product roadmaps, intellectual property, trade secrets and know how, personnel, assets, properties and liabilities) conveyed, furnished or otherwise made available by the Disclosing Party or any of its Representatives to the Receiving Party (as defined below) or any of its Representatives in connection with a Transaction or that is otherwise ascertained by the Receiving Party or any of its Representatives through due diligence investigations or discussions with employees or other Representatives of the Disclosing Party, whether in written, electronic or other form or medium or conveyed verbally. The capitalized term “</w:t>
      </w:r>
      <w:r>
        <w:rPr>
          <w:rFonts w:ascii="Times New Roman" w:cs="Times New Roman" w:eastAsia="Times New Roman" w:hAnsi="Times New Roman"/>
          <w:sz w:val="18"/>
          <w:szCs w:val="18"/>
          <w:u w:val="single" w:color="auto"/>
          <w:color w:val="auto"/>
        </w:rPr>
        <w:t>Evaluation Material</w:t>
      </w:r>
      <w:r>
        <w:rPr>
          <w:rFonts w:ascii="Times New Roman" w:cs="Times New Roman" w:eastAsia="Times New Roman" w:hAnsi="Times New Roman"/>
          <w:sz w:val="18"/>
          <w:szCs w:val="18"/>
          <w:color w:val="auto"/>
        </w:rPr>
        <w:t xml:space="preserve">” means all reports, studies, analyses, interpretations, compilations, memoranda, notes and any other written or electronic materials prepared by the Receiving Party or any of its Representatives which contain, reflect or are derived or based, in whole or in part, upon any Confidential Information. Notwithstanding the foregoing or anything to the contrary set forth herein, for purposes of this letter agreement, the capitalized terms “Confidential Information” and “Evaluation Material” do not mean or include information which (i) is already in the Receiving Party’s possession from a source other than the Disclosing Party or one of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information is not known</w:t>
      </w:r>
    </w:p>
    <w:p>
      <w:pPr>
        <w:sectPr>
          <w:pgSz w:w="11900" w:h="16838" w:orient="portrait"/>
          <w:cols w:equalWidth="0" w:num="1">
            <w:col w:w="11020"/>
          </w:cols>
          <w:pgMar w:left="440" w:top="117" w:right="439" w:bottom="1440" w:gutter="0" w:footer="0" w:header="0"/>
        </w:sectPr>
      </w:pPr>
    </w:p>
    <w:bookmarkStart w:id="107" w:name="page108"/>
    <w:bookmarkEnd w:id="107"/>
    <w:p>
      <w:pPr>
        <w:ind w:left="440"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the Receiving Party (after reasonable inquiry) to be subject to a confidentiality agreement with, or other obligation of confidentiality to, the Disclosing Party or any of its Representatives, (ii) is or becomes generally known to the public other than as a result of a disclosure by the Receiving Party or any of its Representatives in breach of this letter agreement or any other obligation of confidentiality, (iii) is or becomes available or known to the Receiving Party on a non-confidential basis from a source other than the Disclosing Party or its Representatives,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source is not known by the Receiving Party (after reasonable inquiry) to be bound by a confidentiality agreement with,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of confidentiality to, the Disclosing Party or any of its Representatives, or (iv) is or was independently developed by the Receiving Party or any of its Representatives without any reference to any other Confidential Information or Evaluation Material and without violation of any obligation under this letter agreement.</w:t>
      </w:r>
    </w:p>
    <w:p>
      <w:pPr>
        <w:spacing w:after="0" w:line="84"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All references herein to our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and includes our directors, officers, employees, investment professionals, affiliates, partners, advisors, agents or representatives (including financial advisors, attorneys, accountants, consultants and other advisors). All references herein to your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and includes your directors, officers, employees, investment professionals, affiliates, partners, advisors, agents or representatives (including financial advisors, attorneys, accountants, consultants and other advisors) and only from and after such time as the Company consents in writing in its sole discretion, potential sources of equity or debt financing to Buyer or its affiliates.</w:t>
      </w:r>
    </w:p>
    <w:p>
      <w:pPr>
        <w:spacing w:after="0" w:line="75" w:lineRule="exact"/>
        <w:rPr>
          <w:sz w:val="20"/>
          <w:szCs w:val="20"/>
          <w:color w:val="auto"/>
        </w:rPr>
      </w:pPr>
    </w:p>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t>All references herein to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as used in this letter agreement will be broadly interpreted to include, without limitation, the media and any corporation, company, partnership, limited liability company, trust, association, joint venture, governmental or regulatory body or agency or other entity or individual, and 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will have the meaning ascribed to such term in Rule 12b-2 of the General Rules and Regulations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 references herein to a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shall have the meaning given to that term (or as that term is used) in Section 13(d)(3) of the Exchange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right="80" w:firstLine="436"/>
        <w:spacing w:after="0" w:line="252" w:lineRule="auto"/>
        <w:tabs>
          <w:tab w:leader="none" w:pos="6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a party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furnishing any information to the other party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the Receiving Party agrees that it and its Representatives (a) will use Confidential Information and all Evaluation Material derived therefrom solely for the purpose of evaluating, negotiating and proposing a Transaction and will not use any such Confidential Information and Evaluation Material for any other purpose, and (b) except as otherwise required by applicable law or regulation (subject to compliance with the terms of Section 2 of this letter agreement), will keep all Confidential Information and all Evaluation Material derived therefrom confidential and not disclose any Confidential Information and all Evaluation Material derived therefrom to any person other than its Representatives who need to know such information solely for the purpose of evaluating, negotiating and consummating a Transaction (it being understood that such Representatives will be informed by the Receiving Party of the confidential nature of such information). The Receiving Party further agrees to undertake commercially reasonable precautions to safeguard and protect the confidentiality of the Confidential Information and the Evaluation Material derived therefrom and to prevent its Representatives from prohibited or unauthorized disclosure or uses of the Confidential Information and the Evaluation Material derived therefrom. Each party hereby agrees that it will inform the other party in writing prior to disclosing any Confidential Information and any Evaluation Material received from the other party, or otherwise making any such Confidential Information and any Evaluation Material derived therefrom available, to any of its Representatives who is not one of its directors, officers or other employees, or one of its general partners or one of its managers (it being understood and agreed that only one such notice will be required with respect to any Representative that is an advisory firm or other third party organization such as an investment bank, law firm or tax and accounting firm).</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08" w:name="page109"/>
    <w:bookmarkEnd w:id="108"/>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required by applicable law or regulation (subject to compliance with the terms of Section 2 of this letter agreement), the Receiving Party agrees that neither it nor any of its Representatives will, directly or indirectly, discuss or disclose to any person the fact that (a) the parties have entered into this letter agreement or the terms and conditions hereof, (b) Confidential Information has been made available to the Receiving Party or its Representatives, (c) the parties or their Representatives may be considering a Transaction, including, without limitation, any potential terms, conditions or facts with respect to a Transaction, the status thereof or any investment arrangements designed to effect or facilitate a Transaction, (d) the parties or their Representatives have had, are having, or propose to have any discussions or negotiations with respect to a Transaction or that the Receiving Party or its Representatives have conducted due diligence or attended management meetings with the Disclosing Party or its Representatives, or (e) if applicable, that the parties have terminated or are otherwise no longer holding discussions or negotiations with respect to a Transaction (the matters referenced in the preceding clauses (a)-(e), inclusive, being referred to herein as “</w:t>
      </w:r>
      <w:r>
        <w:rPr>
          <w:rFonts w:ascii="Times New Roman" w:cs="Times New Roman" w:eastAsia="Times New Roman" w:hAnsi="Times New Roman"/>
          <w:sz w:val="18"/>
          <w:szCs w:val="18"/>
          <w:u w:val="single" w:color="auto"/>
          <w:color w:val="auto"/>
        </w:rPr>
        <w:t>Transaction Information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436"/>
        <w:spacing w:after="0" w:line="251" w:lineRule="auto"/>
        <w:tabs>
          <w:tab w:leader="none" w:pos="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Receiving Party or any of its Representatives are required by applicable law, regulation, rule, legal, administrative or judicial process (including by deposition, interrogatory, request for documents, civil investigation demand or under the terms of a subpoena or order issued by a court or governmental or regulatory body of competent jurisdiction) or other applicable judicial or governmental order (collectively,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xml:space="preserve">”) to disclose any Confidential Information of the Disclosing Party, the Evaluation Material derived therefrom, or Transaction Information or to make any other disclosure prohibited by this letter agreement in connection with any judicial or administrative proceedings, in advance of such disclosure, the Receiving Party and its Representatives agree to, except to the extent prohibited by Law, (a) promptly notify the Disclosing Party of such requirement, along with, to the extent applicable, a copy of any applicable notices describing such requirement, the circumstances surrounding such requirements, the reason that such disclosure is required and the time and place such disclosure is expected to be made, (b) provide the Disclosing Party with a copy, description and/or list (as applicable) of any such Confidential Information, Evaluation Material and/or Transaction Information the Receiving Party intends or proposes to disclose in response to such requirement, and (c) reasonably cooperate with the Disclosing Party if and to the extent the Disclosing Party may seek to prevent or limit such disclosure, including, if requested by the Disclosing Party, taking all commercially reasonable efforts (at the Disclosing Party’s expense) to avoid or minimize the required disclosure or obtain such protective order or other relief. If the Receiving Party or the Disclosing Party is unable to obtain a protective order preventing the required disclosure of such Confidential Information, Evaluation Material or Transaction Information, and the Disclosing Party refuses or fails to grant a waiver of the confidentiality restrictions set forth in this letter agreement after a request therefor is made by the Receiving Party in writing (such request to be made as soon as reasonably practicable to allow the Disclosing Party a reasonable amount of time to respond thereto), the Receiving Party may, on advice of counsel, disclose such Confidential Information, Evaluation Material and/or Transaction Information without liability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Receiving Party and its Representatives disclose only that portion of such Confidential Information, Evaluation Material and/or Transaction Information that it, on advice of counsel, is legally required to disclose and it and its Representatives use reasonable best efforts (at the Disclosing Party’s expense) to obtain assurances that confidential treatment will be accorded to such Confidential Information, Evaluation Material and/or Transaction Information, as applicable. Notwithstanding any disclosure of Confidential Information, Evaluation Material and/or Transaction Information pursuant to this Section 2, the Receiving Party and its Representatives will continue to be otherwise bound by the obligations of confidentiality and other obligations hereunder with respect to such Confidential Information, Evaluation Material and/or Transaction Information.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09" w:name="page110"/>
    <w:bookmarkEnd w:id="109"/>
    <w:p>
      <w:pPr>
        <w:ind w:right="60" w:firstLine="436"/>
        <w:spacing w:after="0" w:line="258" w:lineRule="auto"/>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hereby agree that neither you nor any of your Representatives acting on your behalf will have any discussions or other communications, or enter into any agreement, arrangement or understanding, whether formal or informal and whether or not binding, with any other prospective bidder for the Company with respect to (a) whether or not you or such other prospective bidder will make a bid or offer for the Company, or (b) the price that you or such other bidder may bid or offer for the Company. You represent and warrant to the Company that, as of the date hereof, neither you nor any of your Representatives that are acting on your behalf or at your direction have entered into any such agreement, arrangement or understanding.</w:t>
      </w:r>
    </w:p>
    <w:p>
      <w:pPr>
        <w:spacing w:after="0" w:line="183" w:lineRule="exact"/>
        <w:rPr>
          <w:rFonts w:ascii="Times New Roman" w:cs="Times New Roman" w:eastAsia="Times New Roman" w:hAnsi="Times New Roman"/>
          <w:sz w:val="18"/>
          <w:szCs w:val="18"/>
          <w:color w:val="auto"/>
        </w:rPr>
      </w:pPr>
    </w:p>
    <w:p>
      <w:pPr>
        <w:ind w:right="300" w:firstLine="436"/>
        <w:spacing w:after="0" w:line="254" w:lineRule="auto"/>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agree that neither you nor any of your Representatives acting on your behalf will, directly or indirectly, without the prior written consent of the Company (i) contact any third party who may participate with you in a Transaction, whether as a co-investor, strategic partner or otherwise, or who may provide debt or equity financing or other potential sources of capital for a Transaction or any other transaction involving the Company to discuss a Transaction or any other transaction involving the Company in any manner whatsoever (including, without limitation, on a confidential or “no names” basis) or disclose any Confidential Information, the Evaluation Material derived therefrom, or Transaction Information</w:t>
      </w:r>
    </w:p>
    <w:p>
      <w:pPr>
        <w:spacing w:after="0" w:line="3"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such third party; or (ii) enter into any agreement, arrangement or understanding, whether formal or informal and whether or not binding, with any other person that has or would have the effect of requiring such person to provide you with equity or debt financing or other potential sources of capital on an exclusive basis in connection with a Transaction or any other transaction involving the Company, or that would have the effect of preventing, impairing or otherwise limiting the ability of any person to provide equity or debt financing or other potential sources of capital to any other person in connection with a Transaction or any other transaction involving the Company. You represent and warrant to the Company that, as of the date hereof, neither you nor any of your Representatives that are acting on your behalf or at your direction have entered into any such agreement, arrangement or understanding. In addition, you hereby agree not to discourage financial institutions or financial advisors from being retained by other bidders or potential bidders as advisors for a Transaction or any other transaction involving the Company. You hereby agree that, if you or any of your Representatives are directly or indirectly contacted by a third party to discuss the possibility of participating with you in a Transaction, whether as a co-investor, strategic partner or otherwise, or the possibility of providing equity, debt or other type of financing for a Transaction, then you will promptly (and in any event within 24 hours) notify us of such contact (which notice will include, without limitation, the identity of the third party making such contact and the material terms and details of such discussions).</w:t>
      </w:r>
    </w:p>
    <w:p>
      <w:pPr>
        <w:spacing w:after="0" w:line="192" w:lineRule="exact"/>
        <w:rPr>
          <w:rFonts w:ascii="Times New Roman" w:cs="Times New Roman" w:eastAsia="Times New Roman" w:hAnsi="Times New Roman"/>
          <w:sz w:val="18"/>
          <w:szCs w:val="18"/>
          <w:color w:val="auto"/>
        </w:rPr>
      </w:pPr>
    </w:p>
    <w:p>
      <w:pPr>
        <w:ind w:right="200" w:firstLine="436"/>
        <w:spacing w:after="0" w:line="256" w:lineRule="auto"/>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hereby agrees that, without the prior written consent of the Company, all communications from the Buyer or its Representatives to the Company regarding a Transaction, including, without limitation, requests for Confidential Information regarding the Company, will be submitted only to Anish Bhatnagar, Kevin Norrett or Jesse Schumaker or to such other person or persons as such people may direct in writing and, unless expressly directed to the contrary by the Company, not to the Company or any of its Representatives. You agree that you will not, and you will cause your Representatives not to, engage in any discussions with the Company or any of its suppliers, vendors, service providers, joint venture partners, consultants or lenders regarding a Transaction without the prior consent of the Company.</w:t>
      </w:r>
    </w:p>
    <w:p>
      <w:pPr>
        <w:spacing w:after="0" w:line="18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agree that, except to the extent expressly authorized by the board of directors of the Company (or any authorized committee</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in advance, neither you nor any of your Representatives acting on your behalf will directly or indirectly have any formal or informal discussions or other communications, or directly or indirectly enter into any agreement, arrangement or understanding, whether formal or informal and whether or not binding, with any director, officer or other employee of the Company relating to (i) any retention, severance or other compensation, incentives or benefits that may be or become payable to any directors, officers or employees of the Company in connection with a Transaction or following the consummation thereof, or (ii) any equity rollover or other similar transaction, or any equity or other investment in the Company or any parent company thereof, or any affiliate of the Company or 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0" w:name="page111"/>
    <w:bookmarkEnd w:id="11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parent company thereof, following the consummation of a Transaction, or (iii) any directorship, employment, consulting arrangement or other similar association or involvement of any directors, officers or other employees of the Company with the Company or any parent company thereof, or affiliate of the Company or any parent company thereof, following the consummation of a Transaction.</w:t>
      </w:r>
    </w:p>
    <w:p>
      <w:pPr>
        <w:spacing w:after="0" w:line="176" w:lineRule="exact"/>
        <w:rPr>
          <w:sz w:val="20"/>
          <w:szCs w:val="20"/>
          <w:color w:val="auto"/>
        </w:rPr>
      </w:pPr>
    </w:p>
    <w:p>
      <w:pPr>
        <w:ind w:right="100" w:firstLine="436"/>
        <w:spacing w:after="0" w:line="258" w:lineRule="auto"/>
        <w:tabs>
          <w:tab w:leader="none" w:pos="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acknowledge that you are aware, and that you will advise your Representatives who are informed as to the matters which are the subject of this letter agreement, that the United States securities laws prohibit any person who has received from an issuer material, non-public information concerning the matters which are the subject of this letter agreement from purchasing or selling securities of such issuer or from communicating such information to any other person under circumstances in which it is reasonably foreseeable that such person is likely to purchase or sell such securities.</w:t>
      </w:r>
    </w:p>
    <w:p>
      <w:pPr>
        <w:spacing w:after="0" w:line="183" w:lineRule="exact"/>
        <w:rPr>
          <w:rFonts w:ascii="Times New Roman" w:cs="Times New Roman" w:eastAsia="Times New Roman" w:hAnsi="Times New Roman"/>
          <w:sz w:val="18"/>
          <w:szCs w:val="18"/>
          <w:color w:val="auto"/>
        </w:rPr>
      </w:pPr>
    </w:p>
    <w:p>
      <w:pPr>
        <w:ind w:firstLine="436"/>
        <w:spacing w:after="0" w:line="252" w:lineRule="auto"/>
        <w:tabs>
          <w:tab w:leader="none" w:pos="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acknowledge and agree that neither party nor any of its Representatives have made or make any representation or warranty, express or implied, as to the accuracy or completeness of the Confidential Information for any purpose and that only those representations and warranties that may be made in a definitive written agreement with respect to a Transaction, when, as, and if executed, and subject to such limitations and restrictions as may be specified therein, shall have any legal effect. The parties also agree that, except as may be expressly set forth in such definitive written agreement, neither party nor any of its Representatives shall have any liability to the other party or its Representatives or equityholders on any basis (including, without limitation, in contract, tort, under federal or state securities Laws or otherwise), relating to or resulting from the use or selection of any Confidential Information or Evaluation Material, whether such Confidential Information or Evaluation Material is provided before or after entering into a definitive written agreement, and neither party nor any of its Representatives will make any claims whatsoever against the other party or its Representatives in connection with any written or oral expression made by or on behalf of the either party with respect to a Transaction or the parties and their Representatives participation in evaluating a possible Transaction. The Receiving Party also agrees that neither the Disclosing Party nor any of its Representatives shall have any liability to the Receiving Party or its Representatives, and neither the Receiving Party nor any of its Representatives will make any claims whatsoever against the Disclosing Party or its Representatives in connection with the Receiving Party’s or its Representatives’ review of or use or content of the Confidential Information of the Disclosing Party or any errors therein or omissions therefrom or any action or omission by the Receiving Party or its Representatives in reliance on the Confidential Information of the Disclosing Party, except, in each case, as may be permitted by the express terms of any definitive agreement entered into in respect of a Transaction. You acknowledge and agree that your determination to engage in a Transaction, if any, will be based solely on the terms of such definitive written agreement and on your own investigation, analysis, and assessment of the Company and its affiliates. Nothing herein, nor any disclosure contemplated hereby, shall be deemed to transfer to you or any other person any interest in, or confer in you or any other person any right (including, without limitation, intellectual property right) over, the Confidential Information whatsoever beyond those interests and rights expressly provided for in this letter agreement. You and your Representatives expressly disclaim any duty (express or implied) to update, supplement or correct any Confidential Information disclosed under this letter agreement regardless of the circumstances.</w:t>
      </w:r>
    </w:p>
    <w:p>
      <w:pPr>
        <w:spacing w:after="0" w:line="187" w:lineRule="exact"/>
        <w:rPr>
          <w:rFonts w:ascii="Times New Roman" w:cs="Times New Roman" w:eastAsia="Times New Roman" w:hAnsi="Times New Roman"/>
          <w:sz w:val="18"/>
          <w:szCs w:val="18"/>
          <w:color w:val="auto"/>
        </w:rPr>
      </w:pPr>
    </w:p>
    <w:p>
      <w:pPr>
        <w:ind w:right="80" w:firstLine="436"/>
        <w:spacing w:after="0" w:line="255" w:lineRule="auto"/>
        <w:tabs>
          <w:tab w:leader="none" w:pos="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acknowledges and agrees that, unless and until a definitive written agreement between the parties with respect to any Transaction has been executed and delivered by each of the parties or their respective affiliates, either of the parties nor any of their affiliates will be under any legal obligation of any kind whatsoever with respect to a Transaction by virtue of any written or oral expression with respect to a Transaction by any party hereto or any of its Representatives except, in the case of this letter agreement, for the matters specifically agreed to herein. No contract or agreement providing for a Transaction shall be deemed to exist unless and until a definitive agreement has been executed and delivered by each of the parties thereto. Each party hereto hereby further acknowledges and agrees that (a) the other party or parties hereto shall have no obligation to authorize or pursue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1" w:name="page112"/>
    <w:bookmarkEnd w:id="11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and (b) no party hereto has, as of the date hereof, authorized any Transaction. In addition, each party hereto acknowledges and agrees that the other party or parties hereto reserves the right, in its sole and absolute discretion, to reject any and all proposals made by such party or any of its Representatives with regard to a Transaction, to determine not to engage in discussions or negotiations and to terminate discussions and negotiations with such party or parties or with any other person at any time, and to conduct, directly or through any of its Representatives, any process for any other transaction, if and as they in their sole discretion shall determine (including, without limitation, negotiating with any other interested parties and entering into a definitive agreement without prior notice to such party or any other person).</w:t>
      </w:r>
    </w:p>
    <w:p>
      <w:pPr>
        <w:spacing w:after="0" w:line="187" w:lineRule="exact"/>
        <w:rPr>
          <w:sz w:val="20"/>
          <w:szCs w:val="20"/>
          <w:color w:val="auto"/>
        </w:rPr>
      </w:pPr>
    </w:p>
    <w:p>
      <w:pPr>
        <w:ind w:right="100" w:firstLine="436"/>
        <w:spacing w:after="0" w:line="252" w:lineRule="auto"/>
        <w:tabs>
          <w:tab w:leader="none" w:pos="71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Disclosing Party may decide at any time to terminate further access by the Receiving Party to, and the Receiving Party’s review of, any Confidential Information. In that case, the Receiving Party and its Representatives will promptly (a) deliver to the Disclosing Party all Confidential Information, and (b) destroy all other Evaluation Material, in each case, to the extent in it or any of its Representatives’ possession or control, and not retain any copies, extracts or other reproductions in whole or in part of such Confidential Information or Evaluation Material (including, to the extent practicable, expunging all such Confidential Information and Evaluation Material from any computer, word processor or other device containing such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the foregoing, (i) the Receiving Party and its Representatives may retain a single copy of any Confidential Information and Evaluation Material if and to the extent required by applicable Law or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Evaluation Material is not used for any purpose other than compliance with such Law or regulation, (ii) neither the Receiving Party nor any of its Representatives will be required to destroy any electronic copy of any Confidential Information or Evaluation Material which is retained pursuant to such person’s standard electronic backup and archival procedures if (x) personnel whose functions are not primarily information technology in nature do not have access to such retained copies and (y) personnel whose functions are primarily information technology in nature have access to such copies only as reasonably necessary for the performance of their information technology duties (e.g., for purposes of system recovery), and (iii) if a legal proceeding has been instituted to seek disclosure of any Confidential Information or Evaluation Material, or that may otherwise implicate any such Confidential Information or Evaluation Material, such Confidential Information and Evaluation Material may be retained and need not be destroyed unless and until such legal proceeding is settled or a final judgment with respect thereto is rendered. If requested by the Disclosing Party, an appropriate officer will certify to the Disclosing Party in writing that all such material has been so delivered and destroyed in compliance herewith. Regardless of the delivery or destruction of any Confidential Information or Evaluation Material required by this Section 10, any and all duties and obligations existing under this letter agreement with respect thereto will remain in full force and effect.</w:t>
      </w:r>
    </w:p>
    <w:p>
      <w:pPr>
        <w:spacing w:after="0" w:line="191" w:lineRule="exact"/>
        <w:rPr>
          <w:rFonts w:ascii="Times New Roman" w:cs="Times New Roman" w:eastAsia="Times New Roman" w:hAnsi="Times New Roman"/>
          <w:sz w:val="18"/>
          <w:szCs w:val="18"/>
          <w:color w:val="auto"/>
        </w:rPr>
      </w:pPr>
    </w:p>
    <w:p>
      <w:pPr>
        <w:ind w:right="240" w:firstLine="436"/>
        <w:spacing w:after="0" w:line="266" w:lineRule="auto"/>
        <w:tabs>
          <w:tab w:leader="none" w:pos="70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the Company agree that, for a period of one (1) year from the date of this letter agreement, without the other party’s prior written consent, neither Buyer or its Representatives on the one hand, nor the Company or its Representatives on the other, shall in any manner, directly or indirectly:</w:t>
      </w:r>
    </w:p>
    <w:p>
      <w:pPr>
        <w:spacing w:after="0" w:line="67" w:lineRule="exact"/>
        <w:rPr>
          <w:rFonts w:ascii="Times New Roman" w:cs="Times New Roman" w:eastAsia="Times New Roman" w:hAnsi="Times New Roman"/>
          <w:sz w:val="18"/>
          <w:szCs w:val="18"/>
          <w:color w:val="auto"/>
        </w:rPr>
      </w:pPr>
    </w:p>
    <w:p>
      <w:pPr>
        <w:ind w:left="440" w:firstLine="419"/>
        <w:spacing w:after="0" w:line="255" w:lineRule="auto"/>
        <w:tabs>
          <w:tab w:leader="none" w:pos="110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agree to acquire, or publicly propose or offer to acquire, whether by means of a private or open market purchase, a block trade, a tender or exchange offer, a merger, consolidation or other form of business combination transaction or in any other manner, (i) beneficial ownership (as defined in Rule 13d-3 under the Exchange Act) of, any economic interest in, any right to direct the voting or disposition of, or any other right with respect to more than 5% of any class of the equity securities of the Company, including through options, puts, calls, swaps or other derivative or convertible instruments, hedging contracts or any other form of transaction, agreement, arrangement or understanding (collectively, “</w:t>
      </w:r>
      <w:r>
        <w:rPr>
          <w:rFonts w:ascii="Times New Roman" w:cs="Times New Roman" w:eastAsia="Times New Roman" w:hAnsi="Times New Roman"/>
          <w:sz w:val="18"/>
          <w:szCs w:val="18"/>
          <w:u w:val="single" w:color="auto"/>
          <w:color w:val="auto"/>
        </w:rPr>
        <w:t>Derivative Securities</w:t>
      </w:r>
      <w:r>
        <w:rPr>
          <w:rFonts w:ascii="Times New Roman" w:cs="Times New Roman" w:eastAsia="Times New Roman" w:hAnsi="Times New Roman"/>
          <w:sz w:val="18"/>
          <w:szCs w:val="18"/>
          <w:color w:val="auto"/>
        </w:rPr>
        <w:t>”), in each case, whether or not any of the foregoing may be acquired or obtained immediately or only after the passage of time or upon the satisfaction of one or more conditions (whether or not within the control of such party)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2" w:name="page113"/>
    <w:bookmarkEnd w:id="1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or not any of the foregoing would give rise to beneficial ownership (as defined under Rule 13d-3 under the Exchange Act), or</w:t>
      </w:r>
    </w:p>
    <w:p>
      <w:pPr>
        <w:spacing w:after="0" w:line="27" w:lineRule="exact"/>
        <w:rPr>
          <w:sz w:val="20"/>
          <w:szCs w:val="20"/>
          <w:color w:val="auto"/>
        </w:rPr>
      </w:pPr>
    </w:p>
    <w:p>
      <w:pPr>
        <w:ind w:left="440" w:hanging="4"/>
        <w:spacing w:after="0" w:line="260" w:lineRule="auto"/>
        <w:tabs>
          <w:tab w:leader="none" w:pos="70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any indebtedness, businesses, properties or assets of the Company (other than asset purchases in the ordinary course of business), in each case including any rights or options to acquire such ownership through derivative or any other form of transaction;</w:t>
      </w:r>
    </w:p>
    <w:p>
      <w:pPr>
        <w:spacing w:after="0" w:line="73"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attempt to effect, or publicly propose or offer to effect, (i) any merger, consolidation or other form of business combination transaction in each case with respect to or in any way involving the Company, (ii) any acquisition of more than 5% of any class of the equity securities or assets (whether by private or open market purchase, a block trade, a tender or exchange offer or any other form of transaction) in each case with respect to or in any way involving the Company, or (iii) any recapitalization, restructuring, liquidation, dissolution or any other extraordinary transaction, in each case with respect to or in any way involving the Company;</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 or induce or attempt to induce any other person or group to initiate, (i) any transaction referenced in the foregoing clauses (a) and</w:t>
      </w:r>
    </w:p>
    <w:p>
      <w:pPr>
        <w:spacing w:after="0" w:line="38" w:lineRule="exact"/>
        <w:rPr>
          <w:rFonts w:ascii="Times New Roman" w:cs="Times New Roman" w:eastAsia="Times New Roman" w:hAnsi="Times New Roman"/>
          <w:sz w:val="17"/>
          <w:szCs w:val="17"/>
          <w:color w:val="auto"/>
        </w:rPr>
      </w:pPr>
    </w:p>
    <w:p>
      <w:pPr>
        <w:ind w:left="440" w:right="40" w:hanging="4"/>
        <w:spacing w:after="0" w:line="255" w:lineRule="auto"/>
        <w:tabs>
          <w:tab w:leader="none" w:pos="6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11, (ii) any stockholder proposal regarding the Company or the board of directors, management, business, strategies, policies or affairs thereof (whether binding or precatory in nature), or (iii) the calling, holding or convening of a stockholders’ meeting of the Company for any purpose;</w:t>
      </w:r>
    </w:p>
    <w:p>
      <w:pPr>
        <w:spacing w:after="0" w:line="7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seek or attempt to change, control or influence, or induce or attempt to induce any other person or group to seek or attempt to change, control or influence, the board of directors, management, business, strategies, policies or affairs of the Company, or (ii) seek or attempt, or induce or attempt to induce any other person or group to seek or attempt, to obtain representation on the board of directors of the Company, including in each case, without limitation, by means of a “solicitation” of “proxies” (as such terms are defined in Rule 14a-1 of Regulation 14A promulgated pursuant to Section 14 of the Exchange Act, disregarding clause (iv) of Rule 14a-l (1)(2) and including any otherwise exempt solicitation pursuant to Rule 14a-2(b)), contacting any person relating to any of the matters set forth in this Section 11 or seeking to influence, advise or direct the vote of any holder of voting securities of the Company;</w:t>
      </w:r>
    </w:p>
    <w:p>
      <w:pPr>
        <w:spacing w:after="0" w:line="80"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or enter into any discussions or arrangements with, any person or group who has filed, or will (within ten (10) days thereafter) be required to file, a statement containing the information required by Rule 13d-1 under the Exchange Act, concerning any of the matters set forth in this Section 11;</w:t>
      </w:r>
    </w:p>
    <w:p>
      <w:pPr>
        <w:spacing w:after="0" w:line="6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08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announcement with respect to the restrictions of this Section 11, or take any action that might reasonably be expected to require the Company or its Representatives under applicable law or listing standards to make a public announcement regarding any of the matters referenced or described in this Section 11; or</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assist or encourage any other person (including serving as a financing source for any other person) in connection with any of the matters referenced or described in this Section 11.</w:t>
      </w:r>
    </w:p>
    <w:p>
      <w:pPr>
        <w:spacing w:after="0" w:line="162"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nothing in this letter agreement shall prevent either party or its Representatives from communicating with the Chief Executive Officer or the Board of Directors of the other party to make a confidential proposal for or to negotiate confidentially with the other party in respect of any tender offer or exchange offer, merger or other business combination involving the other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3" w:name="page114"/>
    <w:bookmarkEnd w:id="113"/>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or any of its assets so long as such communication is made confidentially and would not reasonably be expected to require public disclosure. In addition, the restrictions set forth in this Section 11 shall automatically terminate and be of no further force and effect, without any action on the part of any party hereto, if either (i) either of the parties enters into a definitive written agreement with any person other than the other party to this letter agreement or its controlled affiliates to consummate a transaction involving the acquisition of all or a majority of the voting power of each class of such party’s outstanding equity securities or all or substantially all of the consolidated assets of such party and its consolidated subsidiaries (whether by merger, consolidation, business combination, tender or exchange offer, recapitalization, restructuring, sale, equity issuance or otherwise), or (ii) a tender or exchange offer for all or a majority of each class of a party’s outstanding equity securities is commenced by any person other than the other party to this letter agreement or its controlled affiliates and within ten (10) business days thereafter, the board of directors of the party receiving such tender offer has not publicly taken a position rejecting such tender or exchange offer and recommending that the stockholders not tender any equity securities of the Company into such tender or exchange offer. Following the date that is one (1) year from the date of this letter agreement, nothing in this letter agreement shall, directly or indirectly, prevent or otherwise limit either party from taking any actions referred to in this Section 11.</w:t>
      </w:r>
    </w:p>
    <w:p>
      <w:pPr>
        <w:spacing w:after="0" w:line="192" w:lineRule="exact"/>
        <w:rPr>
          <w:sz w:val="20"/>
          <w:szCs w:val="20"/>
          <w:color w:val="auto"/>
        </w:rPr>
      </w:pPr>
    </w:p>
    <w:p>
      <w:pPr>
        <w:ind w:left="4" w:right="320" w:firstLine="436"/>
        <w:spacing w:after="0" w:line="272" w:lineRule="auto"/>
        <w:tabs>
          <w:tab w:leader="none" w:pos="714"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hereby agrees that, without the Company’s prior written consent, for a period of one (1) year from the date of this letter agreement, neither Buyer or its Representatives, acting on its behalf or at its direction, will, directly or indirectly, solicit for the purposes of employment any employee of the Company and its affiliates who during any period during which the parties are engaged in discussions regarding a Transaction, is an</w:t>
      </w:r>
    </w:p>
    <w:p>
      <w:pPr>
        <w:spacing w:after="0" w:line="1" w:lineRule="exact"/>
        <w:rPr>
          <w:rFonts w:ascii="Times New Roman" w:cs="Times New Roman" w:eastAsia="Times New Roman" w:hAnsi="Times New Roman"/>
          <w:sz w:val="17"/>
          <w:szCs w:val="17"/>
          <w:color w:val="auto"/>
        </w:rPr>
      </w:pPr>
    </w:p>
    <w:p>
      <w:pPr>
        <w:ind w:left="4" w:right="180" w:hanging="4"/>
        <w:spacing w:after="0" w:line="251" w:lineRule="auto"/>
        <w:tabs>
          <w:tab w:leader="none" w:pos="21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officer of the Company or its subsidiaries or (ii) other employee of the Company or its subsidiaries who (a) is or becomes substantively involved in discussions between you and the Company regarding a Transaction, (b) has first been introduced to you by the Company in connection with a Transaction, or (c) about whom you receive substantive employment information (other than name, title and compensation) in connection with a Transaction;, or otherwise solicit, induce or otherwise encourage any such person to discontinue or refrain from entering into any employment relationship (contractual or otherwise) with Buyer,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letter agreement will not prohibit or otherwise restrict (i) solicitation through general advertisements or general public solicitations for employment for any position not specifically targeted at any officers or other employees of the other party or its subsidiaries or (ii) solicitation with respect to any person whose employment has been terminated by the Company for a period of at least six months at the time of such solicitation (or if no solicitation is made, at the time of such hiring).</w:t>
      </w:r>
    </w:p>
    <w:p>
      <w:pPr>
        <w:spacing w:after="0" w:line="193" w:lineRule="exact"/>
        <w:rPr>
          <w:rFonts w:ascii="Times New Roman" w:cs="Times New Roman" w:eastAsia="Times New Roman" w:hAnsi="Times New Roman"/>
          <w:sz w:val="18"/>
          <w:szCs w:val="18"/>
          <w:color w:val="auto"/>
        </w:rPr>
      </w:pPr>
    </w:p>
    <w:p>
      <w:pPr>
        <w:ind w:left="4" w:firstLine="436"/>
        <w:spacing w:after="0" w:line="254" w:lineRule="auto"/>
        <w:tabs>
          <w:tab w:leader="none" w:pos="71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Confidential Information and/or Evaluation Materials may include material subject to the attorney-client privilege, work product doctrine or any other applicable privilege concerning pending or threatened legal or regulatory proceedings or governmental investigations, the parties hereto understand and agree that they have a commonality of interest with respect to such matters and it is their desire, intention and mutual understanding that the disclosure of such material is not intended to, and will not, waive or diminish in any way the confidentiality of such material or its continued protection under the attorney-client privilege, work product doctrine or other applicable privilege and any such Confidential Information and Evaluation Materials will remain entitled to all protection under these privileges, this letter agreement and the joint defense doctrine. Nothing in this letter agreement obligates the Company to reveal material subject to the attorney-client privilege, work product doctrine or any other applicable privilege, and in the event of an inadvertent disclosure of any materials which may have the effect of waiving any such privilege, you and your Representatives agree to destroy any such materials promptly upon the request of the Company or its Representatives.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14" w:name="page115"/>
    <w:bookmarkEnd w:id="114"/>
    <w:p>
      <w:pPr>
        <w:ind w:right="80" w:firstLine="436"/>
        <w:spacing w:after="0" w:line="261" w:lineRule="auto"/>
        <w:tabs>
          <w:tab w:leader="none" w:pos="71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hereby agree that each party will be responsible and liable (as a principal and not as a guarantor) for any breaches or other violations of any provisions of this letter agreement that apply to your Representatives which are committed by any such Representatives as if such breaches or violations had been committed directly by you. The foregoing obligation shall not limit the remedies available to the Company for any such breach of this letter agreement against any of your Representatives.</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acknowledge and agree that the other party would be irreparably injured by a breach of this letter agreement and that money damages would be an inadequate remedy for an actual breach or threatened breach of this letter agreement because of the difficulty of ascertaining the amount of damages that will be suffered in the event the letter agreement is breached. Therefore, each party agrees that the other party will be entitled to equitable relief (including, without limitation, injunction and specific performance) as a remedy for any breach or threatened breach of the terms of this letter agreement, and in furtherance thereof each party further agrees (a) not to raise as a defense thereof that money damages would be an adequate remedy at law for any such breach or threatened breach or that any such breach or threatened breach should be compensable by an award of money damages and (b) to waive any requirements for the securing or posting of any bond in connection with such a remedy. Such remedies will not be deemed to be the exclusive remedies of the non-breaching party in the event that this letter agreement is breached but shall be in addition to all other remedies available to the non-breaching party at law or equity.</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litigation relating to this letter agreement, if a court of competent jurisdiction determines that you or any of your</w:t>
      </w:r>
    </w:p>
    <w:p>
      <w:pPr>
        <w:spacing w:after="0" w:line="27" w:lineRule="exact"/>
        <w:rPr>
          <w:rFonts w:ascii="Times New Roman" w:cs="Times New Roman" w:eastAsia="Times New Roman" w:hAnsi="Times New Roman"/>
          <w:sz w:val="18"/>
          <w:szCs w:val="18"/>
          <w:color w:val="auto"/>
        </w:rPr>
      </w:pPr>
    </w:p>
    <w:p>
      <w:pPr>
        <w:ind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have breached this letter agreement, then you will be liable and pay to the Company any and all reasonable legal fees and expenses incurred by the Company in connection with such litigation (including any and all appeals related thereto). Other than the foregoing and except as may be contemplated by any definitive agreements, all costs and expenses incurred in connection with this letter agreement and the consideration by the parties of a Transaction, including, without limitation, all fees of law firms, commercial banks, investment banks, accountants, public relations firms, experts and consultants, shall be paid by the party incurring such cost or expense.</w:t>
      </w:r>
    </w:p>
    <w:p>
      <w:pPr>
        <w:spacing w:after="0" w:line="186" w:lineRule="exact"/>
        <w:rPr>
          <w:rFonts w:ascii="Times New Roman" w:cs="Times New Roman" w:eastAsia="Times New Roman" w:hAnsi="Times New Roman"/>
          <w:sz w:val="18"/>
          <w:szCs w:val="18"/>
          <w:color w:val="auto"/>
        </w:rPr>
      </w:pPr>
    </w:p>
    <w:p>
      <w:pPr>
        <w:ind w:right="20" w:firstLine="436"/>
        <w:spacing w:after="0" w:line="266" w:lineRule="auto"/>
        <w:tabs>
          <w:tab w:leader="none" w:pos="71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letter agreement is found to violate any statute, regulation, rule, order or decree of any governmental authority, court, agency or exchange, such invalidity shall not be deemed to affect any other provision hereof or the validity of the remainder of this letter agreement, and such invalid provision shall be deemed deleted herefrom to the minimum extent necessary to cure such violation.</w:t>
      </w:r>
    </w:p>
    <w:p>
      <w:pPr>
        <w:spacing w:after="0" w:line="175"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71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acknowledged and agreed that no failure or delay by either party in exercising any right, power or privilege hereunder shall operate as a waiver thereof, nor will any single or partial exercise thereof preclude any other or further exercise thereof or the exercise of any other right, power or privilege hereunder.</w:t>
      </w:r>
    </w:p>
    <w:p>
      <w:pPr>
        <w:spacing w:after="0" w:line="175" w:lineRule="exact"/>
        <w:rPr>
          <w:rFonts w:ascii="Times New Roman" w:cs="Times New Roman" w:eastAsia="Times New Roman" w:hAnsi="Times New Roman"/>
          <w:sz w:val="18"/>
          <w:szCs w:val="18"/>
          <w:color w:val="auto"/>
        </w:rPr>
      </w:pPr>
    </w:p>
    <w:p>
      <w:pPr>
        <w:ind w:right="800" w:firstLine="436"/>
        <w:spacing w:after="0" w:line="282" w:lineRule="auto"/>
        <w:tabs>
          <w:tab w:leader="none" w:pos="71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sets forth the entire agreement between the parties regarding the subject matter hereof and supersedes all prior agreements (whether written or oral) between the parties or their respective affiliates, regarding the subject matter hereof.</w:t>
      </w:r>
    </w:p>
    <w:p>
      <w:pPr>
        <w:spacing w:after="0" w:line="161" w:lineRule="exact"/>
        <w:rPr>
          <w:rFonts w:ascii="Times New Roman" w:cs="Times New Roman" w:eastAsia="Times New Roman" w:hAnsi="Times New Roman"/>
          <w:sz w:val="18"/>
          <w:szCs w:val="18"/>
          <w:color w:val="auto"/>
        </w:rPr>
      </w:pPr>
    </w:p>
    <w:p>
      <w:pPr>
        <w:ind w:right="400" w:firstLine="436"/>
        <w:spacing w:after="0" w:line="266" w:lineRule="auto"/>
        <w:tabs>
          <w:tab w:leader="none" w:pos="71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only be amended, modified or waived by a written instrument signed by each party, which writing will only be effective to the extent that it expressly refers to the provision to be waived, modified or amended and sets forth the specific terms of such waiver, modification or amendment.</w:t>
      </w:r>
    </w:p>
    <w:p>
      <w:pPr>
        <w:spacing w:after="0" w:line="175"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71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will benefit and bind successors and assigns of you and the Company. Any assignment of this letter agreement by either party hereto without the prior written consent of the other party will be void and of no effect, except that the Company may assign this letter agreement to any acquiror of the Company or a majority of its voting securities or consolidated assets.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15" w:name="page116"/>
    <w:bookmarkEnd w:id="115"/>
    <w:p>
      <w:pPr>
        <w:ind w:left="-40" w:firstLine="436"/>
        <w:spacing w:after="0" w:line="253" w:lineRule="auto"/>
        <w:tabs>
          <w:tab w:leader="none" w:pos="67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letter agreement is intended to be for the benefit of the Company and its affiliates and Representatives, and will be governed by and construed in accordance with the laws of the State of Delaware applicable to agreements made and to be performed entirely within the State of Delaware, without regard to the conflict of law provisions thereof that would result in the application of the laws of any other jurisdiction. You hereby irrevocably and unconditionally consent to submit to the exclusive jurisdiction of the state courts of the State of Delaware located in New Castle County for any actions, suits or proceedings arising out of or relating to this letter agreement and the transactions contemplated hereby (and you agree not to commence any action, suit or proceeding relating thereto except in such courts, and further agree that service of any process, summons, notice or document by U.S. registered mail to the address set forth above shall be effective service of process for any action, suit or proceeding brought against you in any such court). You irrevocably and unconditionally waive any objection which you may now or hereafter have to the laying of venue of any action, suit or proceeding arising out of this letter agreement or the transactions contemplated hereby in the state courts of the State of Delaware located in New Castle County, and hereby further irrevocably and unconditionally waive and agree not to plead or claim in any such court that any such action, suit or proceeding brought in any such court has been brought in an inconvenient forum.</w:t>
      </w:r>
    </w:p>
    <w:p>
      <w:pPr>
        <w:spacing w:after="0" w:line="191" w:lineRule="exact"/>
        <w:rPr>
          <w:rFonts w:ascii="Times New Roman" w:cs="Times New Roman" w:eastAsia="Times New Roman" w:hAnsi="Times New Roman"/>
          <w:sz w:val="18"/>
          <w:szCs w:val="18"/>
          <w:color w:val="auto"/>
        </w:rPr>
      </w:pPr>
    </w:p>
    <w:p>
      <w:pPr>
        <w:ind w:left="-40" w:right="800" w:firstLine="436"/>
        <w:spacing w:after="0" w:line="282" w:lineRule="auto"/>
        <w:tabs>
          <w:tab w:leader="none" w:pos="67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WAIVES ANY AND ALL RIGHT TO TRIAL BY JURY IN ANY LEGAL PROCEEDING ARISING OUT OF OR RELATING TO THIS LETTER AGREEMENT.</w:t>
      </w:r>
    </w:p>
    <w:p>
      <w:pPr>
        <w:spacing w:after="0" w:line="161"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terminate three years from the date hereof.</w:t>
      </w:r>
    </w:p>
    <w:p>
      <w:pPr>
        <w:spacing w:after="0" w:line="225" w:lineRule="exact"/>
        <w:rPr>
          <w:rFonts w:ascii="Times New Roman" w:cs="Times New Roman" w:eastAsia="Times New Roman" w:hAnsi="Times New Roman"/>
          <w:sz w:val="18"/>
          <w:szCs w:val="18"/>
          <w:color w:val="auto"/>
        </w:rPr>
      </w:pPr>
    </w:p>
    <w:p>
      <w:pPr>
        <w:ind w:left="-40" w:right="160" w:firstLine="436"/>
        <w:spacing w:after="0" w:line="261" w:lineRule="auto"/>
        <w:tabs>
          <w:tab w:leader="none" w:pos="67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signed by facsimile and executed in counterparts, each of which shall be deemed to be an original but all of which shall be deemed to constitute a single instrument. Signatures to this letter agreement transmitted by DocuSign,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70" w:right="499" w:bottom="1440" w:gutter="0" w:footer="0" w:header="0"/>
        </w:sectPr>
      </w:pPr>
    </w:p>
    <w:bookmarkStart w:id="116" w:name="page117"/>
    <w:bookmarkEnd w:id="11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are in agreement with the foregoing, please so indicate by signing and returning one copy of this letter agreement, whereupon this letter agreement will constitute our agreement with respect to the matters set forth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Jesse Schumaker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Jesse Schumaker</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2/24/2026 | 8:56:56 AM PST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ACCEPTED AND AGREED: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Neurocrine Biosciences,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Ayesha Zierhut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Ayesha Zierhut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VP, Deputy General Counsel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2/24/26</w:t>
            </w:r>
          </w:p>
        </w:tc>
      </w:tr>
    </w:tbl>
    <w:p>
      <w:pPr>
        <w:spacing w:after="0" w:line="1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80"/>
          </w:cols>
          <w:pgMar w:left="440" w:top="270" w:right="779" w:bottom="1440" w:gutter="0" w:footer="0" w:header="0"/>
        </w:sectPr>
      </w:pPr>
    </w:p>
    <w:bookmarkStart w:id="117" w:name="page118"/>
    <w:bookmarkEnd w:id="117"/>
    <w:p>
      <w:pPr>
        <w:jc w:val="center"/>
        <w:ind w:right="12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3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9ADAF6"/>
          </w:tcPr>
          <w:p>
            <w:pPr>
              <w:jc w:val="right"/>
              <w:ind w:right="152"/>
              <w:spacing w:after="0" w:line="223" w:lineRule="exact"/>
              <w:rPr>
                <w:sz w:val="20"/>
                <w:szCs w:val="20"/>
                <w:color w:val="auto"/>
              </w:rPr>
            </w:pPr>
            <w:r>
              <w:rPr>
                <w:rFonts w:ascii="Arial" w:cs="Arial" w:eastAsia="Arial" w:hAnsi="Arial"/>
                <w:sz w:val="22"/>
                <w:szCs w:val="22"/>
                <w:b w:val="1"/>
                <w:bCs w:val="1"/>
                <w:color w:val="auto"/>
              </w:rPr>
              <w:t>Transaction</w:t>
            </w:r>
          </w:p>
        </w:tc>
        <w:tc>
          <w:tcPr>
            <w:tcW w:w="20" w:type="dxa"/>
            <w:vAlign w:val="bottom"/>
          </w:tcPr>
          <w:p>
            <w:pPr>
              <w:spacing w:after="0"/>
              <w:rPr>
                <w:sz w:val="19"/>
                <w:szCs w:val="19"/>
                <w:color w:val="auto"/>
              </w:rPr>
            </w:pPr>
          </w:p>
        </w:tc>
        <w:tc>
          <w:tcPr>
            <w:tcW w:w="1280" w:type="dxa"/>
            <w:vAlign w:val="bottom"/>
            <w:vMerge w:val="restart"/>
            <w:shd w:val="clear" w:color="auto" w:fill="9ADAF6"/>
          </w:tcPr>
          <w:p>
            <w:pPr>
              <w:jc w:val="right"/>
              <w:ind w:right="92"/>
              <w:spacing w:after="0"/>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19"/>
                <w:szCs w:val="19"/>
                <w:color w:val="auto"/>
              </w:rPr>
            </w:pPr>
          </w:p>
        </w:tc>
        <w:tc>
          <w:tcPr>
            <w:tcW w:w="1120" w:type="dxa"/>
            <w:vAlign w:val="bottom"/>
            <w:shd w:val="clear" w:color="auto" w:fill="9ADAF6"/>
          </w:tcPr>
          <w:p>
            <w:pPr>
              <w:jc w:val="right"/>
              <w:spacing w:after="0" w:line="223" w:lineRule="exact"/>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3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vMerge w:val="restart"/>
            <w:shd w:val="clear" w:color="auto" w:fill="9ADAF6"/>
          </w:tcPr>
          <w:p>
            <w:pPr>
              <w:jc w:val="right"/>
              <w:ind w:right="272"/>
              <w:spacing w:after="0"/>
              <w:rPr>
                <w:sz w:val="20"/>
                <w:szCs w:val="20"/>
                <w:color w:val="auto"/>
              </w:rPr>
            </w:pPr>
            <w:r>
              <w:rPr>
                <w:rFonts w:ascii="Arial" w:cs="Arial" w:eastAsia="Arial" w:hAnsi="Arial"/>
                <w:sz w:val="22"/>
                <w:szCs w:val="22"/>
                <w:b w:val="1"/>
                <w:bCs w:val="1"/>
                <w:color w:val="auto"/>
              </w:rPr>
              <w:t>Valuation</w:t>
            </w:r>
          </w:p>
        </w:tc>
        <w:tc>
          <w:tcPr>
            <w:tcW w:w="20" w:type="dxa"/>
            <w:vAlign w:val="bottom"/>
          </w:tcPr>
          <w:p>
            <w:pPr>
              <w:spacing w:after="0"/>
              <w:rPr>
                <w:sz w:val="15"/>
                <w:szCs w:val="15"/>
                <w:color w:val="auto"/>
              </w:rPr>
            </w:pPr>
          </w:p>
        </w:tc>
        <w:tc>
          <w:tcPr>
            <w:tcW w:w="12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vMerge w:val="restart"/>
            <w:shd w:val="clear" w:color="auto" w:fill="9ADAF6"/>
          </w:tcPr>
          <w:p>
            <w:pPr>
              <w:jc w:val="right"/>
              <w:spacing w:after="0"/>
              <w:rPr>
                <w:sz w:val="20"/>
                <w:szCs w:val="20"/>
                <w:color w:val="auto"/>
              </w:rPr>
            </w:pPr>
            <w:r>
              <w:rPr>
                <w:rFonts w:ascii="Arial" w:cs="Arial" w:eastAsia="Arial" w:hAnsi="Arial"/>
                <w:sz w:val="22"/>
                <w:szCs w:val="22"/>
                <w:b w:val="1"/>
                <w:bCs w:val="1"/>
                <w:color w:val="auto"/>
              </w:rPr>
              <w:t>Filing 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30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04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20" w:type="dxa"/>
            <w:vAlign w:val="bottom"/>
          </w:tcPr>
          <w:p>
            <w:pPr>
              <w:spacing w:after="0"/>
              <w:rPr>
                <w:sz w:val="20"/>
                <w:szCs w:val="20"/>
                <w:color w:val="auto"/>
              </w:rPr>
            </w:pPr>
          </w:p>
        </w:tc>
        <w:tc>
          <w:tcPr>
            <w:tcW w:w="1660" w:type="dxa"/>
            <w:vAlign w:val="bottom"/>
            <w:vMerge w:val="restart"/>
            <w:shd w:val="clear" w:color="auto" w:fill="E7E7E2"/>
          </w:tcPr>
          <w:p>
            <w:pPr>
              <w:ind w:left="760"/>
              <w:spacing w:after="0"/>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0"/>
                <w:szCs w:val="20"/>
                <w:color w:val="auto"/>
              </w:rPr>
            </w:pPr>
          </w:p>
        </w:tc>
        <w:tc>
          <w:tcPr>
            <w:tcW w:w="17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0.0001381</w:t>
            </w:r>
          </w:p>
        </w:tc>
        <w:tc>
          <w:tcPr>
            <w:tcW w:w="20" w:type="dxa"/>
            <w:vAlign w:val="bottom"/>
            <w:vMerge w:val="continue"/>
          </w:tcPr>
          <w:p>
            <w:pPr>
              <w:spacing w:after="0"/>
              <w:rPr>
                <w:sz w:val="20"/>
                <w:szCs w:val="20"/>
                <w:color w:val="auto"/>
              </w:rPr>
            </w:pPr>
          </w:p>
        </w:tc>
        <w:tc>
          <w:tcPr>
            <w:tcW w:w="11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2,882,219,157.38</w:t>
            </w:r>
          </w:p>
        </w:tc>
        <w:tc>
          <w:tcPr>
            <w:tcW w:w="20" w:type="dxa"/>
            <w:vAlign w:val="bottom"/>
          </w:tcPr>
          <w:p>
            <w:pPr>
              <w:spacing w:after="0"/>
              <w:rPr>
                <w:sz w:val="24"/>
                <w:szCs w:val="24"/>
                <w:color w:val="auto"/>
              </w:rPr>
            </w:pPr>
          </w:p>
        </w:tc>
        <w:tc>
          <w:tcPr>
            <w:tcW w:w="128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398,034.47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04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20" w:type="dxa"/>
            <w:vAlign w:val="bottom"/>
          </w:tcPr>
          <w:p>
            <w:pPr>
              <w:spacing w:after="0"/>
              <w:rPr>
                <w:sz w:val="23"/>
                <w:szCs w:val="23"/>
                <w:color w:val="auto"/>
              </w:rPr>
            </w:pPr>
          </w:p>
        </w:tc>
        <w:tc>
          <w:tcPr>
            <w:tcW w:w="16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3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Arial" w:cs="Arial" w:eastAsia="Arial" w:hAnsi="Arial"/>
                <w:sz w:val="22"/>
                <w:szCs w:val="22"/>
                <w:color w:val="auto"/>
              </w:rPr>
              <w:t>Transaction</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9"/>
              </w:rPr>
              <w:t>2,882,219,157.38</w:t>
            </w: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Valuation:</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 Fees Due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for Filing:</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398,034.47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 Fees</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Previously Paid:</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Total Fee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Offsets:</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99"/>
              </w:rPr>
              <w:t>398,034.47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Offering Note</w:t>
      </w:r>
    </w:p>
    <w:p>
      <w:pPr>
        <w:spacing w:after="0" w:line="141" w:lineRule="exact"/>
        <w:rPr>
          <w:sz w:val="20"/>
          <w:szCs w:val="20"/>
          <w:color w:val="auto"/>
        </w:rPr>
      </w:pPr>
    </w:p>
    <w:p>
      <w:pPr>
        <w:ind w:left="1400" w:right="1200" w:hanging="224"/>
        <w:spacing w:after="0" w:line="229" w:lineRule="auto"/>
        <w:tabs>
          <w:tab w:leader="none" w:pos="1400" w:val="left"/>
        </w:tabs>
        <w:numPr>
          <w:ilvl w:val="0"/>
          <w:numId w:val="125"/>
        </w:numPr>
        <w:rPr>
          <w:rFonts w:ascii="Arial" w:cs="Arial" w:eastAsia="Arial" w:hAnsi="Arial"/>
          <w:sz w:val="27"/>
          <w:szCs w:val="27"/>
          <w:color w:val="auto"/>
          <w:vertAlign w:val="superscript"/>
        </w:rPr>
      </w:pPr>
      <w:r>
        <w:rPr>
          <w:rFonts w:ascii="Arial" w:cs="Arial" w:eastAsia="Arial" w:hAnsi="Arial"/>
          <w:sz w:val="22"/>
          <w:szCs w:val="22"/>
          <w:color w:val="auto"/>
        </w:rPr>
        <w:t>* The "transaction valuation" was estimated solely for purposes of calculating the filing fee as the sum of (i) 52,018,597 issued and outstanding shares of common stock, par value $0.001 per share (the "Shares") of Soleno Therapeutics, Inc. ("Soleno"), multiplied by $53.00 per share (the "Offer Price"); (ii) 3,771,696 Shares issuable pursuant to outstanding in-the-money stock options, multiplied by $18.28, which is the difference between the Offer Price and $34.72, the weighted average exercise price of such options; (iii) 1,599 Shares underlying common warrants, multiplied by $48.50, which is the difference between the Offer Price and $4.50, the weighted average exercise price of such warrants; and (iv) 1,060,554 Shares issuable upon settlement of outstanding restricted stock units, multiplied by the Offer Price. The calculation of the filing fee is based on information provided by Soleno as of April 15, 2026. ** The "amount of filing fee" was calculated in accordance with Rule 0-11 under the Securities Exchange Act of 1934, as amended, and Section 6(b) Filing Fee Rate Advisory for Fiscal Year 2026 beginning on October 1, 2025, issued August 25, 2025, by multiplying the transaction valuation by 0.00013810.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87630</wp:posOffset>
            </wp:positionV>
            <wp:extent cx="567436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120" w:type="dxa"/>
            <w:vAlign w:val="bottom"/>
            <w:gridSpan w:val="8"/>
          </w:tcPr>
          <w:p>
            <w:pPr>
              <w:ind w:left="40"/>
              <w:spacing w:after="0"/>
              <w:rPr>
                <w:sz w:val="20"/>
                <w:szCs w:val="20"/>
                <w:color w:val="auto"/>
              </w:rPr>
            </w:pPr>
            <w:r>
              <w:rPr>
                <w:rFonts w:ascii="Arial" w:cs="Arial" w:eastAsia="Arial" w:hAnsi="Arial"/>
                <w:sz w:val="22"/>
                <w:szCs w:val="22"/>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ind w:left="460"/>
              <w:spacing w:after="0" w:line="253" w:lineRule="exact"/>
              <w:rPr>
                <w:sz w:val="20"/>
                <w:szCs w:val="20"/>
                <w:color w:val="auto"/>
              </w:rPr>
            </w:pPr>
            <w:r>
              <w:rPr>
                <w:rFonts w:ascii="MS PGothic" w:cs="MS PGothic" w:eastAsia="MS PGothic" w:hAnsi="MS PGothic"/>
                <w:sz w:val="22"/>
                <w:szCs w:val="22"/>
                <w:color w:val="auto"/>
                <w:highlight w:val="black"/>
                <w:w w:val="97"/>
              </w:rPr>
              <w:t>☑</w:t>
            </w:r>
            <w:r>
              <w:rPr>
                <w:rFonts w:ascii="Arial" w:cs="Arial" w:eastAsia="Arial" w:hAnsi="Arial"/>
                <w:sz w:val="22"/>
                <w:szCs w:val="22"/>
                <w:b w:val="1"/>
                <w:bCs w:val="1"/>
                <w:color w:val="auto"/>
                <w:w w:val="97"/>
              </w:rPr>
              <w:t>Not Applicable</w:t>
            </w:r>
          </w:p>
        </w:tc>
        <w:tc>
          <w:tcPr>
            <w:tcW w:w="0" w:type="dxa"/>
            <w:vAlign w:val="bottom"/>
          </w:tcPr>
          <w:p>
            <w:pPr>
              <w:spacing w:after="0"/>
              <w:rPr>
                <w:sz w:val="1"/>
                <w:szCs w:val="1"/>
                <w:color w:val="auto"/>
              </w:rPr>
            </w:pPr>
          </w:p>
        </w:tc>
      </w:tr>
      <w:tr>
        <w:trPr>
          <w:trHeight w:val="58"/>
        </w:trPr>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320" w:type="dxa"/>
            <w:vAlign w:val="bottom"/>
            <w:tcBorders>
              <w:top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Form or</w:t>
            </w: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Initial</w:t>
            </w: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vMerge w:val="continue"/>
          </w:tcPr>
          <w:p>
            <w:pPr>
              <w:spacing w:after="0"/>
              <w:rPr>
                <w:sz w:val="19"/>
                <w:szCs w:val="19"/>
                <w:color w:val="auto"/>
              </w:rPr>
            </w:pPr>
          </w:p>
        </w:tc>
        <w:tc>
          <w:tcPr>
            <w:tcW w:w="10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9"/>
              </w:rPr>
              <w:t>Fee Paid</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Registrant or Filer</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File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Fee Offset</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with Fee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Number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Claimed</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Type</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9ADAF6"/>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Source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136130" cy="13754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36130" cy="1375410"/>
                    </a:xfrm>
                    <a:prstGeom prst="rect">
                      <a:avLst/>
                    </a:prstGeom>
                    <a:noFill/>
                  </pic:spPr>
                </pic:pic>
              </a:graphicData>
            </a:graphic>
          </wp:anchor>
        </w:drawing>
      </w: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Claims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Sources</w:t>
      </w:r>
    </w:p>
    <w:sectPr>
      <w:pgSz w:w="11900" w:h="16838" w:orient="portrait"/>
      <w:cols w:equalWidth="0" w:num="1">
        <w:col w:w="11240"/>
      </w:cols>
      <w:pgMar w:left="320" w:top="1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lowerLetter"/>
      <w:start w:val="1"/>
    </w:lvl>
  </w:abstractNum>
  <w:abstractNum w:abstractNumId="1">
    <w:nsid w:val="579BE4F1"/>
    <w:multiLevelType w:val="hybridMultilevel"/>
    <w:lvl w:ilvl="0">
      <w:lvlJc w:val="left"/>
      <w:lvlText w:val="(%1)"/>
      <w:numFmt w:val="lowerLetter"/>
      <w:start w:val="1"/>
    </w:lvl>
  </w:abstractNum>
  <w:abstractNum w:abstractNumId="2">
    <w:nsid w:val="310C50B3"/>
    <w:multiLevelType w:val="hybridMultilevel"/>
    <w:lvl w:ilvl="0">
      <w:lvlJc w:val="left"/>
      <w:lvlText w:val="(%1)"/>
      <w:numFmt w:val="lowerLetter"/>
      <w:start w:val="3"/>
    </w:lvl>
  </w:abstractNum>
  <w:abstractNum w:abstractNumId="3">
    <w:nsid w:val="5FF87E05"/>
    <w:multiLevelType w:val="hybridMultilevel"/>
    <w:lvl w:ilvl="0">
      <w:lvlJc w:val="left"/>
      <w:lvlText w:val="(%1)"/>
      <w:numFmt w:val="lowerLetter"/>
      <w:start w:val="1"/>
    </w:lvl>
  </w:abstractNum>
  <w:abstractNum w:abstractNumId="4">
    <w:nsid w:val="2F305DEF"/>
    <w:multiLevelType w:val="hybridMultilevel"/>
    <w:lvl w:ilvl="0">
      <w:lvlJc w:val="left"/>
      <w:lvlText w:val="(%1)"/>
      <w:numFmt w:val="lowerLetter"/>
      <w:start w:val="1"/>
    </w:lvl>
  </w:abstractNum>
  <w:abstractNum w:abstractNumId="5">
    <w:nsid w:val="25A70BF7"/>
    <w:multiLevelType w:val="hybridMultilevel"/>
    <w:lvl w:ilvl="0">
      <w:lvlJc w:val="left"/>
      <w:lvlText w:val="(%1)"/>
      <w:numFmt w:val="lowerLetter"/>
      <w:start w:val="1"/>
    </w:lvl>
  </w:abstractNum>
  <w:abstractNum w:abstractNumId="6">
    <w:nsid w:val="1DBABF00"/>
    <w:multiLevelType w:val="hybridMultilevel"/>
    <w:lvl w:ilvl="0">
      <w:lvlJc w:val="left"/>
      <w:lvlText w:val="(%1)"/>
      <w:numFmt w:val="lowerLetter"/>
      <w:start w:val="1"/>
    </w:lvl>
  </w:abstractNum>
  <w:abstractNum w:abstractNumId="7">
    <w:nsid w:val="4AD084E9"/>
    <w:multiLevelType w:val="hybridMultilevel"/>
    <w:lvl w:ilvl="0">
      <w:lvlJc w:val="left"/>
      <w:lvlText w:val="(%1)"/>
      <w:numFmt w:val="lowerLetter"/>
      <w:start w:val="1"/>
    </w:lvl>
  </w:abstractNum>
  <w:abstractNum w:abstractNumId="8">
    <w:nsid w:val="1F48EAA1"/>
    <w:multiLevelType w:val="hybridMultilevel"/>
    <w:lvl w:ilvl="0">
      <w:lvlJc w:val="left"/>
      <w:lvlText w:val="(%1)"/>
      <w:numFmt w:val="lowerLetter"/>
      <w:start w:val="3"/>
    </w:lvl>
  </w:abstractNum>
  <w:abstractNum w:abstractNumId="9">
    <w:nsid w:val="1381823A"/>
    <w:multiLevelType w:val="hybridMultilevel"/>
    <w:lvl w:ilvl="0">
      <w:lvlJc w:val="left"/>
      <w:lvlText w:val="(%1)"/>
      <w:numFmt w:val="lowerLetter"/>
      <w:start w:val="2"/>
    </w:lvl>
  </w:abstractNum>
  <w:abstractNum w:abstractNumId="10">
    <w:nsid w:val="5DB70AE5"/>
    <w:multiLevelType w:val="hybridMultilevel"/>
    <w:lvl w:ilvl="0">
      <w:lvlJc w:val="left"/>
      <w:lvlText w:val="(%1)"/>
      <w:numFmt w:val="lowerLetter"/>
      <w:start w:val="7"/>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lvl w:ilvl="1">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1)"/>
      <w:numFmt w:val="decimal"/>
      <w:start w:val="10"/>
    </w:lvl>
  </w:abstractNum>
  <w:abstractNum w:abstractNumId="16">
    <w:nsid w:val="799D0247"/>
    <w:multiLevelType w:val="hybridMultilevel"/>
    <w:lvl w:ilvl="0">
      <w:lvlJc w:val="left"/>
      <w:lvlText w:val="(%1)"/>
      <w:numFmt w:val="decimal"/>
      <w:start w:val="2"/>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1)"/>
      <w:numFmt w:val="lowerRoman"/>
      <w:start w:val="3"/>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1)"/>
      <w:numFmt w:val="lowerRoman"/>
      <w:start w:val="2"/>
    </w:lvl>
  </w:abstractNum>
  <w:abstractNum w:abstractNumId="24">
    <w:nsid w:val="7BD3EE7B"/>
    <w:multiLevelType w:val="hybridMultilevel"/>
    <w:lvl w:ilvl="0">
      <w:lvlJc w:val="left"/>
      <w:lvlText w:val="%1."/>
      <w:numFmt w:val="decimal"/>
      <w:start w:val="1"/>
    </w:lvl>
  </w:abstractNum>
  <w:abstractNum w:abstractNumId="25">
    <w:nsid w:val="51D9C564"/>
    <w:multiLevelType w:val="hybridMultilevel"/>
    <w:lvl w:ilvl="0">
      <w:lvlJc w:val="left"/>
      <w:lvlText w:val="(%1)"/>
      <w:numFmt w:val="lowerRoman"/>
      <w:start w:val="5"/>
    </w:lvl>
  </w:abstractNum>
  <w:abstractNum w:abstractNumId="26">
    <w:nsid w:val="613EFDC5"/>
    <w:multiLevelType w:val="hybridMultilevel"/>
    <w:lvl w:ilvl="0">
      <w:lvlJc w:val="left"/>
      <w:lvlText w:val="%1."/>
      <w:numFmt w:val="decimal"/>
      <w:start w:val="2"/>
    </w:lvl>
  </w:abstractNum>
  <w:abstractNum w:abstractNumId="27">
    <w:nsid w:val="BF72B14"/>
    <w:multiLevelType w:val="hybridMultilevel"/>
    <w:lvl w:ilvl="0">
      <w:lvlJc w:val="left"/>
      <w:lvlText w:val="%1."/>
      <w:numFmt w:val="decimal"/>
      <w:start w:val="3"/>
    </w:lvl>
  </w:abstractNum>
  <w:abstractNum w:abstractNumId="28">
    <w:nsid w:val="11447B73"/>
    <w:multiLevelType w:val="hybridMultilevel"/>
    <w:lvl w:ilvl="0">
      <w:lvlJc w:val="left"/>
      <w:lvlText w:val="(%1)"/>
      <w:numFmt w:val="lowerLetter"/>
      <w:start w:val="2"/>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1."/>
      <w:numFmt w:val="decimal"/>
      <w:start w:val="4"/>
    </w:lvl>
  </w:abstractNum>
  <w:abstractNum w:abstractNumId="31">
    <w:nsid w:val="8F2B15E"/>
    <w:multiLevelType w:val="hybridMultilevel"/>
    <w:lvl w:ilvl="0">
      <w:lvlJc w:val="left"/>
      <w:lvlText w:val="%1."/>
      <w:numFmt w:val="decimal"/>
      <w:start w:val="5"/>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1)"/>
      <w:numFmt w:val="lowerRoman"/>
      <w:start w:val="2"/>
    </w:lvl>
  </w:abstractNum>
  <w:abstractNum w:abstractNumId="34">
    <w:nsid w:val="68EB2F63"/>
    <w:multiLevelType w:val="hybridMultilevel"/>
    <w:lvl w:ilvl="0">
      <w:lvlJc w:val="left"/>
      <w:lvlText w:val="%1."/>
      <w:numFmt w:val="decimal"/>
      <w:start w:val="6"/>
    </w:lvl>
  </w:abstractNum>
  <w:abstractNum w:abstractNumId="35">
    <w:nsid w:val="4962813B"/>
    <w:multiLevelType w:val="hybridMultilevel"/>
    <w:lvl w:ilvl="0">
      <w:lvlJc w:val="left"/>
      <w:lvlText w:val="%1."/>
      <w:numFmt w:val="decimal"/>
      <w:start w:val="7"/>
    </w:lvl>
  </w:abstractNum>
  <w:abstractNum w:abstractNumId="36">
    <w:nsid w:val="60B6DF70"/>
    <w:multiLevelType w:val="hybridMultilevel"/>
    <w:lvl w:ilvl="0">
      <w:lvlJc w:val="left"/>
      <w:lvlText w:val="%1."/>
      <w:numFmt w:val="decimal"/>
      <w:start w:val="8"/>
    </w:lvl>
  </w:abstractNum>
  <w:abstractNum w:abstractNumId="37">
    <w:nsid w:val="6A5EE64"/>
    <w:multiLevelType w:val="hybridMultilevel"/>
    <w:lvl w:ilvl="0">
      <w:lvlJc w:val="left"/>
      <w:lvlText w:val="(%1)"/>
      <w:numFmt w:val="lowerRoman"/>
      <w:start w:val="2"/>
    </w:lvl>
  </w:abstractNum>
  <w:abstractNum w:abstractNumId="38">
    <w:nsid w:val="14330624"/>
    <w:multiLevelType w:val="hybridMultilevel"/>
    <w:lvl w:ilvl="0">
      <w:lvlJc w:val="left"/>
      <w:lvlText w:val="%1."/>
      <w:numFmt w:val="decimal"/>
      <w:start w:val="9"/>
    </w:lvl>
  </w:abstractNum>
  <w:abstractNum w:abstractNumId="39">
    <w:nsid w:val="7FFFCA11"/>
    <w:multiLevelType w:val="hybridMultilevel"/>
    <w:lvl w:ilvl="0">
      <w:lvlJc w:val="left"/>
      <w:lvlText w:val="%1."/>
      <w:numFmt w:val="decimal"/>
      <w:start w:val="10"/>
    </w:lvl>
  </w:abstractNum>
  <w:abstractNum w:abstractNumId="40">
    <w:nsid w:val="1A27709E"/>
    <w:multiLevelType w:val="hybridMultilevel"/>
    <w:lvl w:ilvl="0">
      <w:lvlJc w:val="left"/>
      <w:lvlText w:val="%1."/>
      <w:numFmt w:val="decimal"/>
      <w:start w:val="11"/>
    </w:lvl>
  </w:abstractNum>
  <w:abstractNum w:abstractNumId="41">
    <w:nsid w:val="71EA1109"/>
    <w:multiLevelType w:val="hybridMultilevel"/>
    <w:lvl w:ilvl="0">
      <w:lvlJc w:val="left"/>
      <w:lvlText w:val="(%1)"/>
      <w:numFmt w:val="decimal"/>
      <w:start w:val="10"/>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
      <w:numFmt w:val="bullet"/>
      <w:start w:val="1"/>
    </w:lvl>
  </w:abstractNum>
  <w:abstractNum w:abstractNumId="45">
    <w:nsid w:val="6F6DD9AC"/>
    <w:multiLevelType w:val="hybridMultilevel"/>
    <w:lvl w:ilvl="0">
      <w:lvlJc w:val="left"/>
      <w:lvlText w:val="•"/>
      <w:numFmt w:val="bullet"/>
      <w:start w:val="1"/>
    </w:lvl>
  </w:abstractNum>
  <w:abstractNum w:abstractNumId="46">
    <w:nsid w:val="94211F2"/>
    <w:multiLevelType w:val="hybridMultilevel"/>
    <w:lvl w:ilvl="0">
      <w:lvlJc w:val="left"/>
      <w:lvlText w:val="(%1)"/>
      <w:numFmt w:val="lowerRoman"/>
      <w:start w:val="3"/>
    </w:lvl>
  </w:abstractNum>
  <w:abstractNum w:abstractNumId="47">
    <w:nsid w:val="885E1B"/>
    <w:multiLevelType w:val="hybridMultilevel"/>
    <w:lvl w:ilvl="0">
      <w:lvlJc w:val="left"/>
      <w:lvlText w:val="(%1)"/>
      <w:numFmt w:val="lowerRoman"/>
      <w:start w:val="5"/>
    </w:lvl>
  </w:abstractNum>
  <w:abstractNum w:abstractNumId="48">
    <w:nsid w:val="76272110"/>
    <w:multiLevelType w:val="hybridMultilevel"/>
    <w:lvl w:ilvl="0">
      <w:lvlJc w:val="left"/>
      <w:lvlText w:val="(%1)"/>
      <w:numFmt w:val="lowerLetter"/>
      <w:start w:val="3"/>
    </w:lvl>
    <w:lvl w:ilvl="1">
      <w:lvlJc w:val="left"/>
      <w:lvlText w:val="•"/>
      <w:numFmt w:val="bullet"/>
      <w:start w:val="1"/>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
      <w:numFmt w:val="bullet"/>
      <w:start w:val="1"/>
    </w:lvl>
  </w:abstractNum>
  <w:abstractNum w:abstractNumId="53">
    <w:nsid w:val="74DE0EE3"/>
    <w:multiLevelType w:val="hybridMultilevel"/>
    <w:lvl w:ilvl="0">
      <w:lvlJc w:val="left"/>
      <w:lvlText w:val="•"/>
      <w:numFmt w:val="bullet"/>
      <w:start w:val="1"/>
    </w:lvl>
  </w:abstractNum>
  <w:abstractNum w:abstractNumId="54">
    <w:nsid w:val="68EBC550"/>
    <w:multiLevelType w:val="hybridMultilevel"/>
    <w:lvl w:ilvl="0">
      <w:lvlJc w:val="left"/>
      <w:lvlText w:val="•"/>
      <w:numFmt w:val="bullet"/>
      <w:start w:val="1"/>
    </w:lvl>
  </w:abstractNum>
  <w:abstractNum w:abstractNumId="55">
    <w:nsid w:val="2DF6D648"/>
    <w:multiLevelType w:val="hybridMultilevel"/>
    <w:lvl w:ilvl="0">
      <w:lvlJc w:val="left"/>
      <w:lvlText w:val="•"/>
      <w:numFmt w:val="bullet"/>
      <w:start w:val="1"/>
    </w:lvl>
  </w:abstractNum>
  <w:abstractNum w:abstractNumId="56">
    <w:nsid w:val="46B7D447"/>
    <w:multiLevelType w:val="hybridMultilevel"/>
    <w:lvl w:ilvl="0">
      <w:lvlJc w:val="left"/>
      <w:lvlText w:val="(%1)"/>
      <w:numFmt w:val="lowerRoman"/>
      <w:start w:val="2"/>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
      <w:numFmt w:val="bullet"/>
      <w:start w:val="1"/>
    </w:lvl>
    <w:lvl w:ilvl="1">
      <w:lvlJc w:val="left"/>
      <w:lvlText w:val="•"/>
      <w:numFmt w:val="bullet"/>
      <w:start w:val="1"/>
    </w:lvl>
  </w:abstractNum>
  <w:abstractNum w:abstractNumId="59">
    <w:nsid w:val="57FC4FBB"/>
    <w:multiLevelType w:val="hybridMultilevel"/>
    <w:lvl w:ilvl="0">
      <w:lvlJc w:val="left"/>
      <w:lvlText w:val="(%1)"/>
      <w:numFmt w:val="upperLetter"/>
      <w:start w:val="3"/>
    </w:lvl>
  </w:abstractNum>
  <w:abstractNum w:abstractNumId="60">
    <w:nsid w:val="CC1016F"/>
    <w:multiLevelType w:val="hybridMultilevel"/>
    <w:lvl w:ilvl="0">
      <w:lvlJc w:val="left"/>
      <w:lvlText w:val="(%1)"/>
      <w:numFmt w:val="lowerRoman"/>
      <w:start w:val="2"/>
    </w:lvl>
  </w:abstractNum>
  <w:abstractNum w:abstractNumId="61">
    <w:nsid w:val="43F18422"/>
    <w:multiLevelType w:val="hybridMultilevel"/>
    <w:lvl w:ilvl="0">
      <w:lvlJc w:val="left"/>
      <w:lvlText w:val="•"/>
      <w:numFmt w:val="bullet"/>
      <w:start w:val="1"/>
    </w:lvl>
  </w:abstractNum>
  <w:abstractNum w:abstractNumId="62">
    <w:nsid w:val="60EF0119"/>
    <w:multiLevelType w:val="hybridMultilevel"/>
    <w:lvl w:ilvl="0">
      <w:lvlJc w:val="left"/>
      <w:lvlText w:val="•"/>
      <w:numFmt w:val="bullet"/>
      <w:start w:val="1"/>
    </w:lvl>
    <w:lvl w:ilvl="1">
      <w:lvlJc w:val="left"/>
      <w:lvlText w:val="•"/>
      <w:numFmt w:val="bullet"/>
      <w:start w:val="1"/>
    </w:lvl>
  </w:abstractNum>
  <w:abstractNum w:abstractNumId="63">
    <w:nsid w:val="26F324BA"/>
    <w:multiLevelType w:val="hybridMultilevel"/>
    <w:lvl w:ilvl="0">
      <w:lvlJc w:val="left"/>
      <w:lvlText w:val="•"/>
      <w:numFmt w:val="bullet"/>
      <w:start w:val="1"/>
    </w:lvl>
    <w:lvl w:ilvl="1">
      <w:lvlJc w:val="left"/>
      <w:lvlText w:val="•"/>
      <w:numFmt w:val="bullet"/>
      <w:start w:val="1"/>
    </w:lvl>
  </w:abstractNum>
  <w:abstractNum w:abstractNumId="64">
    <w:nsid w:val="7F01579B"/>
    <w:multiLevelType w:val="hybridMultilevel"/>
    <w:lvl w:ilvl="0">
      <w:lvlJc w:val="left"/>
      <w:lvlText w:val="•"/>
      <w:numFmt w:val="bullet"/>
      <w:start w:val="1"/>
    </w:lvl>
  </w:abstractNum>
  <w:abstractNum w:abstractNumId="65">
    <w:nsid w:val="49DA307D"/>
    <w:multiLevelType w:val="hybridMultilevel"/>
    <w:lvl w:ilvl="0">
      <w:lvlJc w:val="left"/>
      <w:lvlText w:val="•"/>
      <w:numFmt w:val="bullet"/>
      <w:start w:val="1"/>
    </w:lvl>
  </w:abstractNum>
  <w:abstractNum w:abstractNumId="66">
    <w:nsid w:val="7055A5F5"/>
    <w:multiLevelType w:val="hybridMultilevel"/>
    <w:lvl w:ilvl="0">
      <w:lvlJc w:val="left"/>
      <w:lvlText w:val="(%1)"/>
      <w:numFmt w:val="lowerRoman"/>
      <w:start w:val="10"/>
    </w:lvl>
  </w:abstractNum>
  <w:abstractNum w:abstractNumId="67">
    <w:nsid w:val="5FB8370B"/>
    <w:multiLevelType w:val="hybridMultilevel"/>
    <w:lvl w:ilvl="0">
      <w:lvlJc w:val="left"/>
      <w:lvlText w:val="(%1)"/>
      <w:numFmt w:val="lowerRoman"/>
      <w:start w:val="1"/>
    </w:lvl>
  </w:abstractNum>
  <w:abstractNum w:abstractNumId="68">
    <w:nsid w:val="50801EE1"/>
    <w:multiLevelType w:val="hybridMultilevel"/>
    <w:lvl w:ilvl="0">
      <w:lvlJc w:val="left"/>
      <w:lvlText w:val="%1."/>
      <w:numFmt w:val="decimal"/>
      <w:start w:val="12"/>
    </w:lvl>
  </w:abstractNum>
  <w:abstractNum w:abstractNumId="69">
    <w:nsid w:val="488AC1A"/>
    <w:multiLevelType w:val="hybridMultilevel"/>
    <w:lvl w:ilvl="0">
      <w:lvlJc w:val="left"/>
      <w:lvlText w:val="%1."/>
      <w:numFmt w:val="decimal"/>
      <w:start w:val="13"/>
    </w:lvl>
  </w:abstractNum>
  <w:abstractNum w:abstractNumId="70">
    <w:nsid w:val="5FB8011C"/>
    <w:multiLevelType w:val="hybridMultilevel"/>
    <w:lvl w:ilvl="0">
      <w:lvlJc w:val="left"/>
      <w:lvlText w:val="%1."/>
      <w:numFmt w:val="decimal"/>
      <w:start w:val="14"/>
    </w:lvl>
  </w:abstractNum>
  <w:abstractNum w:abstractNumId="71">
    <w:nsid w:val="6AA78F7F"/>
    <w:multiLevelType w:val="hybridMultilevel"/>
    <w:lvl w:ilvl="0">
      <w:lvlJc w:val="left"/>
      <w:lvlText w:val="%1."/>
      <w:numFmt w:val="decimal"/>
      <w:start w:val="15"/>
    </w:lvl>
  </w:abstractNum>
  <w:abstractNum w:abstractNumId="72">
    <w:nsid w:val="7672BD23"/>
    <w:multiLevelType w:val="hybridMultilevel"/>
    <w:lvl w:ilvl="0">
      <w:lvlJc w:val="left"/>
      <w:lvlText w:val="(%1)"/>
      <w:numFmt w:val="lowerRoman"/>
      <w:start w:val="1"/>
    </w:lvl>
  </w:abstractNum>
  <w:abstractNum w:abstractNumId="73">
    <w:nsid w:val="6FC75AF8"/>
    <w:multiLevelType w:val="hybridMultilevel"/>
    <w:lvl w:ilvl="0">
      <w:lvlJc w:val="left"/>
      <w:lvlText w:val="(%1)"/>
      <w:numFmt w:val="lowerRoman"/>
      <w:start w:val="3"/>
    </w:lvl>
  </w:abstractNum>
  <w:abstractNum w:abstractNumId="74">
    <w:nsid w:val="6A5F7029"/>
    <w:multiLevelType w:val="hybridMultilevel"/>
    <w:lvl w:ilvl="0">
      <w:lvlJc w:val="left"/>
      <w:lvlText w:val="%1."/>
      <w:numFmt w:val="decimal"/>
      <w:start w:val="16"/>
    </w:lvl>
  </w:abstractNum>
  <w:abstractNum w:abstractNumId="75">
    <w:nsid w:val="7D5E18F8"/>
    <w:multiLevelType w:val="hybridMultilevel"/>
    <w:lvl w:ilvl="0">
      <w:lvlJc w:val="left"/>
      <w:lvlText w:val="%1."/>
      <w:numFmt w:val="decimal"/>
      <w:start w:val="17"/>
    </w:lvl>
  </w:abstractNum>
  <w:abstractNum w:abstractNumId="76">
    <w:nsid w:val="5F3534A4"/>
    <w:multiLevelType w:val="hybridMultilevel"/>
    <w:lvl w:ilvl="0">
      <w:lvlJc w:val="left"/>
      <w:lvlText w:val="•"/>
      <w:numFmt w:val="bullet"/>
      <w:start w:val="1"/>
    </w:lvl>
  </w:abstractNum>
  <w:abstractNum w:abstractNumId="77">
    <w:nsid w:val="73A1821B"/>
    <w:multiLevelType w:val="hybridMultilevel"/>
    <w:lvl w:ilvl="0">
      <w:lvlJc w:val="left"/>
      <w:lvlText w:val="%1."/>
      <w:numFmt w:val="decimal"/>
      <w:start w:val="18"/>
    </w:lvl>
  </w:abstractNum>
  <w:abstractNum w:abstractNumId="78">
    <w:nsid w:val="7DE67713"/>
    <w:multiLevelType w:val="hybridMultilevel"/>
    <w:lvl w:ilvl="0">
      <w:lvlJc w:val="left"/>
      <w:lvlText w:val="%1."/>
      <w:numFmt w:val="decimal"/>
      <w:start w:val="19"/>
    </w:lvl>
  </w:abstractNum>
  <w:abstractNum w:abstractNumId="79">
    <w:nsid w:val="555C55B5"/>
    <w:multiLevelType w:val="hybridMultilevel"/>
    <w:lvl w:ilvl="0">
      <w:lvlJc w:val="left"/>
      <w:lvlText w:val="☐"/>
      <w:numFmt w:val="bullet"/>
      <w:start w:val="1"/>
    </w:lvl>
  </w:abstractNum>
  <w:abstractNum w:abstractNumId="80">
    <w:nsid w:val="3FA62ACA"/>
    <w:multiLevelType w:val="hybridMultilevel"/>
    <w:lvl w:ilvl="0">
      <w:lvlJc w:val="left"/>
      <w:lvlText w:val="☐"/>
      <w:numFmt w:val="bullet"/>
      <w:start w:val="1"/>
    </w:lvl>
  </w:abstractNum>
  <w:abstractNum w:abstractNumId="81">
    <w:nsid w:val="14FCE74E"/>
    <w:multiLevelType w:val="hybridMultilevel"/>
    <w:lvl w:ilvl="0">
      <w:lvlJc w:val="left"/>
      <w:lvlText w:val="%1."/>
      <w:numFmt w:val="decimal"/>
      <w:start w:val="1"/>
    </w:lvl>
  </w:abstractNum>
  <w:abstractNum w:abstractNumId="82">
    <w:nsid w:val="6A3DD3E8"/>
    <w:multiLevelType w:val="hybridMultilevel"/>
    <w:lvl w:ilvl="0">
      <w:lvlJc w:val="left"/>
      <w:lvlText w:val="%1."/>
      <w:numFmt w:val="decimal"/>
      <w:start w:val="3"/>
    </w:lvl>
  </w:abstractNum>
  <w:abstractNum w:abstractNumId="83">
    <w:nsid w:val="71C91298"/>
    <w:multiLevelType w:val="hybridMultilevel"/>
    <w:lvl w:ilvl="0">
      <w:lvlJc w:val="left"/>
      <w:lvlText w:val="%1."/>
      <w:numFmt w:val="decimal"/>
      <w:start w:val="5"/>
    </w:lvl>
    <w:lvl w:ilvl="1">
      <w:lvlJc w:val="left"/>
      <w:lvlText w:val="(%2)"/>
      <w:numFmt w:val="lowerLetter"/>
      <w:start w:val="1"/>
    </w:lvl>
  </w:abstractNum>
  <w:abstractNum w:abstractNumId="84">
    <w:nsid w:val="9DAF632"/>
    <w:multiLevelType w:val="hybridMultilevel"/>
    <w:lvl w:ilvl="0">
      <w:lvlJc w:val="left"/>
      <w:lvlText w:val="%1."/>
      <w:numFmt w:val="decimal"/>
      <w:start w:val="9"/>
    </w:lvl>
  </w:abstractNum>
  <w:abstractNum w:abstractNumId="85">
    <w:nsid w:val="53299938"/>
    <w:multiLevelType w:val="hybridMultilevel"/>
    <w:lvl w:ilvl="0">
      <w:lvlJc w:val="left"/>
      <w:lvlText w:val="%1."/>
      <w:numFmt w:val="decimal"/>
      <w:start w:val="1"/>
    </w:lvl>
  </w:abstractNum>
  <w:abstractNum w:abstractNumId="86">
    <w:nsid w:val="1FBFE8E0"/>
    <w:multiLevelType w:val="hybridMultilevel"/>
    <w:lvl w:ilvl="0">
      <w:lvlJc w:val="left"/>
      <w:lvlText w:val="•"/>
      <w:numFmt w:val="bullet"/>
      <w:start w:val="1"/>
    </w:lvl>
  </w:abstractNum>
  <w:abstractNum w:abstractNumId="87">
    <w:nsid w:val="5092CA79"/>
    <w:multiLevelType w:val="hybridMultilevel"/>
    <w:lvl w:ilvl="0">
      <w:lvlJc w:val="left"/>
      <w:lvlText w:val="%1."/>
      <w:numFmt w:val="decimal"/>
      <w:start w:val="1"/>
    </w:lvl>
  </w:abstractNum>
  <w:abstractNum w:abstractNumId="88">
    <w:nsid w:val="1D545C4D"/>
    <w:multiLevelType w:val="hybridMultilevel"/>
    <w:lvl w:ilvl="0">
      <w:lvlJc w:val="left"/>
      <w:lvlText w:val="•"/>
      <w:numFmt w:val="bullet"/>
      <w:start w:val="1"/>
    </w:lvl>
  </w:abstractNum>
  <w:abstractNum w:abstractNumId="89">
    <w:nsid w:val="59ADEA3D"/>
    <w:multiLevelType w:val="hybridMultilevel"/>
    <w:lvl w:ilvl="0">
      <w:lvlJc w:val="left"/>
      <w:lvlText w:val="•"/>
      <w:numFmt w:val="bullet"/>
      <w:start w:val="1"/>
    </w:lvl>
  </w:abstractNum>
  <w:abstractNum w:abstractNumId="90">
    <w:nsid w:val="288F1A34"/>
    <w:multiLevelType w:val="hybridMultilevel"/>
    <w:lvl w:ilvl="0">
      <w:lvlJc w:val="left"/>
      <w:lvlText w:val="•"/>
      <w:numFmt w:val="bullet"/>
      <w:start w:val="1"/>
    </w:lvl>
  </w:abstractNum>
  <w:abstractNum w:abstractNumId="91">
    <w:nsid w:val="2A155DBC"/>
    <w:multiLevelType w:val="hybridMultilevel"/>
    <w:lvl w:ilvl="0">
      <w:lvlJc w:val="left"/>
      <w:lvlText w:val="%1."/>
      <w:numFmt w:val="decimal"/>
      <w:start w:val="1"/>
    </w:lvl>
  </w:abstractNum>
  <w:abstractNum w:abstractNumId="92">
    <w:nsid w:val="1D9F6E5F"/>
    <w:multiLevelType w:val="hybridMultilevel"/>
    <w:lvl w:ilvl="0">
      <w:lvlJc w:val="left"/>
      <w:lvlText w:val="%1."/>
      <w:numFmt w:val="decimal"/>
      <w:start w:val="1"/>
    </w:lvl>
  </w:abstractNum>
  <w:abstractNum w:abstractNumId="93">
    <w:nsid w:val="97E1B4E"/>
    <w:multiLevelType w:val="hybridMultilevel"/>
    <w:lvl w:ilvl="0">
      <w:lvlJc w:val="left"/>
      <w:lvlText w:val="%1."/>
      <w:numFmt w:val="decimal"/>
      <w:start w:val="4"/>
    </w:lvl>
  </w:abstractNum>
  <w:abstractNum w:abstractNumId="94">
    <w:nsid w:val="51088277"/>
    <w:multiLevelType w:val="hybridMultilevel"/>
    <w:lvl w:ilvl="0">
      <w:lvlJc w:val="left"/>
      <w:lvlText w:val="•"/>
      <w:numFmt w:val="bullet"/>
      <w:start w:val="1"/>
    </w:lvl>
  </w:abstractNum>
  <w:abstractNum w:abstractNumId="95">
    <w:nsid w:val="1CA0C5FA"/>
    <w:multiLevelType w:val="hybridMultilevel"/>
    <w:lvl w:ilvl="0">
      <w:lvlJc w:val="left"/>
      <w:lvlText w:val="•"/>
      <w:numFmt w:val="bullet"/>
      <w:start w:val="1"/>
    </w:lvl>
  </w:abstractNum>
  <w:abstractNum w:abstractNumId="96">
    <w:nsid w:val="53584BCB"/>
    <w:multiLevelType w:val="hybridMultilevel"/>
    <w:lvl w:ilvl="0">
      <w:lvlJc w:val="left"/>
      <w:lvlText w:val="•"/>
      <w:numFmt w:val="bullet"/>
      <w:start w:val="1"/>
    </w:lvl>
  </w:abstractNum>
  <w:abstractNum w:abstractNumId="97">
    <w:nsid w:val="415E286C"/>
    <w:multiLevelType w:val="hybridMultilevel"/>
    <w:lvl w:ilvl="0">
      <w:lvlJc w:val="left"/>
      <w:lvlText w:val="1"/>
      <w:numFmt w:val="bullet"/>
      <w:start w:val="1"/>
    </w:lvl>
  </w:abstractNum>
  <w:abstractNum w:abstractNumId="98">
    <w:nsid w:val="7C58FD05"/>
    <w:multiLevelType w:val="hybridMultilevel"/>
    <w:lvl w:ilvl="0">
      <w:lvlJc w:val="left"/>
      <w:lvlText w:val="2"/>
      <w:numFmt w:val="bullet"/>
      <w:start w:val="1"/>
    </w:lvl>
  </w:abstractNum>
  <w:abstractNum w:abstractNumId="99">
    <w:nsid w:val="23D86AAC"/>
    <w:multiLevelType w:val="hybridMultilevel"/>
    <w:lvl w:ilvl="0">
      <w:lvlJc w:val="left"/>
      <w:lvlText w:val="%1."/>
      <w:numFmt w:val="decimal"/>
      <w:start w:val="1"/>
    </w:lvl>
  </w:abstractNum>
  <w:abstractNum w:abstractNumId="100">
    <w:nsid w:val="45E6D486"/>
    <w:multiLevelType w:val="hybridMultilevel"/>
    <w:lvl w:ilvl="0">
      <w:lvlJc w:val="left"/>
      <w:lvlText w:val="1"/>
      <w:numFmt w:val="bullet"/>
      <w:start w:val="1"/>
    </w:lvl>
  </w:abstractNum>
  <w:abstractNum w:abstractNumId="101">
    <w:nsid w:val="5C10FE21"/>
    <w:multiLevelType w:val="hybridMultilevel"/>
    <w:lvl w:ilvl="0">
      <w:lvlJc w:val="left"/>
      <w:lvlText w:val="3"/>
      <w:numFmt w:val="bullet"/>
      <w:start w:val="1"/>
    </w:lvl>
  </w:abstractNum>
  <w:abstractNum w:abstractNumId="102">
    <w:nsid w:val="E7FFA2B"/>
    <w:multiLevelType w:val="hybridMultilevel"/>
    <w:lvl w:ilvl="0">
      <w:lvlJc w:val="left"/>
      <w:lvlText w:val="4"/>
      <w:numFmt w:val="bullet"/>
      <w:start w:val="1"/>
    </w:lvl>
  </w:abstractNum>
  <w:abstractNum w:abstractNumId="103">
    <w:nsid w:val="3C5991AA"/>
    <w:multiLevelType w:val="hybridMultilevel"/>
    <w:lvl w:ilvl="0">
      <w:lvlJc w:val="left"/>
      <w:lvlText w:val="**"/>
      <w:numFmt w:val="bullet"/>
      <w:start w:val="1"/>
    </w:lvl>
  </w:abstractNum>
  <w:abstractNum w:abstractNumId="104">
    <w:nsid w:val="4BD8591A"/>
    <w:multiLevelType w:val="hybridMultilevel"/>
    <w:lvl w:ilvl="0">
      <w:lvlJc w:val="left"/>
      <w:lvlText w:val="•"/>
      <w:numFmt w:val="bullet"/>
      <w:start w:val="1"/>
    </w:lvl>
  </w:abstractNum>
  <w:abstractNum w:abstractNumId="105">
    <w:nsid w:val="78DF6A55"/>
    <w:multiLevelType w:val="hybridMultilevel"/>
    <w:lvl w:ilvl="0">
      <w:lvlJc w:val="left"/>
      <w:lvlText w:val="(%1)"/>
      <w:numFmt w:val="decimal"/>
      <w:start w:val="212"/>
    </w:lvl>
  </w:abstractNum>
  <w:abstractNum w:abstractNumId="106">
    <w:nsid w:val="39B7AAA2"/>
    <w:multiLevelType w:val="hybridMultilevel"/>
    <w:lvl w:ilvl="0">
      <w:lvlJc w:val="left"/>
      <w:lvlText w:val="%1."/>
      <w:numFmt w:val="decimal"/>
      <w:start w:val="1"/>
    </w:lvl>
  </w:abstractNum>
  <w:abstractNum w:abstractNumId="107">
    <w:nsid w:val="2B0D8DBE"/>
    <w:multiLevelType w:val="hybridMultilevel"/>
    <w:lvl w:ilvl="0">
      <w:lvlJc w:val="left"/>
      <w:lvlText w:val="%1."/>
      <w:numFmt w:val="decimal"/>
      <w:start w:val="1"/>
    </w:lvl>
  </w:abstractNum>
  <w:abstractNum w:abstractNumId="108">
    <w:nsid w:val="6C80EC70"/>
    <w:multiLevelType w:val="hybridMultilevel"/>
    <w:lvl w:ilvl="0">
      <w:lvlJc w:val="left"/>
      <w:lvlText w:val="%1."/>
      <w:numFmt w:val="decimal"/>
      <w:start w:val="4"/>
    </w:lvl>
  </w:abstractNum>
  <w:abstractNum w:abstractNumId="109">
    <w:nsid w:val="379E21B5"/>
    <w:multiLevelType w:val="hybridMultilevel"/>
    <w:lvl w:ilvl="0">
      <w:lvlJc w:val="left"/>
      <w:lvlText w:val="*"/>
      <w:numFmt w:val="bullet"/>
      <w:start w:val="1"/>
    </w:lvl>
  </w:abstractNum>
  <w:abstractNum w:abstractNumId="110">
    <w:nsid w:val="69E373"/>
    <w:multiLevelType w:val="hybridMultilevel"/>
    <w:lvl w:ilvl="0">
      <w:lvlJc w:val="left"/>
      <w:lvlText w:val="(%1)"/>
      <w:numFmt w:val="upperLetter"/>
      <w:start w:val="2"/>
    </w:lvl>
  </w:abstractNum>
  <w:abstractNum w:abstractNumId="111">
    <w:nsid w:val="2C27173B"/>
    <w:multiLevelType w:val="hybridMultilevel"/>
    <w:lvl w:ilvl="0">
      <w:lvlJc w:val="left"/>
      <w:lvlText w:val="(%1)"/>
      <w:numFmt w:val="lowerLetter"/>
      <w:start w:val="2"/>
    </w:lvl>
  </w:abstractNum>
  <w:abstractNum w:abstractNumId="112">
    <w:nsid w:val="4C9B0904"/>
    <w:multiLevelType w:val="hybridMultilevel"/>
    <w:lvl w:ilvl="0">
      <w:lvlJc w:val="left"/>
      <w:lvlText w:val="(%1)"/>
      <w:numFmt w:val="lowerRoman"/>
      <w:start w:val="1"/>
    </w:lvl>
  </w:abstractNum>
  <w:abstractNum w:abstractNumId="113">
    <w:nsid w:val="6AA7B75C"/>
    <w:multiLevelType w:val="hybridMultilevel"/>
    <w:lvl w:ilvl="0">
      <w:lvlJc w:val="left"/>
      <w:lvlText w:val="%1."/>
      <w:numFmt w:val="decimal"/>
      <w:start w:val="1"/>
    </w:lvl>
  </w:abstractNum>
  <w:abstractNum w:abstractNumId="114">
    <w:nsid w:val="1DF029D3"/>
    <w:multiLevelType w:val="hybridMultilevel"/>
    <w:lvl w:ilvl="0">
      <w:lvlJc w:val="left"/>
      <w:lvlText w:val="%1."/>
      <w:numFmt w:val="decimal"/>
      <w:start w:val="2"/>
    </w:lvl>
  </w:abstractNum>
  <w:abstractNum w:abstractNumId="115">
    <w:nsid w:val="5675FF36"/>
    <w:multiLevelType w:val="hybridMultilevel"/>
    <w:lvl w:ilvl="0">
      <w:lvlJc w:val="left"/>
      <w:lvlText w:val="%1."/>
      <w:numFmt w:val="decimal"/>
      <w:start w:val="3"/>
    </w:lvl>
  </w:abstractNum>
  <w:abstractNum w:abstractNumId="116">
    <w:nsid w:val="3DD15094"/>
    <w:multiLevelType w:val="hybridMultilevel"/>
    <w:lvl w:ilvl="0">
      <w:lvlJc w:val="left"/>
      <w:lvlText w:val="%1."/>
      <w:numFmt w:val="decimal"/>
      <w:start w:val="7"/>
    </w:lvl>
  </w:abstractNum>
  <w:abstractNum w:abstractNumId="117">
    <w:nsid w:val="3DB012B3"/>
    <w:multiLevelType w:val="hybridMultilevel"/>
    <w:lvl w:ilvl="0">
      <w:lvlJc w:val="left"/>
      <w:lvlText w:val="%1."/>
      <w:numFmt w:val="decimal"/>
      <w:start w:val="10"/>
    </w:lvl>
    <w:lvl w:ilvl="1">
      <w:lvlJc w:val="left"/>
      <w:lvlText w:val="(%2)"/>
      <w:numFmt w:val="lowerLetter"/>
      <w:start w:val="1"/>
    </w:lvl>
  </w:abstractNum>
  <w:abstractNum w:abstractNumId="118">
    <w:nsid w:val="2708C9AF"/>
    <w:multiLevelType w:val="hybridMultilevel"/>
    <w:lvl w:ilvl="0">
      <w:lvlJc w:val="left"/>
      <w:lvlText w:val="(%1)"/>
      <w:numFmt w:val="lowerLetter"/>
      <w:start w:val="35"/>
    </w:lvl>
    <w:lvl w:ilvl="1">
      <w:lvlJc w:val="left"/>
      <w:lvlText w:val="(%2)"/>
      <w:numFmt w:val="lowerLetter"/>
      <w:start w:val="2"/>
    </w:lvl>
  </w:abstractNum>
  <w:abstractNum w:abstractNumId="119">
    <w:nsid w:val="5B25ACE2"/>
    <w:multiLevelType w:val="hybridMultilevel"/>
    <w:lvl w:ilvl="0">
      <w:lvlJc w:val="left"/>
      <w:lvlText w:val="(%1)"/>
      <w:numFmt w:val="lowerLetter"/>
      <w:start w:val="2"/>
    </w:lvl>
    <w:lvl w:ilvl="1">
      <w:lvlJc w:val="left"/>
      <w:lvlText w:val="(%2)"/>
      <w:numFmt w:val="lowerLetter"/>
      <w:start w:val="4"/>
    </w:lvl>
  </w:abstractNum>
  <w:abstractNum w:abstractNumId="120">
    <w:nsid w:val="175DFCF0"/>
    <w:multiLevelType w:val="hybridMultilevel"/>
    <w:lvl w:ilvl="0">
      <w:lvlJc w:val="left"/>
      <w:lvlText w:val="%1"/>
      <w:numFmt w:val="lowerRoman"/>
      <w:start w:val="1"/>
    </w:lvl>
    <w:lvl w:ilvl="1">
      <w:lvlJc w:val="left"/>
      <w:lvlText w:val="%2."/>
      <w:numFmt w:val="decimal"/>
      <w:start w:val="12"/>
    </w:lvl>
  </w:abstractNum>
  <w:abstractNum w:abstractNumId="121">
    <w:nsid w:val="4F97E3E4"/>
    <w:multiLevelType w:val="hybridMultilevel"/>
    <w:lvl w:ilvl="0">
      <w:lvlJc w:val="left"/>
      <w:lvlText w:val="(%1)"/>
      <w:numFmt w:val="lowerRoman"/>
      <w:start w:val="1"/>
    </w:lvl>
    <w:lvl w:ilvl="1">
      <w:lvlJc w:val="left"/>
      <w:lvlText w:val="%2."/>
      <w:numFmt w:val="decimal"/>
      <w:start w:val="13"/>
    </w:lvl>
  </w:abstractNum>
  <w:abstractNum w:abstractNumId="122">
    <w:nsid w:val="53B0A9E"/>
    <w:multiLevelType w:val="hybridMultilevel"/>
    <w:lvl w:ilvl="0">
      <w:lvlJc w:val="left"/>
      <w:lvlText w:val="%1."/>
      <w:numFmt w:val="decimal"/>
      <w:start w:val="14"/>
    </w:lvl>
  </w:abstractNum>
  <w:abstractNum w:abstractNumId="123">
    <w:nsid w:val="34FD6B4F"/>
    <w:multiLevelType w:val="hybridMultilevel"/>
    <w:lvl w:ilvl="0">
      <w:lvlJc w:val="left"/>
      <w:lvlText w:val="%1."/>
      <w:numFmt w:val="decimal"/>
      <w:start w:val="22"/>
    </w:lvl>
  </w:abstractNum>
  <w:abstractNum w:abstractNumId="124">
    <w:nsid w:val="5915FF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jpe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jpeg"/><Relationship Id="rId105" Type="http://schemas.openxmlformats.org/officeDocument/2006/relationships/image" Target="media/image90.jpeg"/><Relationship Id="rId106" Type="http://schemas.openxmlformats.org/officeDocument/2006/relationships/image" Target="media/image91.jpe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jpeg"/><Relationship Id="rId160" Type="http://schemas.openxmlformats.org/officeDocument/2006/relationships/image" Target="media/image145.jpeg"/><Relationship Id="rId161" Type="http://schemas.openxmlformats.org/officeDocument/2006/relationships/image" Target="media/image146.png"/><Relationship Id="rId162" Type="http://schemas.openxmlformats.org/officeDocument/2006/relationships/image" Target="media/image147.jpe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jpeg"/><Relationship Id="rId177" Type="http://schemas.openxmlformats.org/officeDocument/2006/relationships/image" Target="media/image162.jpe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20" Type="http://schemas.openxmlformats.org/officeDocument/2006/relationships/hyperlink" Target="http://www.sec.gov/Archives/edgar/data/914475/000119312526142904/d110123dex991.htm" TargetMode="External"/><Relationship Id="rId21" Type="http://schemas.openxmlformats.org/officeDocument/2006/relationships/hyperlink" Target="http://www.sec.gov/Archives/edgar/data/914475/000119312526142904/d110123dex992.htm" TargetMode="External"/><Relationship Id="rId23" Type="http://schemas.openxmlformats.org/officeDocument/2006/relationships/hyperlink" Target="http://www.sec.gov/Archives/edgar/data/914475/000119312526143988/d124039dex99a5c.htm" TargetMode="External"/><Relationship Id="rId24" Type="http://schemas.openxmlformats.org/officeDocument/2006/relationships/hyperlink" Target="http://www.sec.gov/Archives/edgar/data/914475/000119312526143988/d124039dex99a5d.htm" TargetMode="External"/><Relationship Id="rId25" Type="http://schemas.openxmlformats.org/officeDocument/2006/relationships/hyperlink" Target="http://www.sec.gov/Archives/edgar/data/914475/000119312526143988/d124039dex99a5e.htm" TargetMode="External"/><Relationship Id="rId26" Type="http://schemas.openxmlformats.org/officeDocument/2006/relationships/hyperlink" Target="http://www.sec.gov/Archives/edgar/data/914475/000119312526144170/d91998dex99a5f.htm" TargetMode="External"/><Relationship Id="rId27" Type="http://schemas.openxmlformats.org/officeDocument/2006/relationships/hyperlink" Target="http://www.sec.gov/Archives/edgar/data/914475/000119312526142904/d110123dex21.htm" TargetMode="External"/><Relationship Id="rId28" Type="http://schemas.openxmlformats.org/officeDocument/2006/relationships/hyperlink" Target="http://www.sec.gov/Archives/edgar/data/914475/000119312526142904/d1101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2026-04-20T06:41:39Z</dcterms:created>
  <dcterms:modified xsi:type="dcterms:W3CDTF">2026-04-20T06:41:39Z</dcterms:modified>
</cp:coreProperties>
</file>