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80"/>
        <w:spacing w:after="0"/>
        <w:rPr>
          <w:sz w:val="20"/>
          <w:szCs w:val="20"/>
          <w:color w:val="auto"/>
        </w:rPr>
      </w:pPr>
      <w:r>
        <w:rPr>
          <w:rFonts w:ascii="Arial" w:cs="Arial" w:eastAsia="Arial" w:hAnsi="Arial"/>
          <w:sz w:val="18"/>
          <w:szCs w:val="18"/>
          <w:b w:val="1"/>
          <w:bCs w:val="1"/>
          <w:color w:val="auto"/>
        </w:rPr>
        <w:t>As filed with the Securities and Exchange Commission on August 7,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333-217420</w:t>
      </w:r>
    </w:p>
    <w:p>
      <w:pPr>
        <w:spacing w:after="0" w:line="265"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AMENDMENT NO. 3 TO</w:t>
      </w:r>
    </w:p>
    <w:p>
      <w:pPr>
        <w:spacing w:after="0" w:line="46"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FORM S-1</w:t>
      </w:r>
    </w:p>
    <w:p>
      <w:pPr>
        <w:spacing w:after="0" w:line="10"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i w:val="1"/>
          <w:iCs w:val="1"/>
          <w:color w:val="auto"/>
        </w:rPr>
        <w:t>Under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321945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380"/>
        <w:spacing w:after="0"/>
        <w:rPr>
          <w:sz w:val="20"/>
          <w:szCs w:val="20"/>
          <w:color w:val="auto"/>
        </w:rPr>
      </w:pPr>
      <w:r>
        <w:rPr>
          <w:rFonts w:ascii="Arial" w:cs="Arial" w:eastAsia="Arial" w:hAnsi="Arial"/>
          <w:sz w:val="43"/>
          <w:szCs w:val="43"/>
          <w:b w:val="1"/>
          <w:bCs w:val="1"/>
          <w:color w:val="auto"/>
        </w:rPr>
        <w:t>SOLENO THERAPEUTICS, INC.</w:t>
      </w:r>
    </w:p>
    <w:p>
      <w:pPr>
        <w:spacing w:after="0" w:line="125"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(Name of registrant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343535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2480" w:type="dxa"/>
            <w:vAlign w:val="bottom"/>
          </w:tcPr>
          <w:p>
            <w:pPr>
              <w:jc w:val="center"/>
              <w:ind w:right="939"/>
              <w:spacing w:after="0"/>
              <w:rPr>
                <w:sz w:val="20"/>
                <w:szCs w:val="20"/>
                <w:color w:val="auto"/>
              </w:rPr>
            </w:pPr>
            <w:r>
              <w:rPr>
                <w:rFonts w:ascii="Arial" w:cs="Arial" w:eastAsia="Arial" w:hAnsi="Arial"/>
                <w:sz w:val="18"/>
                <w:szCs w:val="18"/>
                <w:b w:val="1"/>
                <w:bCs w:val="1"/>
                <w:color w:val="auto"/>
                <w:w w:val="93"/>
              </w:rPr>
              <w:t>Delaware</w:t>
            </w:r>
          </w:p>
        </w:tc>
        <w:tc>
          <w:tcPr>
            <w:tcW w:w="41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3,841</w:t>
            </w:r>
          </w:p>
        </w:tc>
        <w:tc>
          <w:tcPr>
            <w:tcW w:w="264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77-0523891</w:t>
            </w:r>
          </w:p>
        </w:tc>
      </w:tr>
      <w:tr>
        <w:trPr>
          <w:trHeight w:val="252"/>
        </w:trPr>
        <w:tc>
          <w:tcPr>
            <w:tcW w:w="2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4"/>
              </w:rPr>
              <w:t>(State of Incorporation)</w:t>
            </w:r>
          </w:p>
        </w:tc>
        <w:tc>
          <w:tcPr>
            <w:tcW w:w="414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(Primary Standard Industrial</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80" w:type="dxa"/>
            <w:vAlign w:val="bottom"/>
          </w:tcPr>
          <w:p>
            <w:pPr>
              <w:spacing w:after="0"/>
              <w:rPr>
                <w:sz w:val="20"/>
                <w:szCs w:val="20"/>
                <w:color w:val="auto"/>
              </w:rPr>
            </w:pPr>
          </w:p>
        </w:tc>
        <w:tc>
          <w:tcPr>
            <w:tcW w:w="41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Classification Code Number)</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225"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1235 Radio Road, Suite 110</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(650) 213-8444</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167640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Anish Bhatnagar</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Soleno Therapeutics, Inc.</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(f/k/a Capnia, Inc.)</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1235 Radio Road, Suite 110</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(650) 213-8444</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167640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Elton Satusky, Esq.</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Eric Hsu, Esq.</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331470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proposed sale to the public: </w:t>
      </w:r>
      <w:r>
        <w:rPr>
          <w:rFonts w:ascii="Arial" w:cs="Arial" w:eastAsia="Arial" w:hAnsi="Arial"/>
          <w:sz w:val="18"/>
          <w:szCs w:val="18"/>
          <w:color w:val="auto"/>
        </w:rPr>
        <w:t>From time to time after this Registration Statement becomes effective.</w:t>
      </w:r>
    </w:p>
    <w:p>
      <w:pPr>
        <w:spacing w:after="0" w:line="229"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ectPr>
          <w:pgSz w:w="11900" w:h="16838" w:orient="portrait"/>
          <w:cols w:equalWidth="0" w:num="1">
            <w:col w:w="11420"/>
          </w:cols>
          <w:pgMar w:left="240" w:top="688" w:right="239" w:bottom="166" w:gutter="0" w:footer="0" w:header="0"/>
        </w:sectPr>
      </w:pPr>
    </w:p>
    <w:bookmarkStart w:id="1" w:name="page2"/>
    <w:bookmarkEnd w:id="1"/>
    <w:p>
      <w:pPr>
        <w:ind w:right="38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 (Check one):</w:t>
      </w: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620"/>
              <w:spacing w:after="0"/>
              <w:rPr>
                <w:sz w:val="20"/>
                <w:szCs w:val="20"/>
                <w:color w:val="auto"/>
              </w:rPr>
            </w:pPr>
            <w:r>
              <w:rPr>
                <w:rFonts w:ascii="Arial" w:cs="Arial" w:eastAsia="Arial" w:hAnsi="Arial"/>
                <w:sz w:val="18"/>
                <w:szCs w:val="18"/>
                <w:color w:val="auto"/>
              </w:rPr>
              <w:t>o</w:t>
            </w:r>
          </w:p>
        </w:tc>
        <w:tc>
          <w:tcPr>
            <w:tcW w:w="336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48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620"/>
              <w:spacing w:after="0"/>
              <w:rPr>
                <w:sz w:val="20"/>
                <w:szCs w:val="20"/>
                <w:color w:val="auto"/>
              </w:rPr>
            </w:pPr>
            <w:r>
              <w:rPr>
                <w:rFonts w:ascii="Arial" w:cs="Arial" w:eastAsia="Arial" w:hAnsi="Arial"/>
                <w:sz w:val="18"/>
                <w:szCs w:val="18"/>
                <w:color w:val="auto"/>
              </w:rPr>
              <w:t>o (Do not check if a smaller reporting company)</w:t>
            </w:r>
          </w:p>
        </w:tc>
        <w:tc>
          <w:tcPr>
            <w:tcW w:w="336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88"/>
              </w:rPr>
              <w:t>x</w:t>
            </w:r>
          </w:p>
        </w:tc>
      </w:tr>
      <w:tr>
        <w:trPr>
          <w:trHeight w:val="486"/>
        </w:trPr>
        <w:tc>
          <w:tcPr>
            <w:tcW w:w="22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36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88"/>
              </w:rPr>
              <w:t>x</w:t>
            </w:r>
          </w:p>
        </w:tc>
      </w:tr>
    </w:tbl>
    <w:p>
      <w:pPr>
        <w:spacing w:after="0" w:line="161"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323215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6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205"/>
        </w:trPr>
        <w:tc>
          <w:tcPr>
            <w:tcW w:w="46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86"/>
              </w:rPr>
              <w:t>Proposed</w:t>
            </w:r>
          </w:p>
        </w:tc>
        <w:tc>
          <w:tcPr>
            <w:tcW w:w="1680" w:type="dxa"/>
            <w:vAlign w:val="bottom"/>
          </w:tcPr>
          <w:p>
            <w:pPr>
              <w:spacing w:after="0"/>
              <w:rPr>
                <w:sz w:val="17"/>
                <w:szCs w:val="17"/>
                <w:color w:val="auto"/>
              </w:rPr>
            </w:pPr>
          </w:p>
        </w:tc>
      </w:tr>
      <w:tr>
        <w:trPr>
          <w:trHeight w:val="216"/>
        </w:trPr>
        <w:tc>
          <w:tcPr>
            <w:tcW w:w="46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tcPr>
          <w:p>
            <w:pPr>
              <w:spacing w:after="0"/>
              <w:rPr>
                <w:sz w:val="18"/>
                <w:szCs w:val="18"/>
                <w:color w:val="auto"/>
              </w:rPr>
            </w:pPr>
          </w:p>
        </w:tc>
      </w:tr>
      <w:tr>
        <w:trPr>
          <w:trHeight w:val="216"/>
        </w:trPr>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Security(2)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 Fee(3)</w:t>
            </w:r>
          </w:p>
        </w:tc>
      </w:tr>
      <w:tr>
        <w:trPr>
          <w:trHeight w:val="27"/>
        </w:trPr>
        <w:tc>
          <w:tcPr>
            <w:tcW w:w="46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32,730,600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$19,965,666</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$2,314.03</w:t>
            </w:r>
          </w:p>
        </w:tc>
      </w:tr>
      <w:tr>
        <w:trPr>
          <w:trHeight w:val="27"/>
        </w:trPr>
        <w:tc>
          <w:tcPr>
            <w:tcW w:w="46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6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32,730,600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$19,965,666</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$2,314.03</w:t>
            </w:r>
          </w:p>
        </w:tc>
      </w:tr>
      <w:tr>
        <w:trPr>
          <w:trHeight w:val="27"/>
        </w:trPr>
        <w:tc>
          <w:tcPr>
            <w:tcW w:w="46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660" w:right="60" w:hanging="652"/>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the shares offered hereby also include an indeterminate number of additional shares of common stock as may from time to time become issuable by reason of stock splits, stock dividends, recapitalizations or other similar transactions.</w:t>
      </w:r>
    </w:p>
    <w:p>
      <w:pPr>
        <w:spacing w:after="0" w:line="1" w:lineRule="exact"/>
        <w:rPr>
          <w:rFonts w:ascii="Arial" w:cs="Arial" w:eastAsia="Arial" w:hAnsi="Arial"/>
          <w:sz w:val="16"/>
          <w:szCs w:val="16"/>
          <w:color w:val="auto"/>
        </w:rPr>
      </w:pPr>
    </w:p>
    <w:p>
      <w:pPr>
        <w:ind w:left="660" w:right="760" w:hanging="652"/>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calculated on the basis of the average of the high and low prices per share of the registrant’s common stock on the NASDAQ Capital Market on April 17, 2017.</w:t>
      </w: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paid $2,314.03 in connection with the initial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443230</wp:posOffset>
            </wp:positionV>
            <wp:extent cx="273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341" w:right="239" w:bottom="1440" w:gutter="0" w:footer="0" w:header="0"/>
        </w:sectPr>
      </w:pPr>
    </w:p>
    <w:bookmarkStart w:id="2" w:name="page3"/>
    <w:bookmarkEnd w:id="2"/>
    <w:p>
      <w:pPr>
        <w:ind w:right="40" w:firstLine="324"/>
        <w:spacing w:after="0" w:line="314" w:lineRule="auto"/>
        <w:rPr>
          <w:sz w:val="20"/>
          <w:szCs w:val="20"/>
          <w:color w:val="auto"/>
        </w:rPr>
      </w:pPr>
      <w:r>
        <w:rPr>
          <w:rFonts w:ascii="Arial" w:cs="Arial" w:eastAsia="Arial" w:hAnsi="Arial"/>
          <w:sz w:val="16"/>
          <w:szCs w:val="16"/>
          <w:b w:val="1"/>
          <w:bCs w:val="1"/>
          <w:color w:val="EE2724"/>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the selling stockholders are not soliciting offers to buy these securities, in any state where the offer or sale of these securities is not permitted.</w:t>
      </w:r>
    </w:p>
    <w:p>
      <w:pPr>
        <w:spacing w:after="0" w:line="14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EE2724"/>
        </w:rPr>
        <w:t>SUBJECT TO COMPLETION, DATED ______</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EE2724"/>
        </w:rPr>
        <w:t>PRELIMINARY PROSPECTUS</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SOLENO THERAPEUTICS, INC.</w:t>
      </w:r>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Up to 32,730,600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301625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prospectus relates to the sale of up to 32,730,600 shares of our common stock by 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 collectively also referred to in this prospectus as the selling stockholders. The prices at which the selling stockholders may sell the shares will be determined by the prevailing market price for the shares or in negotiated transactions. We will not receive proceeds from the sale of the shares by the selling stockholders.</w:t>
      </w:r>
    </w:p>
    <w:p>
      <w:pPr>
        <w:spacing w:after="0" w:line="166"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selling stockholders are considered as an “underwriter” within the meaning of the Securities Act of 1933, as amended. We will pay the expenses of registering these shares, but all selling and other expenses incurred by the selling stockholders will be paid by the selling stockholders.</w:t>
      </w:r>
    </w:p>
    <w:p>
      <w:pPr>
        <w:spacing w:after="0" w:line="14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common stock is listed on the Nasdaq Capital Market under the ticker symbol “SLNO.” On August 4, 2017, the last reported sale price per share of our common stock was $0.43 per share.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additional information described under the heading “Where You Can Find More Information,”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306070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a high degree of risk. See “</w:t>
      </w:r>
      <w:hyperlink w:anchor="page1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8 of this prospectus.</w:t>
      </w:r>
    </w:p>
    <w:p>
      <w:pPr>
        <w:spacing w:after="0" w:line="22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302895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This prospectus is dated August 7, 2017.</w:t>
      </w:r>
    </w:p>
    <w:p>
      <w:pPr>
        <w:sectPr>
          <w:pgSz w:w="11900" w:h="16838" w:orient="portrait"/>
          <w:cols w:equalWidth="0" w:num="1">
            <w:col w:w="11340"/>
          </w:cols>
          <w:pgMar w:left="240" w:top="580" w:right="31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40" w:type="dxa"/>
            <w:vAlign w:val="bottom"/>
            <w:gridSpan w:val="3"/>
          </w:tcPr>
          <w:p>
            <w:pPr>
              <w:ind w:left="5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39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89"/>
        </w:trPr>
        <w:tc>
          <w:tcPr>
            <w:tcW w:w="1520" w:type="dxa"/>
            <w:vAlign w:val="bottom"/>
            <w:tcBorders>
              <w:bottom w:val="single" w:sz="8" w:color="5555FF"/>
            </w:tcBorders>
            <w:gridSpan w:val="10"/>
          </w:tcPr>
          <w:p>
            <w:pPr>
              <w:spacing w:after="0" w:line="170" w:lineRule="exact"/>
              <w:rPr>
                <w:rFonts w:ascii="Arial" w:cs="Arial" w:eastAsia="Arial" w:hAnsi="Arial"/>
                <w:sz w:val="18"/>
                <w:szCs w:val="18"/>
                <w:color w:val="5555FF"/>
                <w:w w:val="87"/>
              </w:rPr>
            </w:pPr>
            <w:hyperlink w:anchor="page5">
              <w:r>
                <w:rPr>
                  <w:rFonts w:ascii="Arial" w:cs="Arial" w:eastAsia="Arial" w:hAnsi="Arial"/>
                  <w:sz w:val="18"/>
                  <w:szCs w:val="18"/>
                  <w:color w:val="5555FF"/>
                  <w:w w:val="87"/>
                </w:rPr>
                <w:t>Prospectus Summary</w:t>
              </w:r>
            </w:hyperlink>
          </w:p>
        </w:tc>
        <w:tc>
          <w:tcPr>
            <w:tcW w:w="9060" w:type="dxa"/>
            <w:vAlign w:val="bottom"/>
            <w:gridSpan w:val="11"/>
          </w:tcPr>
          <w:p>
            <w:pPr>
              <w:spacing w:after="0"/>
              <w:rPr>
                <w:sz w:val="16"/>
                <w:szCs w:val="16"/>
                <w:color w:val="auto"/>
              </w:rPr>
            </w:pPr>
          </w:p>
        </w:tc>
        <w:tc>
          <w:tcPr>
            <w:tcW w:w="800" w:type="dxa"/>
            <w:vAlign w:val="bottom"/>
          </w:tcPr>
          <w:p>
            <w:pPr>
              <w:jc w:val="right"/>
              <w:spacing w:after="0" w:line="170" w:lineRule="exact"/>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385"/>
        </w:trPr>
        <w:tc>
          <w:tcPr>
            <w:tcW w:w="900" w:type="dxa"/>
            <w:vAlign w:val="bottom"/>
            <w:tcBorders>
              <w:bottom w:val="single" w:sz="8" w:color="5555FF"/>
            </w:tcBorders>
            <w:gridSpan w:val="3"/>
          </w:tcPr>
          <w:p>
            <w:pPr>
              <w:spacing w:after="0"/>
              <w:rPr>
                <w:rFonts w:ascii="Arial" w:cs="Arial" w:eastAsia="Arial" w:hAnsi="Arial"/>
                <w:sz w:val="18"/>
                <w:szCs w:val="18"/>
                <w:color w:val="5555FF"/>
                <w:w w:val="87"/>
              </w:rPr>
            </w:pPr>
            <w:hyperlink w:anchor="page12">
              <w:r>
                <w:rPr>
                  <w:rFonts w:ascii="Arial" w:cs="Arial" w:eastAsia="Arial" w:hAnsi="Arial"/>
                  <w:sz w:val="18"/>
                  <w:szCs w:val="18"/>
                  <w:color w:val="5555FF"/>
                  <w:w w:val="87"/>
                </w:rPr>
                <w:t>Risk Factors</w:t>
              </w:r>
            </w:hyperlink>
          </w:p>
        </w:tc>
        <w:tc>
          <w:tcPr>
            <w:tcW w:w="9680" w:type="dxa"/>
            <w:vAlign w:val="bottom"/>
            <w:gridSpan w:val="18"/>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8</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48">
              <w:r>
                <w:rPr>
                  <w:rFonts w:ascii="Arial" w:cs="Arial" w:eastAsia="Arial" w:hAnsi="Arial"/>
                  <w:sz w:val="18"/>
                  <w:szCs w:val="18"/>
                  <w:color w:val="5555FF"/>
                </w:rPr>
                <w:t>Cautionary Note Regarding Forward-Looking Statements</w:t>
              </w:r>
            </w:hyperlink>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r>
      <w:tr>
        <w:trPr>
          <w:trHeight w:val="372"/>
        </w:trPr>
        <w:tc>
          <w:tcPr>
            <w:tcW w:w="4140" w:type="dxa"/>
            <w:vAlign w:val="bottom"/>
            <w:tcBorders>
              <w:top w:val="single" w:sz="8" w:color="5555FF"/>
            </w:tcBorders>
            <w:gridSpan w:val="18"/>
          </w:tcPr>
          <w:p>
            <w:pPr>
              <w:spacing w:after="0"/>
              <w:rPr>
                <w:rFonts w:ascii="Arial" w:cs="Arial" w:eastAsia="Arial" w:hAnsi="Arial"/>
                <w:sz w:val="18"/>
                <w:szCs w:val="18"/>
                <w:color w:val="5555FF"/>
              </w:rPr>
            </w:pPr>
            <w:hyperlink w:anchor="page50">
              <w:r>
                <w:rPr>
                  <w:rFonts w:ascii="Arial" w:cs="Arial" w:eastAsia="Arial" w:hAnsi="Arial"/>
                  <w:sz w:val="18"/>
                  <w:szCs w:val="18"/>
                  <w:color w:val="5555FF"/>
                </w:rPr>
                <w:t>Use of Proceeds</w:t>
              </w:r>
            </w:hyperlink>
          </w:p>
        </w:tc>
        <w:tc>
          <w:tcPr>
            <w:tcW w:w="6440" w:type="dxa"/>
            <w:vAlign w:val="bottom"/>
            <w:gridSpan w:val="3"/>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0"/>
        </w:trPr>
        <w:tc>
          <w:tcPr>
            <w:tcW w:w="540" w:type="dxa"/>
            <w:vAlign w:val="bottom"/>
            <w:shd w:val="clear" w:color="auto" w:fill="5555FF"/>
          </w:tcPr>
          <w:p>
            <w:pPr>
              <w:spacing w:after="0" w:line="20" w:lineRule="exact"/>
              <w:rPr>
                <w:sz w:val="1"/>
                <w:szCs w:val="1"/>
                <w:color w:val="auto"/>
              </w:rPr>
            </w:pPr>
          </w:p>
        </w:tc>
        <w:tc>
          <w:tcPr>
            <w:tcW w:w="100" w:type="dxa"/>
            <w:vAlign w:val="bottom"/>
            <w:shd w:val="clear" w:color="auto" w:fill="5555FF"/>
          </w:tcPr>
          <w:p>
            <w:pPr>
              <w:spacing w:after="0" w:line="20" w:lineRule="exact"/>
              <w:rPr>
                <w:sz w:val="1"/>
                <w:szCs w:val="1"/>
                <w:color w:val="auto"/>
              </w:rPr>
            </w:pPr>
          </w:p>
        </w:tc>
        <w:tc>
          <w:tcPr>
            <w:tcW w:w="300" w:type="dxa"/>
            <w:vAlign w:val="bottom"/>
            <w:gridSpan w:val="2"/>
            <w:shd w:val="clear" w:color="auto" w:fill="5555FF"/>
          </w:tcPr>
          <w:p>
            <w:pPr>
              <w:spacing w:after="0" w:line="20" w:lineRule="exact"/>
              <w:rPr>
                <w:sz w:val="1"/>
                <w:szCs w:val="1"/>
                <w:color w:val="auto"/>
              </w:rPr>
            </w:pPr>
          </w:p>
        </w:tc>
        <w:tc>
          <w:tcPr>
            <w:tcW w:w="60" w:type="dxa"/>
            <w:vAlign w:val="bottom"/>
            <w:shd w:val="clear" w:color="auto" w:fill="5555FF"/>
          </w:tcPr>
          <w:p>
            <w:pPr>
              <w:spacing w:after="0" w:line="20" w:lineRule="exact"/>
              <w:rPr>
                <w:sz w:val="1"/>
                <w:szCs w:val="1"/>
                <w:color w:val="auto"/>
              </w:rPr>
            </w:pPr>
          </w:p>
        </w:tc>
        <w:tc>
          <w:tcPr>
            <w:tcW w:w="160" w:type="dxa"/>
            <w:vAlign w:val="bottom"/>
            <w:shd w:val="clear" w:color="auto" w:fill="5555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580" w:type="dxa"/>
            <w:vAlign w:val="bottom"/>
            <w:gridSpan w:val="21"/>
          </w:tcPr>
          <w:p>
            <w:pPr>
              <w:spacing w:after="0"/>
              <w:rPr>
                <w:sz w:val="20"/>
                <w:szCs w:val="20"/>
                <w:color w:val="auto"/>
              </w:rPr>
            </w:pPr>
            <w:r>
              <w:rPr>
                <w:rFonts w:ascii="Arial" w:cs="Arial" w:eastAsia="Arial" w:hAnsi="Arial"/>
                <w:sz w:val="18"/>
                <w:szCs w:val="18"/>
                <w:color w:val="5555FF"/>
              </w:rPr>
              <w:t>Price Range of Common Stock and Dividend Policy</w:t>
            </w:r>
          </w:p>
        </w:tc>
        <w:tc>
          <w:tcPr>
            <w:tcW w:w="8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r>
      <w:tr>
        <w:trPr>
          <w:trHeight w:val="351"/>
        </w:trPr>
        <w:tc>
          <w:tcPr>
            <w:tcW w:w="6440" w:type="dxa"/>
            <w:vAlign w:val="bottom"/>
            <w:tcBorders>
              <w:bottom w:val="single" w:sz="8" w:color="5555FF"/>
            </w:tcBorders>
            <w:gridSpan w:val="20"/>
          </w:tcPr>
          <w:p>
            <w:pPr>
              <w:spacing w:after="0"/>
              <w:rPr>
                <w:rFonts w:ascii="Arial" w:cs="Arial" w:eastAsia="Arial" w:hAnsi="Arial"/>
                <w:sz w:val="18"/>
                <w:szCs w:val="18"/>
                <w:color w:val="5555FF"/>
                <w:w w:val="90"/>
              </w:rPr>
            </w:pPr>
            <w:hyperlink w:anchor="page52">
              <w:r>
                <w:rPr>
                  <w:rFonts w:ascii="Arial" w:cs="Arial" w:eastAsia="Arial" w:hAnsi="Arial"/>
                  <w:sz w:val="18"/>
                  <w:szCs w:val="18"/>
                  <w:color w:val="5555FF"/>
                  <w:w w:val="90"/>
                </w:rPr>
                <w:t>Management's Discussion and Analysis of Financial Condition and Results of Operations</w:t>
              </w:r>
            </w:hyperlink>
          </w:p>
        </w:tc>
        <w:tc>
          <w:tcPr>
            <w:tcW w:w="414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91"/>
        </w:trPr>
        <w:tc>
          <w:tcPr>
            <w:tcW w:w="10580" w:type="dxa"/>
            <w:vAlign w:val="bottom"/>
            <w:gridSpan w:val="21"/>
          </w:tcPr>
          <w:p>
            <w:pPr>
              <w:ind w:left="220"/>
              <w:spacing w:after="0"/>
              <w:rPr>
                <w:sz w:val="20"/>
                <w:szCs w:val="20"/>
                <w:color w:val="auto"/>
              </w:rPr>
            </w:pPr>
            <w:r>
              <w:rPr>
                <w:rFonts w:ascii="Arial" w:cs="Arial" w:eastAsia="Arial" w:hAnsi="Arial"/>
                <w:sz w:val="18"/>
                <w:szCs w:val="18"/>
                <w:color w:val="5555FF"/>
              </w:rPr>
              <w:t>the Years ended December 31, 2016 and 2015</w:t>
            </w:r>
          </w:p>
        </w:tc>
        <w:tc>
          <w:tcPr>
            <w:tcW w:w="800" w:type="dxa"/>
            <w:vAlign w:val="bottom"/>
          </w:tcPr>
          <w:p>
            <w:pPr>
              <w:spacing w:after="0"/>
              <w:rPr>
                <w:sz w:val="24"/>
                <w:szCs w:val="24"/>
                <w:color w:val="auto"/>
              </w:rPr>
            </w:pPr>
          </w:p>
        </w:tc>
      </w:tr>
      <w:tr>
        <w:trPr>
          <w:trHeight w:val="270"/>
        </w:trPr>
        <w:tc>
          <w:tcPr>
            <w:tcW w:w="10580" w:type="dxa"/>
            <w:vAlign w:val="bottom"/>
            <w:gridSpan w:val="21"/>
          </w:tcPr>
          <w:p>
            <w:pPr>
              <w:ind w:left="220"/>
              <w:spacing w:after="0"/>
              <w:rPr>
                <w:sz w:val="20"/>
                <w:szCs w:val="20"/>
                <w:color w:val="auto"/>
              </w:rPr>
            </w:pPr>
            <w:r>
              <w:rPr>
                <w:rFonts w:ascii="Arial" w:cs="Arial" w:eastAsia="Arial" w:hAnsi="Arial"/>
                <w:sz w:val="18"/>
                <w:szCs w:val="18"/>
                <w:color w:val="5555FF"/>
              </w:rPr>
              <w:t>the Quarters ended March 31, 2017 and 2016</w:t>
            </w:r>
          </w:p>
        </w:tc>
        <w:tc>
          <w:tcPr>
            <w:tcW w:w="800" w:type="dxa"/>
            <w:vAlign w:val="bottom"/>
          </w:tcPr>
          <w:p>
            <w:pPr>
              <w:spacing w:after="0"/>
              <w:rPr>
                <w:sz w:val="23"/>
                <w:szCs w:val="23"/>
                <w:color w:val="auto"/>
              </w:rPr>
            </w:pPr>
          </w:p>
        </w:tc>
      </w:tr>
      <w:tr>
        <w:trPr>
          <w:trHeight w:val="351"/>
        </w:trPr>
        <w:tc>
          <w:tcPr>
            <w:tcW w:w="640" w:type="dxa"/>
            <w:vAlign w:val="bottom"/>
            <w:tcBorders>
              <w:bottom w:val="single" w:sz="8" w:color="5555FF"/>
            </w:tcBorders>
            <w:gridSpan w:val="2"/>
          </w:tcPr>
          <w:p>
            <w:pPr>
              <w:spacing w:after="0"/>
              <w:rPr>
                <w:rFonts w:ascii="Arial" w:cs="Arial" w:eastAsia="Arial" w:hAnsi="Arial"/>
                <w:sz w:val="18"/>
                <w:szCs w:val="18"/>
                <w:color w:val="5555FF"/>
                <w:w w:val="84"/>
              </w:rPr>
            </w:pPr>
            <w:hyperlink w:anchor="page67">
              <w:r>
                <w:rPr>
                  <w:rFonts w:ascii="Arial" w:cs="Arial" w:eastAsia="Arial" w:hAnsi="Arial"/>
                  <w:sz w:val="18"/>
                  <w:szCs w:val="18"/>
                  <w:color w:val="5555FF"/>
                  <w:w w:val="84"/>
                </w:rPr>
                <w:t>Business</w:t>
              </w:r>
            </w:hyperlink>
          </w:p>
        </w:tc>
        <w:tc>
          <w:tcPr>
            <w:tcW w:w="9940" w:type="dxa"/>
            <w:vAlign w:val="bottom"/>
            <w:gridSpan w:val="19"/>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r>
      <w:tr>
        <w:trPr>
          <w:trHeight w:val="372"/>
        </w:trPr>
        <w:tc>
          <w:tcPr>
            <w:tcW w:w="1820" w:type="dxa"/>
            <w:vAlign w:val="bottom"/>
            <w:tcBorders>
              <w:bottom w:val="single" w:sz="8" w:color="5555FF"/>
            </w:tcBorders>
            <w:gridSpan w:val="14"/>
          </w:tcPr>
          <w:p>
            <w:pPr>
              <w:spacing w:after="0"/>
              <w:rPr>
                <w:rFonts w:ascii="Arial" w:cs="Arial" w:eastAsia="Arial" w:hAnsi="Arial"/>
                <w:sz w:val="18"/>
                <w:szCs w:val="18"/>
                <w:color w:val="5555FF"/>
                <w:w w:val="91"/>
              </w:rPr>
            </w:pPr>
            <w:hyperlink w:anchor="page91">
              <w:r>
                <w:rPr>
                  <w:rFonts w:ascii="Arial" w:cs="Arial" w:eastAsia="Arial" w:hAnsi="Arial"/>
                  <w:sz w:val="18"/>
                  <w:szCs w:val="18"/>
                  <w:color w:val="5555FF"/>
                  <w:w w:val="91"/>
                </w:rPr>
                <w:t>Description of Properties</w:t>
              </w:r>
            </w:hyperlink>
          </w:p>
        </w:tc>
        <w:tc>
          <w:tcPr>
            <w:tcW w:w="8760" w:type="dxa"/>
            <w:vAlign w:val="bottom"/>
            <w:gridSpan w:val="7"/>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87</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92">
              <w:r>
                <w:rPr>
                  <w:rFonts w:ascii="Arial" w:cs="Arial" w:eastAsia="Arial" w:hAnsi="Arial"/>
                  <w:sz w:val="18"/>
                  <w:szCs w:val="18"/>
                  <w:color w:val="5555FF"/>
                </w:rPr>
                <w:t>Legal Proceedings</w:t>
              </w:r>
            </w:hyperlink>
          </w:p>
        </w:tc>
        <w:tc>
          <w:tcPr>
            <w:tcW w:w="8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88</w:t>
              </w:r>
            </w:hyperlink>
          </w:p>
        </w:tc>
      </w:tr>
      <w:tr>
        <w:trPr>
          <w:trHeight w:val="372"/>
        </w:trPr>
        <w:tc>
          <w:tcPr>
            <w:tcW w:w="940" w:type="dxa"/>
            <w:vAlign w:val="bottom"/>
            <w:tcBorders>
              <w:top w:val="single" w:sz="8" w:color="5555FF"/>
              <w:bottom w:val="single" w:sz="8" w:color="5555FF"/>
            </w:tcBorders>
            <w:gridSpan w:val="4"/>
          </w:tcPr>
          <w:p>
            <w:pPr>
              <w:spacing w:after="0"/>
              <w:rPr>
                <w:rFonts w:ascii="Arial" w:cs="Arial" w:eastAsia="Arial" w:hAnsi="Arial"/>
                <w:sz w:val="18"/>
                <w:szCs w:val="18"/>
                <w:color w:val="5555FF"/>
                <w:w w:val="87"/>
              </w:rPr>
            </w:pPr>
            <w:hyperlink w:anchor="page93">
              <w:r>
                <w:rPr>
                  <w:rFonts w:ascii="Arial" w:cs="Arial" w:eastAsia="Arial" w:hAnsi="Arial"/>
                  <w:sz w:val="18"/>
                  <w:szCs w:val="18"/>
                  <w:color w:val="5555FF"/>
                  <w:w w:val="87"/>
                </w:rPr>
                <w:t>Management</w:t>
              </w:r>
            </w:hyperlink>
          </w:p>
        </w:tc>
        <w:tc>
          <w:tcPr>
            <w:tcW w:w="380" w:type="dxa"/>
            <w:vAlign w:val="bottom"/>
            <w:tcBorders>
              <w:top w:val="single" w:sz="8" w:color="5555FF"/>
            </w:tcBorders>
            <w:gridSpan w:val="3"/>
          </w:tcPr>
          <w:p>
            <w:pPr>
              <w:spacing w:after="0"/>
              <w:rPr>
                <w:sz w:val="24"/>
                <w:szCs w:val="24"/>
                <w:color w:val="auto"/>
              </w:rPr>
            </w:pPr>
          </w:p>
        </w:tc>
        <w:tc>
          <w:tcPr>
            <w:tcW w:w="9260" w:type="dxa"/>
            <w:vAlign w:val="bottom"/>
            <w:gridSpan w:val="1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89</w:t>
              </w:r>
            </w:hyperlink>
          </w:p>
        </w:tc>
      </w:tr>
      <w:tr>
        <w:trPr>
          <w:trHeight w:val="372"/>
        </w:trPr>
        <w:tc>
          <w:tcPr>
            <w:tcW w:w="1800" w:type="dxa"/>
            <w:vAlign w:val="bottom"/>
            <w:tcBorders>
              <w:bottom w:val="single" w:sz="8" w:color="5555FF"/>
            </w:tcBorders>
            <w:gridSpan w:val="13"/>
          </w:tcPr>
          <w:p>
            <w:pPr>
              <w:spacing w:after="0"/>
              <w:rPr>
                <w:rFonts w:ascii="Arial" w:cs="Arial" w:eastAsia="Arial" w:hAnsi="Arial"/>
                <w:sz w:val="18"/>
                <w:szCs w:val="18"/>
                <w:color w:val="5555FF"/>
                <w:w w:val="89"/>
              </w:rPr>
            </w:pPr>
            <w:hyperlink w:anchor="page101">
              <w:r>
                <w:rPr>
                  <w:rFonts w:ascii="Arial" w:cs="Arial" w:eastAsia="Arial" w:hAnsi="Arial"/>
                  <w:sz w:val="18"/>
                  <w:szCs w:val="18"/>
                  <w:color w:val="5555FF"/>
                  <w:w w:val="89"/>
                </w:rPr>
                <w:t>Executive Compensation</w:t>
              </w:r>
            </w:hyperlink>
          </w:p>
        </w:tc>
        <w:tc>
          <w:tcPr>
            <w:tcW w:w="8780" w:type="dxa"/>
            <w:vAlign w:val="bottom"/>
            <w:gridSpan w:val="8"/>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97</w:t>
              </w:r>
            </w:hyperlink>
          </w:p>
        </w:tc>
      </w:tr>
      <w:tr>
        <w:trPr>
          <w:trHeight w:val="372"/>
        </w:trPr>
        <w:tc>
          <w:tcPr>
            <w:tcW w:w="3840" w:type="dxa"/>
            <w:vAlign w:val="bottom"/>
            <w:tcBorders>
              <w:bottom w:val="single" w:sz="8" w:color="5555FF"/>
            </w:tcBorders>
            <w:gridSpan w:val="17"/>
          </w:tcPr>
          <w:p>
            <w:pPr>
              <w:spacing w:after="0"/>
              <w:rPr>
                <w:rFonts w:ascii="Arial" w:cs="Arial" w:eastAsia="Arial" w:hAnsi="Arial"/>
                <w:sz w:val="18"/>
                <w:szCs w:val="18"/>
                <w:color w:val="5555FF"/>
                <w:w w:val="89"/>
              </w:rPr>
            </w:pPr>
            <w:hyperlink w:anchor="page111">
              <w:r>
                <w:rPr>
                  <w:rFonts w:ascii="Arial" w:cs="Arial" w:eastAsia="Arial" w:hAnsi="Arial"/>
                  <w:sz w:val="18"/>
                  <w:szCs w:val="18"/>
                  <w:color w:val="5555FF"/>
                  <w:w w:val="89"/>
                </w:rPr>
                <w:t>Certain Relationships and Related Party Transactions</w:t>
              </w:r>
            </w:hyperlink>
          </w:p>
        </w:tc>
        <w:tc>
          <w:tcPr>
            <w:tcW w:w="6740" w:type="dxa"/>
            <w:vAlign w:val="bottom"/>
            <w:gridSpan w:val="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107</w:t>
              </w:r>
            </w:hyperlink>
          </w:p>
        </w:tc>
      </w:tr>
      <w:tr>
        <w:trPr>
          <w:trHeight w:val="372"/>
        </w:trPr>
        <w:tc>
          <w:tcPr>
            <w:tcW w:w="4880" w:type="dxa"/>
            <w:vAlign w:val="bottom"/>
            <w:tcBorders>
              <w:bottom w:val="single" w:sz="8" w:color="5555FF"/>
            </w:tcBorders>
            <w:gridSpan w:val="19"/>
          </w:tcPr>
          <w:p>
            <w:pPr>
              <w:spacing w:after="0"/>
              <w:rPr>
                <w:rFonts w:ascii="Arial" w:cs="Arial" w:eastAsia="Arial" w:hAnsi="Arial"/>
                <w:sz w:val="18"/>
                <w:szCs w:val="18"/>
                <w:color w:val="5555FF"/>
                <w:w w:val="90"/>
              </w:rPr>
            </w:pPr>
            <w:hyperlink w:anchor="page112">
              <w:r>
                <w:rPr>
                  <w:rFonts w:ascii="Arial" w:cs="Arial" w:eastAsia="Arial" w:hAnsi="Arial"/>
                  <w:sz w:val="18"/>
                  <w:szCs w:val="18"/>
                  <w:color w:val="5555FF"/>
                  <w:w w:val="90"/>
                </w:rPr>
                <w:t>Security Ownership of Certain Beneficial Owners and Management</w:t>
              </w:r>
            </w:hyperlink>
          </w:p>
        </w:tc>
        <w:tc>
          <w:tcPr>
            <w:tcW w:w="5700" w:type="dxa"/>
            <w:vAlign w:val="bottom"/>
            <w:gridSpan w:val="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108</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16">
              <w:r>
                <w:rPr>
                  <w:rFonts w:ascii="Arial" w:cs="Arial" w:eastAsia="Arial" w:hAnsi="Arial"/>
                  <w:sz w:val="18"/>
                  <w:szCs w:val="18"/>
                  <w:color w:val="5555FF"/>
                </w:rPr>
                <w:t>Description of Securities</w:t>
              </w:r>
            </w:hyperlink>
          </w:p>
        </w:tc>
        <w:tc>
          <w:tcPr>
            <w:tcW w:w="8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112</w:t>
              </w:r>
            </w:hyperlink>
          </w:p>
        </w:tc>
      </w:tr>
      <w:tr>
        <w:trPr>
          <w:trHeight w:val="372"/>
        </w:trPr>
        <w:tc>
          <w:tcPr>
            <w:tcW w:w="1000" w:type="dxa"/>
            <w:vAlign w:val="bottom"/>
            <w:tcBorders>
              <w:top w:val="single" w:sz="8" w:color="5555FF"/>
              <w:bottom w:val="single" w:sz="8" w:color="5555FF"/>
            </w:tcBorders>
            <w:gridSpan w:val="5"/>
          </w:tcPr>
          <w:p>
            <w:pPr>
              <w:spacing w:after="0"/>
              <w:rPr>
                <w:rFonts w:ascii="Arial" w:cs="Arial" w:eastAsia="Arial" w:hAnsi="Arial"/>
                <w:sz w:val="18"/>
                <w:szCs w:val="18"/>
                <w:color w:val="5555FF"/>
                <w:w w:val="89"/>
              </w:rPr>
            </w:pPr>
            <w:hyperlink w:anchor="page124">
              <w:r>
                <w:rPr>
                  <w:rFonts w:ascii="Arial" w:cs="Arial" w:eastAsia="Arial" w:hAnsi="Arial"/>
                  <w:sz w:val="18"/>
                  <w:szCs w:val="18"/>
                  <w:color w:val="5555FF"/>
                  <w:w w:val="89"/>
                </w:rPr>
                <w:t>Legal Matters</w:t>
              </w:r>
            </w:hyperlink>
          </w:p>
        </w:tc>
        <w:tc>
          <w:tcPr>
            <w:tcW w:w="780" w:type="dxa"/>
            <w:vAlign w:val="bottom"/>
            <w:tcBorders>
              <w:top w:val="single" w:sz="8" w:color="5555FF"/>
            </w:tcBorders>
            <w:gridSpan w:val="7"/>
          </w:tcPr>
          <w:p>
            <w:pPr>
              <w:spacing w:after="0"/>
              <w:rPr>
                <w:sz w:val="24"/>
                <w:szCs w:val="24"/>
                <w:color w:val="auto"/>
              </w:rPr>
            </w:pPr>
          </w:p>
        </w:tc>
        <w:tc>
          <w:tcPr>
            <w:tcW w:w="8800" w:type="dxa"/>
            <w:vAlign w:val="bottom"/>
            <w:gridSpan w:val="9"/>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120</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4">
              <w:r>
                <w:rPr>
                  <w:rFonts w:ascii="Arial" w:cs="Arial" w:eastAsia="Arial" w:hAnsi="Arial"/>
                  <w:sz w:val="18"/>
                  <w:szCs w:val="18"/>
                  <w:color w:val="5555FF"/>
                </w:rPr>
                <w:t>Experts</w:t>
              </w:r>
            </w:hyperlink>
          </w:p>
        </w:tc>
        <w:tc>
          <w:tcPr>
            <w:tcW w:w="80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120</w:t>
              </w:r>
            </w:hyperlink>
          </w:p>
        </w:tc>
      </w:tr>
      <w:tr>
        <w:trPr>
          <w:trHeight w:val="20"/>
        </w:trPr>
        <w:tc>
          <w:tcPr>
            <w:tcW w:w="540" w:type="dxa"/>
            <w:vAlign w:val="bottom"/>
            <w:shd w:val="clear" w:color="auto" w:fill="5555FF"/>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4">
              <w:r>
                <w:rPr>
                  <w:rFonts w:ascii="Arial" w:cs="Arial" w:eastAsia="Arial" w:hAnsi="Arial"/>
                  <w:sz w:val="18"/>
                  <w:szCs w:val="18"/>
                  <w:color w:val="5555FF"/>
                </w:rPr>
                <w:t>Available Information</w:t>
              </w:r>
            </w:hyperlink>
          </w:p>
        </w:tc>
        <w:tc>
          <w:tcPr>
            <w:tcW w:w="80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120</w:t>
              </w:r>
            </w:hyperlink>
          </w:p>
        </w:tc>
      </w:tr>
      <w:tr>
        <w:trPr>
          <w:trHeight w:val="20"/>
        </w:trPr>
        <w:tc>
          <w:tcPr>
            <w:tcW w:w="1420" w:type="dxa"/>
            <w:vAlign w:val="bottom"/>
            <w:gridSpan w:val="8"/>
            <w:shd w:val="clear" w:color="auto" w:fill="5555FF"/>
          </w:tcPr>
          <w:p>
            <w:pPr>
              <w:spacing w:after="0" w:line="20" w:lineRule="exact"/>
              <w:rPr>
                <w:sz w:val="1"/>
                <w:szCs w:val="1"/>
                <w:color w:val="auto"/>
              </w:rPr>
            </w:pPr>
          </w:p>
        </w:tc>
        <w:tc>
          <w:tcPr>
            <w:tcW w:w="80" w:type="dxa"/>
            <w:vAlign w:val="bottom"/>
            <w:shd w:val="clear" w:color="auto" w:fill="5555FF"/>
          </w:tcPr>
          <w:p>
            <w:pPr>
              <w:spacing w:after="0" w:line="20" w:lineRule="exact"/>
              <w:rPr>
                <w:sz w:val="1"/>
                <w:szCs w:val="1"/>
                <w:color w:val="auto"/>
              </w:rPr>
            </w:pPr>
          </w:p>
        </w:tc>
        <w:tc>
          <w:tcPr>
            <w:tcW w:w="80" w:type="dxa"/>
            <w:vAlign w:val="bottom"/>
            <w:gridSpan w:val="2"/>
            <w:shd w:val="clear" w:color="auto" w:fill="5555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240" w:type="dxa"/>
            <w:vAlign w:val="bottom"/>
            <w:tcBorders>
              <w:bottom w:val="single" w:sz="8" w:color="5555FF"/>
            </w:tcBorders>
            <w:gridSpan w:val="16"/>
          </w:tcPr>
          <w:p>
            <w:pPr>
              <w:spacing w:after="0"/>
              <w:rPr>
                <w:rFonts w:ascii="Arial" w:cs="Arial" w:eastAsia="Arial" w:hAnsi="Arial"/>
                <w:sz w:val="18"/>
                <w:szCs w:val="18"/>
                <w:color w:val="5555FF"/>
                <w:w w:val="94"/>
              </w:rPr>
            </w:pPr>
            <w:hyperlink w:anchor="page125">
              <w:r>
                <w:rPr>
                  <w:rFonts w:ascii="Arial" w:cs="Arial" w:eastAsia="Arial" w:hAnsi="Arial"/>
                  <w:sz w:val="18"/>
                  <w:szCs w:val="18"/>
                  <w:color w:val="5555FF"/>
                  <w:w w:val="94"/>
                </w:rPr>
                <w:t>Indemnification for Securities Act Liabilities</w:t>
              </w:r>
            </w:hyperlink>
          </w:p>
        </w:tc>
        <w:tc>
          <w:tcPr>
            <w:tcW w:w="7340" w:type="dxa"/>
            <w:vAlign w:val="bottom"/>
            <w:gridSpan w:val="5"/>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121</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6">
              <w:r>
                <w:rPr>
                  <w:rFonts w:ascii="Arial" w:cs="Arial" w:eastAsia="Arial" w:hAnsi="Arial"/>
                  <w:sz w:val="18"/>
                  <w:szCs w:val="18"/>
                  <w:color w:val="5555FF"/>
                </w:rPr>
                <w:t>Plan of Distribution</w:t>
              </w:r>
            </w:hyperlink>
          </w:p>
        </w:tc>
        <w:tc>
          <w:tcPr>
            <w:tcW w:w="80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20"/>
        </w:trPr>
        <w:tc>
          <w:tcPr>
            <w:tcW w:w="1420" w:type="dxa"/>
            <w:vAlign w:val="bottom"/>
            <w:gridSpan w:val="8"/>
            <w:shd w:val="clear" w:color="auto" w:fill="5555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500" w:type="dxa"/>
            <w:vAlign w:val="bottom"/>
            <w:tcBorders>
              <w:bottom w:val="single" w:sz="8" w:color="5555FF"/>
            </w:tcBorders>
            <w:gridSpan w:val="9"/>
          </w:tcPr>
          <w:p>
            <w:pPr>
              <w:spacing w:after="0"/>
              <w:rPr>
                <w:rFonts w:ascii="Arial" w:cs="Arial" w:eastAsia="Arial" w:hAnsi="Arial"/>
                <w:sz w:val="18"/>
                <w:szCs w:val="18"/>
                <w:color w:val="5555FF"/>
                <w:w w:val="90"/>
              </w:rPr>
            </w:pPr>
            <w:hyperlink w:anchor="page127">
              <w:r>
                <w:rPr>
                  <w:rFonts w:ascii="Arial" w:cs="Arial" w:eastAsia="Arial" w:hAnsi="Arial"/>
                  <w:sz w:val="18"/>
                  <w:szCs w:val="18"/>
                  <w:color w:val="5555FF"/>
                  <w:w w:val="90"/>
                </w:rPr>
                <w:t>Selling Stockholders</w:t>
              </w:r>
            </w:hyperlink>
          </w:p>
        </w:tc>
        <w:tc>
          <w:tcPr>
            <w:tcW w:w="9080" w:type="dxa"/>
            <w:vAlign w:val="bottom"/>
            <w:gridSpan w:val="1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123</w:t>
              </w:r>
            </w:hyperlink>
          </w:p>
        </w:tc>
      </w:tr>
      <w:tr>
        <w:trPr>
          <w:trHeight w:val="372"/>
        </w:trPr>
        <w:tc>
          <w:tcPr>
            <w:tcW w:w="2140" w:type="dxa"/>
            <w:vAlign w:val="bottom"/>
            <w:tcBorders>
              <w:bottom w:val="single" w:sz="8" w:color="5555FF"/>
            </w:tcBorders>
            <w:gridSpan w:val="15"/>
          </w:tcPr>
          <w:p>
            <w:pPr>
              <w:spacing w:after="0"/>
              <w:rPr>
                <w:rFonts w:ascii="Arial" w:cs="Arial" w:eastAsia="Arial" w:hAnsi="Arial"/>
                <w:sz w:val="18"/>
                <w:szCs w:val="18"/>
                <w:color w:val="5555FF"/>
                <w:w w:val="89"/>
              </w:rPr>
            </w:pPr>
            <w:hyperlink w:anchor="page132">
              <w:r>
                <w:rPr>
                  <w:rFonts w:ascii="Arial" w:cs="Arial" w:eastAsia="Arial" w:hAnsi="Arial"/>
                  <w:sz w:val="18"/>
                  <w:szCs w:val="18"/>
                  <w:color w:val="5555FF"/>
                  <w:w w:val="89"/>
                </w:rPr>
                <w:t>Index to Financial Statements</w:t>
              </w:r>
            </w:hyperlink>
          </w:p>
        </w:tc>
        <w:tc>
          <w:tcPr>
            <w:tcW w:w="8440" w:type="dxa"/>
            <w:vAlign w:val="bottom"/>
            <w:gridSpan w:val="6"/>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2">
              <w:r>
                <w:rPr>
                  <w:rFonts w:ascii="Arial" w:cs="Arial" w:eastAsia="Arial" w:hAnsi="Arial"/>
                  <w:sz w:val="18"/>
                  <w:szCs w:val="18"/>
                  <w:color w:val="auto"/>
                </w:rPr>
                <w:t>1</w:t>
              </w:r>
            </w:hyperlink>
          </w:p>
        </w:tc>
      </w:tr>
    </w:tbl>
    <w:p>
      <w:pPr>
        <w:spacing w:after="0" w:line="252" w:lineRule="exact"/>
        <w:rPr>
          <w:sz w:val="20"/>
          <w:szCs w:val="20"/>
          <w:color w:val="auto"/>
        </w:rPr>
      </w:pPr>
    </w:p>
    <w:p>
      <w:pPr>
        <w:ind w:right="700" w:firstLine="324"/>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thereto. We have not authorized anyone to provide you with different information.</w:t>
      </w:r>
    </w:p>
    <w:p>
      <w:pPr>
        <w:spacing w:after="0" w:line="1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85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t>PROSPECTUS SUMMARY</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On March 7, 2017, we completed our merger, or the Merger, with Essentialis, Inc., a Delaware corporation, or Essentialis. After the Merger, our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w:t>
      </w:r>
    </w:p>
    <w:p>
      <w:pPr>
        <w:spacing w:after="0" w:line="179"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In addition, we continue to commercialize innovative medical devices to address unmet medical needs. We have two commercial products based on our proprietary technologies, including those which utilize precision metering of gas flow. Our most recent product to launch commercially is Serenz</w:t>
      </w:r>
      <w:r>
        <w:rPr>
          <w:rFonts w:ascii="Arial" w:cs="Arial" w:eastAsia="Arial" w:hAnsi="Arial"/>
          <w:sz w:val="16"/>
          <w:szCs w:val="16"/>
          <w:color w:val="auto"/>
        </w:rPr>
        <w:t>®</w:t>
      </w:r>
      <w:r>
        <w:rPr>
          <w:rFonts w:ascii="Arial" w:cs="Arial" w:eastAsia="Arial" w:hAnsi="Arial"/>
          <w:sz w:val="18"/>
          <w:szCs w:val="18"/>
          <w:color w:val="auto"/>
        </w:rPr>
        <w:t xml:space="preserve"> Nasal Relief, or Serenz. In the U.S., we have concluded that Serenz is a Class I, 510(k) exempt device. Serenz is a proprietary handheld device that delivers non-inhaled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topically to the nasal mucosa. Serenz is used only when needed, and does not need to be used on a regular basis.</w:t>
      </w:r>
    </w:p>
    <w:p>
      <w:pPr>
        <w:spacing w:after="0" w:line="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also selling the CoSense</w:t>
      </w:r>
      <w:r>
        <w:rPr>
          <w:rFonts w:ascii="Arial" w:cs="Arial" w:eastAsia="Arial" w:hAnsi="Arial"/>
          <w:sz w:val="15"/>
          <w:szCs w:val="15"/>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our wholly owned subsidiary NeoForce, Inc., or NFI, we also develop and globally market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Following the Merger, we initiated a comprehensive review of strategic alternatives for our legacy products and product candidates, including Serenz® Allergy Relief, CoSense® ETCO Monitor, and our portfolio of innovative pulmonary resuscitation solutions for the neonatal market. We may also license elements of our Sensalyze Technology Platform to other companies that have complementary development or commercial capabilities.</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40"/>
          </w:cols>
          <w:pgMar w:left="680" w:top="972" w:right="6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85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t>Diazoxide Choline Controlled-Release Tablets</w:t>
      </w:r>
    </w:p>
    <w:p>
      <w:pPr>
        <w:spacing w:after="0" w:line="270"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DCCR tablets consist of the active ingredient diazoxide choline, a choline salt of diazoxide, which is a benzothiadiazine. Once solubilized from the formulation, diazoxide choline is rapidly hydrolyzed to diazoxide prior to absorption. Diazoxide is a benzothiadiazine that acts by stimulating ion flux through ATP</w:t>
      </w:r>
      <w:r>
        <w:rPr>
          <w:rFonts w:ascii="MS PGothic" w:cs="MS PGothic" w:eastAsia="MS PGothic" w:hAnsi="MS PGothic"/>
          <w:sz w:val="18"/>
          <w:szCs w:val="18"/>
          <w:color w:val="auto"/>
        </w:rPr>
        <w:t>‑</w:t>
      </w:r>
      <w:r>
        <w:rPr>
          <w:rFonts w:ascii="Arial" w:cs="Arial" w:eastAsia="Arial" w:hAnsi="Arial"/>
          <w:sz w:val="18"/>
          <w:szCs w:val="18"/>
          <w:color w:val="auto"/>
        </w:rPr>
        <w:t>sensitive 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channels (K</w:t>
      </w:r>
      <w:r>
        <w:rPr>
          <w:rFonts w:ascii="Arial" w:cs="Arial" w:eastAsia="Arial" w:hAnsi="Arial"/>
          <w:sz w:val="12"/>
          <w:szCs w:val="12"/>
          <w:color w:val="auto"/>
        </w:rPr>
        <w:t>ATP</w:t>
      </w:r>
      <w:r>
        <w:rPr>
          <w:rFonts w:ascii="Arial" w:cs="Arial" w:eastAsia="Arial" w:hAnsi="Arial"/>
          <w:sz w:val="18"/>
          <w:szCs w:val="18"/>
          <w:color w:val="auto"/>
        </w:rPr>
        <w:t>). In the U.S., diazoxide was first approved in 1973 as an intravenous formulation for the emergency treatment of malignant hypertension. In 1976, immediate-release oral formulations were approved, and there has been nearly 40 years of use of the orally-administered drug in the approved indications.</w:t>
      </w:r>
    </w:p>
    <w:p>
      <w:pPr>
        <w:spacing w:after="0" w:line="15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 pilot study was conducted between June 2014 and March 2016 to evaluate the safety and preliminary efficacy of DCCR in the treatment of PWS subjects. This study, PC025, was a single-center, randomized withdrawal study and enrolled 13 overweight and obese subjects with genetically-confirmed PWS who were between the ages of 10 and 22. The first phase of the study was open label during which subjects were initiated on a DCCR dose target and were dose escalated every 14 days at the discretion of the investigator. This open-label treatment phase was followed by randomized double-blind, placebo-controlled withdrawal phase. Changes from baseline in the aggressive, threatening, and destructive behavior subset of the 23-item PWS-associated behaviors questionnaire were evaluated. There was a statistically significant improvement in aggressive, threatening and destructive behaviors.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DCCR is being developed in the U.S. under a current Investigational New Drug, or IND. The IND was recently transferred from the Division of Metabolism and Endocrinology Products to the Division of Psychiatry Products, or DPP, at the Food and Drug Administration, or FDA. A general scientific advice meeting (Type C) has been granted by DPP to discuss a proposed New Drug Application, or NDA, enabling clinical trial design in the second quarter of 2017. This study is a six month randomized, double-blind, placebo-controlled, parallel group study in patients with genetically-confirmed PWS with hyperphagia, or an abnormally increased appetite for food, which is anticipated to be conducted at sites in the U.S. and Europe. A validated nine item questionnaire developed to evaluate changes in hyperphagia in clinical trials, will be used to assess the primary endpoint of change in hyperphagia. The study is also designed to assess the potential for DCCR treatment to reduce the severity and frequency of aggressive behaviors, to improve quality of life and to reduce cardiovascular risk. It is anticipated that the feedback obtained from this meeting will be used to finalize the protocol to enable study initiation in the second half of 2017. The six month double-blind, placebo controlled clinical study would be followed by a six month open-label trial in which all subjects who completed the first study were eligible to be enrolled.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Serenz</w:t>
      </w:r>
    </w:p>
    <w:p>
      <w:pPr>
        <w:spacing w:after="0" w:line="12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believe that Serenz has an ideal profile for an as-needed therapeutic for allergic rhinitis, or AR, and may provide advantages over regularly dosed, slow to act currently marketed products.</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AR, which is commonly and colloquially referred to as “allergies,” is characterized by symptoms that are often episodic and include nasal congestion, itching, sneezing and runny nose. There are approximately 123 million sufferers in the U.S., France, Germany, Italy, Spain, the U.K. and Japan, according to research firm GlobalData. Prevalence of AR is growing rapidly in the developed world. The most common AR drug therapies include antihistamines and intranasal steroids. Leukotriene inhibitors and other drugs are also currently prescribed to AR patients. Several of these drugs have generated sales in excess of $1 billion per year as branded products. However, these products have significant limitations and AR sufferers remain dissatisfied with the available treatments. Thus, there is a need for a more effective treatment with a faster onset of action and improved safety profile.</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Serenz is based upon the observation that non-inhaled CO</w:t>
      </w:r>
      <w:r>
        <w:rPr>
          <w:rFonts w:ascii="Arial" w:cs="Arial" w:eastAsia="Arial" w:hAnsi="Arial"/>
          <w:sz w:val="12"/>
          <w:szCs w:val="12"/>
          <w:color w:val="auto"/>
        </w:rPr>
        <w:t>2</w:t>
      </w:r>
      <w:r>
        <w:rPr>
          <w:rFonts w:ascii="Arial" w:cs="Arial" w:eastAsia="Arial" w:hAnsi="Arial"/>
          <w:sz w:val="18"/>
          <w:szCs w:val="18"/>
          <w:color w:val="auto"/>
        </w:rPr>
        <w:t xml:space="preserve"> delivered at a low-flow rate into the nasal cavity, alleviates the symptoms of AR. Serenz is a convenient, hand-held device that delivers low-flow CO</w:t>
      </w:r>
      <w:r>
        <w:rPr>
          <w:rFonts w:ascii="Arial" w:cs="Arial" w:eastAsia="Arial" w:hAnsi="Arial"/>
          <w:sz w:val="12"/>
          <w:szCs w:val="12"/>
          <w:color w:val="auto"/>
        </w:rPr>
        <w:t>2</w:t>
      </w:r>
      <w:r>
        <w:rPr>
          <w:rFonts w:ascii="Arial" w:cs="Arial" w:eastAsia="Arial" w:hAnsi="Arial"/>
          <w:sz w:val="18"/>
          <w:szCs w:val="18"/>
          <w:color w:val="auto"/>
        </w:rPr>
        <w:t xml:space="preserve"> to the nasal mucosa. It contains a pressurized canister of gas, with approximately enough gas to dose as-needed for one to two weeks. The device is disposable and engineered for ease of use. Our proprietary technology ensures very precise control of aspects such as flow rate and volume, which we believe are both critical to achieve the desired clinical performance.</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our clinical trials to date, Serenz has shown a large effect size, an onset of effect within 30 minutes and has been well tolerated. We believe that these characteristics position Serenz well to be a potential first-line treatment for any AR sufferer. Serenz can be taken as a stand-alone treatment and can be used on an as-needed basis. Serenz has the the ideal characteristics of an AR therapeutic, including:</w:t>
      </w:r>
    </w:p>
    <w:p>
      <w:pPr>
        <w:spacing w:after="0" w:line="71" w:lineRule="exact"/>
        <w:rPr>
          <w:sz w:val="20"/>
          <w:szCs w:val="20"/>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Rapid relief</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Relief from nasal congestion, sneezing and itchy/runny nose</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680" w:top="1026" w:right="659" w:bottom="1440" w:gutter="0" w:footer="0" w:header="0"/>
        </w:sectPr>
      </w:pPr>
    </w:p>
    <w:bookmarkStart w:id="6" w:name="page7"/>
    <w:bookmarkEnd w:id="6"/>
    <w:p>
      <w:pPr>
        <w:ind w:left="1280" w:hanging="64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653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530340"/>
                    </a:xfrm>
                    <a:prstGeom prst="rect">
                      <a:avLst/>
                    </a:prstGeom>
                    <a:noFill/>
                  </pic:spPr>
                </pic:pic>
              </a:graphicData>
            </a:graphic>
          </wp:anchor>
        </w:drawing>
        <w:t>Tolerant side effect profile</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locally in the nasal cavity</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Non-steroidal</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known long-lasting side effects</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CE Mark certification for Serenz Allergy Relief.</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U.S., we have concluded that Serenz Nasal Relief is a Class I, 510(k) exempt device. The device meets FDA regulations as a class 1 medical device (i.e., not a pharmaceutical) and is 510(k) exempt in the U.S. (Product Code, KMA; Regulation Number, 21 CFR 874.5550, Powered Nasal Irrigator). The following intended use of the Serenz Nasal Relief device is consistent with 21 CFR 874.5550 which identifies powered nasal irrigators as “…powered device intended to wash the nasal cavity…” Serenz Nasal Relief is intended to irrigate and wash the nasal cavity with a controlled flow of carbon dioxide. The wash is intended to provide rapid relief for adults experiencing nasal allergy symptoms such as stuffy, runny or itchy nose or sneezing. The device classification is based on the fact that the primary mode of action for the Serenz Nasal Relief device is a physical wash of the nasal cavity using pressurized gas, and no pharmaceutical action occurs with the usage of the Serenz Nasal Relief device as indicated. This is demonstrated by data demonstrating the 10-second application per nostril (20 seconds total) of nasal, non-inhaled CO</w:t>
      </w:r>
      <w:r>
        <w:rPr>
          <w:rFonts w:ascii="Arial" w:cs="Arial" w:eastAsia="Arial" w:hAnsi="Arial"/>
          <w:sz w:val="11"/>
          <w:szCs w:val="11"/>
          <w:color w:val="auto"/>
        </w:rPr>
        <w:t>2</w:t>
      </w:r>
      <w:r>
        <w:rPr>
          <w:rFonts w:ascii="Arial" w:cs="Arial" w:eastAsia="Arial" w:hAnsi="Arial"/>
          <w:sz w:val="17"/>
          <w:szCs w:val="17"/>
          <w:color w:val="auto"/>
        </w:rPr>
        <w:t xml:space="preserve"> is insufficient to induce a pharmacologic effect.</w:t>
      </w:r>
    </w:p>
    <w:p>
      <w:pPr>
        <w:spacing w:after="0" w:line="18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March 2017, we initiated the pilot launch of Serenz Nasal Relief in the U.S. We initially gave away 2,146 Serenz nasal relief samples to qualified leads identified by Lifescript Advantage, or LSA, a division of Lifescript, Inc., a digital healthcare media and publishing company. The purpose of this promotion was to build and raise awareness of Serenz Nasal Relief using content marketing, which a type of marketing that involves the creation and sharing of online material (such as videos, blogs, and social media posts).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CoSense</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Approximately 143 million babies are born annually worldwide, with approximately 9.2 million of these born in the U.S. and E.U. It is estimated that up to 60% of term neonates and 80% of preterm neonates may have jaundice. We believe CoSense has the potential to become a part of routine pre-discharge screening, by aiding in the differential diagnosis of hemolysis in infants that present with, or are at risk of developing, jaundice. Red blood cell breakdown is a normal phenomenon, but in certain situations the breakdown is accelerated or is excessive and is referred to as hemolysis. The most common cause of hospital readmission during the neonatal phase is jaundice, and we expect that CoSense will help reduce such readmissions. Many causes of jaundice do not represent a significant health threat. However, when severe jaundice occurs in the presence of hemolysis, rapid diagnosis and treatment may be necessary for infants to avoid life-long neurological impairment or other disability. Also, unnecessary treatment increases hospital expenses, is stressful for both infant and parents and may increase morbidity. There is an unmet need, therefore, for more accurate diagnostics for hemolysis, particularly if they are non-invasive, rapid, and easy to use.</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CoSense detects hemolysis by measuring CO in the “end-tidal” component of the breath, and the measurement performed with CoSense is referred to as end-tidal carbon monoxide, or ETCO. The American Academy of Pediatrics, or AAP, guidelines, published in the journal Pediatrics in 2004, recommend ETCO measurement be performed to assess the presence of hemolysis in neonates requiring phototherapy, neonates unresponsive to phototherapy or readmitted for phototherapy and neonates with bilirubin levels approaching transfusion levels. Today, CoSense is the only device commercially available for accurately measuring the ETCO levels associated with the rate of hemolysis in clinical practice in neonates. As a result, we believe that CoSense is the only device on the market that enables physicians to practice in accordance with the AAP guidelines when evaluating jaundiced neonates for potential treatment of hemolysis. Physicians are free to practice in accordance with their own judgment; however, we believe that the current AAP guidelines will be a significant factor in the adoption of CoSense.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680" w:top="760" w:right="6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705090"/>
                    </a:xfrm>
                    <a:prstGeom prst="rect">
                      <a:avLst/>
                    </a:prstGeom>
                    <a:noFill/>
                  </pic:spPr>
                </pic:pic>
              </a:graphicData>
            </a:graphic>
          </wp:anchor>
        </w:drawing>
        <w:t>NFI Pulmonary Solutions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Approximately 10% of newborns require some assistance to begin breathing at birth and represents the number of patients that would benefit from our products. Of this 10%, approximately 1% requires extensive resuscitative measures. Although the vast majority of newborns do not require intervention to make the transition from intra uterine to extra uterine life, because of the large number of births, a sizable number will require some degree of resuscitation. A T-piece resuscitator is a two-piece manually operated resuscitation delivery device used for infants and small children (less than 10 kg) to effectively deliver inhalation breaths at preset peak inspiratory pressures, or PIP, and a small back pressure to keep the lungs from collapsing on exhalation, known as positive end expiratory pressures, or PEEP, at a preset Fi02, or percent oxygen. In general, it is a modern replacement for the traditional bag and mask which requires significant user training and experience to deliver breaths to infants with tiny and very delicate lungs.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Essentialis, Inc.</w:t>
      </w:r>
    </w:p>
    <w:p>
      <w:pPr>
        <w:spacing w:after="0" w:line="2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December 22, 2016, we entered into an Agreement and Plan of Merger, or the Merger Agreement, with Essentialis. Consummation of the Merger with Essentialis was subject to various closing conditions, including our consummation of a financing of at least $8 million at, or substantially contemporaneous with, the closing of the Merger and the receipt of stockholder approval of the Merger at a special meeting of our stockholders.</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and issued 2,083,333 shares of common stock for an investment of $2 million from Aspire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is subject to numerous risks and uncertainties related to the development and commercialization of DCCR, Serenz, CoSense and our neonatology products, our reliance on third parties for manufacturing, our financial condition and need for additional capital, the operation of our business, our intellectual property, government regulation and ownership of our securities. These risks include those highlighted in the section entitled “Risk Factors” immediately following this prospectus summary, including the following:</w:t>
      </w:r>
    </w:p>
    <w:p>
      <w:pPr>
        <w:spacing w:after="0" w:line="280" w:lineRule="exact"/>
        <w:rPr>
          <w:sz w:val="20"/>
          <w:szCs w:val="20"/>
          <w:color w:val="auto"/>
        </w:rPr>
      </w:pPr>
    </w:p>
    <w:p>
      <w:pPr>
        <w:ind w:left="1280" w:right="100" w:hanging="641"/>
        <w:spacing w:after="0" w:line="28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commercialization history and have incurred significant losses since our inception, and we anticipate that we will continue to incur substantial losses for the foreseeable future, which makes it difficult to evaluate our business and assess our future viability. As of December 31, 2016, we had an accumulated deficit of $98.3 million.</w:t>
      </w:r>
    </w:p>
    <w:p>
      <w:pPr>
        <w:spacing w:after="0" w:line="57" w:lineRule="exact"/>
        <w:rPr>
          <w:rFonts w:ascii="Arial" w:cs="Arial" w:eastAsia="Arial" w:hAnsi="Arial"/>
          <w:sz w:val="17"/>
          <w:szCs w:val="17"/>
          <w:color w:val="auto"/>
        </w:rPr>
      </w:pPr>
    </w:p>
    <w:p>
      <w:pPr>
        <w:ind w:left="1280" w:right="160" w:hanging="641"/>
        <w:spacing w:after="0" w:line="302"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significantly dependent upon the success of DCCR, our sole therapeutic product candidate and if we fail to obtain regulatory approval for DCCR in the U.S. and E.U., our business would be harmed. 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680" w:top="976" w:right="659" w:bottom="1440" w:gutter="0" w:footer="0" w:header="0"/>
        </w:sectPr>
      </w:pPr>
    </w:p>
    <w:bookmarkStart w:id="8" w:name="page9"/>
    <w:bookmarkEnd w:id="8"/>
    <w:p>
      <w:pPr>
        <w:ind w:left="1280" w:right="120" w:hanging="641"/>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37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370445"/>
                    </a:xfrm>
                    <a:prstGeom prst="rect">
                      <a:avLst/>
                    </a:prstGeom>
                    <a:noFill/>
                  </pic:spPr>
                </pic:pic>
              </a:graphicData>
            </a:graphic>
          </wp:anchor>
        </w:drawing>
        <w:t>The safety and preliminary efficacy results from the pilot study of DCCR conducted in the treatment of PWS subjects may not be indicative of the outcome of the proposed NDA-enabling clinical trial.</w:t>
      </w:r>
    </w:p>
    <w:p>
      <w:pPr>
        <w:spacing w:after="0" w:line="62" w:lineRule="exact"/>
        <w:rPr>
          <w:rFonts w:ascii="Arial" w:cs="Arial" w:eastAsia="Arial" w:hAnsi="Arial"/>
          <w:sz w:val="18"/>
          <w:szCs w:val="18"/>
          <w:color w:val="auto"/>
        </w:rPr>
      </w:pPr>
    </w:p>
    <w:p>
      <w:pPr>
        <w:ind w:left="1280" w:hanging="641"/>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challenge our conclusion that Serenz Nasal Relief is a Class I, 510(k) exempt device.</w:t>
      </w:r>
    </w:p>
    <w:p>
      <w:pPr>
        <w:spacing w:after="0" w:line="117" w:lineRule="exact"/>
        <w:rPr>
          <w:rFonts w:ascii="Arial" w:cs="Arial" w:eastAsia="Arial" w:hAnsi="Arial"/>
          <w:sz w:val="18"/>
          <w:szCs w:val="18"/>
          <w:color w:val="auto"/>
        </w:rPr>
      </w:pPr>
    </w:p>
    <w:p>
      <w:pPr>
        <w:ind w:left="1280" w:right="560" w:hanging="641"/>
        <w:spacing w:after="0" w:line="342" w:lineRule="auto"/>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Serenz, CoSense and our other neonatology products may fail to achieve the degree of market acceptance by physicians, patients, caregivers, healthcare payors, and others in the medical community necessary for commercial success.</w:t>
      </w:r>
    </w:p>
    <w:p>
      <w:pPr>
        <w:spacing w:after="0" w:line="15" w:lineRule="exact"/>
        <w:rPr>
          <w:rFonts w:ascii="Arial" w:cs="Arial" w:eastAsia="Arial" w:hAnsi="Arial"/>
          <w:sz w:val="16"/>
          <w:szCs w:val="16"/>
          <w:color w:val="auto"/>
        </w:rPr>
      </w:pPr>
    </w:p>
    <w:p>
      <w:pPr>
        <w:ind w:left="1280" w:right="40" w:hanging="641"/>
        <w:spacing w:after="0" w:line="28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challenges involved in establishing distribution and sales operations may expose us to a higher than usual level of risk with respect to commercializing our products. We may be required to conduct additional clinical trials prior to obtaining additional approval for our products. We may not obtain such approvals for sale on a predictable timeframe, or at all.</w:t>
      </w:r>
    </w:p>
    <w:p>
      <w:pPr>
        <w:spacing w:after="0" w:line="57" w:lineRule="exact"/>
        <w:rPr>
          <w:rFonts w:ascii="Arial" w:cs="Arial" w:eastAsia="Arial" w:hAnsi="Arial"/>
          <w:sz w:val="17"/>
          <w:szCs w:val="17"/>
          <w:color w:val="auto"/>
        </w:rPr>
      </w:pPr>
    </w:p>
    <w:p>
      <w:pPr>
        <w:ind w:left="1280" w:right="60" w:hanging="641"/>
        <w:spacing w:after="0" w:line="259"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manufactured the active drug ingredients contained in DCCR, CoSense, its associated consumables or Serenz on a large commercial scale, and there are risks associated with scaling up manufacturing. Our commercial manufacturing partners may not be successful in achieving the levels of production volume, quality, or manufacturing costs necessary to support commercial success.</w:t>
      </w:r>
    </w:p>
    <w:p>
      <w:pPr>
        <w:spacing w:after="0" w:line="78" w:lineRule="exact"/>
        <w:rPr>
          <w:rFonts w:ascii="Arial" w:cs="Arial" w:eastAsia="Arial" w:hAnsi="Arial"/>
          <w:sz w:val="18"/>
          <w:szCs w:val="18"/>
          <w:color w:val="auto"/>
        </w:rPr>
      </w:pPr>
    </w:p>
    <w:p>
      <w:pPr>
        <w:ind w:left="1280" w:right="20" w:hanging="641"/>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executive officers, directors and principal stockholders may continue to maintain the ability to control all matters submitted to stockholders for approval.</w:t>
      </w:r>
    </w:p>
    <w:p>
      <w:pPr>
        <w:spacing w:after="0" w:line="62" w:lineRule="exact"/>
        <w:rPr>
          <w:rFonts w:ascii="Arial" w:cs="Arial" w:eastAsia="Arial" w:hAnsi="Arial"/>
          <w:sz w:val="18"/>
          <w:szCs w:val="18"/>
          <w:color w:val="auto"/>
        </w:rPr>
      </w:pPr>
    </w:p>
    <w:p>
      <w:pPr>
        <w:ind w:left="1280" w:right="40" w:hanging="641"/>
        <w:spacing w:after="0" w:line="259"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and cause dilution to our existing stockholders.</w:t>
      </w:r>
    </w:p>
    <w:p>
      <w:pPr>
        <w:spacing w:after="0" w:line="78" w:lineRule="exact"/>
        <w:rPr>
          <w:rFonts w:ascii="Arial" w:cs="Arial" w:eastAsia="Arial" w:hAnsi="Arial"/>
          <w:sz w:val="18"/>
          <w:szCs w:val="18"/>
          <w:color w:val="auto"/>
        </w:rPr>
      </w:pPr>
    </w:p>
    <w:p>
      <w:pPr>
        <w:ind w:left="1280" w:right="420" w:hanging="641"/>
        <w:spacing w:after="0" w:line="264"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our continuing to satisfy the FDA and any other applicable U.S. and international regulatory requirements with respect to medical diagnostics, devices or therapeutics, including requirements which may change or be created in the future.</w:t>
      </w:r>
    </w:p>
    <w:p>
      <w:pPr>
        <w:spacing w:after="0" w:line="73" w:lineRule="exact"/>
        <w:rPr>
          <w:rFonts w:ascii="Arial" w:cs="Arial" w:eastAsia="Arial" w:hAnsi="Arial"/>
          <w:sz w:val="18"/>
          <w:szCs w:val="18"/>
          <w:color w:val="auto"/>
        </w:rPr>
      </w:pPr>
    </w:p>
    <w:p>
      <w:pPr>
        <w:ind w:left="1280" w:right="320" w:hanging="641"/>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need to obtain or maintain patents or other appropriate protection for the intellectual property utilized in our current and planned product offerings, and we must avoid infringement of third-party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 xml:space="preserve">We were incorporated in Delaware in August of 1999. Our principal executive offices are located at 1235 Radio Road, Suite 110, Redwood City, CA 94065, and our telephone number is (650) 213-8444. Our website address is </w:t>
      </w:r>
      <w:r>
        <w:rPr>
          <w:rFonts w:ascii="Arial" w:cs="Arial" w:eastAsia="Arial" w:hAnsi="Arial"/>
          <w:sz w:val="17"/>
          <w:szCs w:val="17"/>
          <w:u w:val="single" w:color="auto"/>
          <w:color w:val="auto"/>
        </w:rPr>
        <w:t>www.soleno.life</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securities. On May 12, 2017, we formally changed our corporate name from "Capnia, Inc." to "Soleno Therapeutics, Inc."</w:t>
      </w:r>
    </w:p>
    <w:p>
      <w:pPr>
        <w:spacing w:after="0" w:line="1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following the fifth anniversary of our initial public offering, or IPO, which occurred on November 18, 2014, (2) the last day of the fiscal year in which we have total annual gross revenue of at least $1.0 billion, (3) the date on which we are deemed to be a large accelerated filer, which means the market value of common stock that is held by non-affiliates exceeds $700.0 million as of the prior June 30th, and (4) the date on which we have issued more than $1.0 billion in non-convertible debt securities during the prior three-year period.</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“Soleno Therapeutics,” “CoSense,” “Serenz,” “Sensalyze,” “NeoForce,” our logo and our other trade names, trademarks and service marks appearing in this prospectus are our property. Other trade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680" w:top="760" w:right="69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113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113270"/>
                    </a:xfrm>
                    <a:prstGeom prst="rect">
                      <a:avLst/>
                    </a:prstGeom>
                    <a:noFill/>
                  </pic:spPr>
                </pic:pic>
              </a:graphicData>
            </a:graphic>
          </wp:anchor>
        </w:drawing>
        <w:t>The Offering</w:t>
      </w:r>
    </w:p>
    <w:p>
      <w:pPr>
        <w:sectPr>
          <w:pgSz w:w="11900" w:h="16838" w:orient="portrait"/>
          <w:cols w:equalWidth="0" w:num="1">
            <w:col w:w="10560"/>
          </w:cols>
          <w:pgMar w:left="680" w:top="972" w:right="65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Common stock being offered by the selling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32,730,600 shares</w:t>
      </w:r>
    </w:p>
    <w:p>
      <w:pPr>
        <w:spacing w:after="0" w:line="58" w:lineRule="exact"/>
        <w:rPr>
          <w:sz w:val="20"/>
          <w:szCs w:val="20"/>
          <w:color w:val="auto"/>
        </w:rPr>
      </w:pPr>
    </w:p>
    <w:p>
      <w:pPr>
        <w:sectPr>
          <w:pgSz w:w="11900" w:h="16838" w:orient="portrait"/>
          <w:cols w:equalWidth="0" w:num="2">
            <w:col w:w="3280" w:space="540"/>
            <w:col w:w="6740"/>
          </w:cols>
          <w:pgMar w:left="680" w:top="972" w:right="65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stockholder</w:t>
      </w:r>
    </w:p>
    <w:p>
      <w:pPr>
        <w:sectPr>
          <w:pgSz w:w="11900" w:h="16838" w:orient="portrait"/>
          <w:cols w:equalWidth="0" w:num="1">
            <w:col w:w="10560"/>
          </w:cols>
          <w:pgMar w:left="680" w:top="972" w:right="6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Selling Stockholders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47,479,879 (as of March 10, 2017)</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selling stockholders will receive all of the proceeds from the sale of the shares offered for sale by it under this prospectus. We will not receive proceeds from the sale of the shares by the selling stockholders.</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NASDAQ Symbol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SLNO</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Investing in our securities involves a high degree of risk. You should carefully review and consider the “Risk Factors” section of this prospectus for a discussion of factors to consider before deciding to invest in shares of our common stock.</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number of shares of our common stock outstanding excludes 2,934,856 shares of our common stock issuable upon exercise of outstanding stock options, 10,534,952 shares of our common stock available for future issuance under the stock option plans, outstanding warrants exercisable for 602,109 shares of our common stock, 12,179,000 shares of our common stock issuable upon the conversion of our outstanding Series B Convertible Stock, 2,425,605 shares of our common stock issuable upon exercise of our outstanding Series A Warrants, 590,415 shares of our common stock issuable upon exercise of our outstanding Series C Warrants, 2,930,812 shares of our common stock issuable upon exercise of our outstanding Series D Warrants, each of which securities are outstanding or available for issuance as of March 10, 2017.</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with Essentialis, Inc.</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680" w:top="972" w:right="659" w:bottom="1440" w:gutter="0" w:footer="0" w:header="0"/>
          <w:type w:val="continuous"/>
        </w:sectPr>
      </w:pPr>
    </w:p>
    <w:bookmarkStart w:id="10" w:name="page11"/>
    <w:bookmarkEnd w:id="10"/>
    <w:p>
      <w:pPr>
        <w:ind w:right="180" w:firstLine="32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1813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t>In addition, we issued 8,333,333 shares of our common stock for an investment of $8 million from the completion of the concurrent financing. Concurrently with entering into the Merger Agreement and stock purchase agreements entered into for the concurrent financing, we agreed to file one or more registration statements, including the registration statement of which this prospectus is a part, as permissible and necessary to register under the Securities Act of 1933, as amended, or the Securities Act, the sale of the shares of our common stock that have been issued to the selling stockholders under the Merger Agreement and stock purchase agreements.</w:t>
      </w:r>
    </w:p>
    <w:p>
      <w:pPr>
        <w:spacing w:after="0" w:line="1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the Merger Agreement and the terms of the stock purchase agreements entered into for the concurrent financing, we are registering 32,730,600 shares of our common stock under the Securities Act. 27,250,273 shares of common stock have already been issued to the selling stockholders. An additional 913,379 shares of common stock could be issued to Essentialis stockholders on the 1 year anniversary of the closing of the Merger and 4,566,948 shares of common stock could be issued to Essentialis stockholders upon the achievement of a development milestone.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40"/>
          </w:cols>
          <w:pgMar w:left="680" w:top="868" w:right="7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If any of the following risks actually occur, our business, operating results and financial condition could be harmed and the value of our stock could go down. This means you could lose all or a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have a limited commercialization history and have incurred significant losses since our inception, and we anticipate that we will continue to incur substantial losses for the foreseeable future. We have generated limited commercial sales to date, which, together with our limited operating history, makes it difficult to evaluate our business and assess our future viability.</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developer of therapeutics and diagnostics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medical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March 31, 2017, we had an accumulated deficit of $101.2 million.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launching, selling and supporting our products.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find suitable global and U.S. distribution partners to help us market, sell and distribute our approved products in other markets;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3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796" w:right="319" w:bottom="1440" w:gutter="0" w:footer="0" w:header="0"/>
        </w:sectPr>
      </w:pPr>
    </w:p>
    <w:bookmarkStart w:id="12" w:name="page13"/>
    <w:bookmarkEnd w:id="12"/>
    <w:p>
      <w:pPr>
        <w:ind w:right="620"/>
        <w:spacing w:after="0" w:line="277" w:lineRule="auto"/>
        <w:rPr>
          <w:sz w:val="20"/>
          <w:szCs w:val="20"/>
          <w:color w:val="auto"/>
        </w:rPr>
      </w:pPr>
      <w:r>
        <w:rPr>
          <w:rFonts w:ascii="Arial" w:cs="Arial" w:eastAsia="Arial" w:hAnsi="Arial"/>
          <w:sz w:val="18"/>
          <w:szCs w:val="18"/>
          <w:color w:val="auto"/>
        </w:rPr>
        <w:t>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7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Even if we are able to generate significant revenue from the sale of any of our products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66"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if applicable, globally, of any of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33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800" w:right="299" w:bottom="1440" w:gutter="0" w:footer="0" w:header="0"/>
        </w:sectPr>
      </w:pPr>
    </w:p>
    <w:bookmarkStart w:id="13" w:name="page14"/>
    <w:bookmarkEnd w:id="13"/>
    <w:p>
      <w:pPr>
        <w:ind w:right="220"/>
        <w:spacing w:after="0" w:line="259" w:lineRule="auto"/>
        <w:rPr>
          <w:sz w:val="20"/>
          <w:szCs w:val="20"/>
          <w:color w:val="auto"/>
        </w:rPr>
      </w:pPr>
      <w:r>
        <w:rPr>
          <w:rFonts w:ascii="Arial" w:cs="Arial" w:eastAsia="Arial" w:hAnsi="Arial"/>
          <w:sz w:val="18"/>
          <w:szCs w:val="18"/>
          <w:color w:val="auto"/>
        </w:rPr>
        <w:t>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commercialization of our products, as well as the completion of the development and the potential commercialization of planned products, will require substantial funds. As of March 31, 2017, we had approximately $10.5 million in cash and cash equivalents. Our future financing requirements will depend on many factors, some of which are beyond our control, including the following:</w:t>
      </w:r>
    </w:p>
    <w:p>
      <w:pPr>
        <w:spacing w:after="0" w:line="73" w:lineRule="exact"/>
        <w:rPr>
          <w:sz w:val="20"/>
          <w:szCs w:val="20"/>
          <w:color w:val="auto"/>
        </w:rPr>
      </w:pPr>
    </w:p>
    <w:p>
      <w:pPr>
        <w:ind w:left="1300" w:right="1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activities and added personnel associated with the commercialization of our products, including marketing, manufacturing, and distribution;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to manufacture our products on a larger scale;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the revenue that we are able to collect as a result;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set a commercially attractive price for our products, and our customers’ perception of the value relative to the prices we set;</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and costs involved in, seeking and obtaining approvals from the FDA and other regulatory authorities for our products;</w:t>
      </w:r>
    </w:p>
    <w:p>
      <w:pPr>
        <w:spacing w:after="0" w:line="128" w:lineRule="exact"/>
        <w:rPr>
          <w:rFonts w:ascii="Arial" w:cs="Arial" w:eastAsia="Arial" w:hAnsi="Arial"/>
          <w:sz w:val="17"/>
          <w:szCs w:val="17"/>
          <w:color w:val="auto"/>
        </w:rPr>
      </w:pPr>
    </w:p>
    <w:p>
      <w:pPr>
        <w:ind w:left="1300" w:right="4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partners on attractive economic terms, or engage in commercial sales of our products on our own or through distributors, or maintain existing distributors;</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and/or the loss of those rights;</w:t>
      </w:r>
    </w:p>
    <w:p>
      <w:pPr>
        <w:spacing w:after="0" w:line="62"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distribution, collaboration, licensing, commercialization or other arrangements and the terms and timing of such arrangements;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attracting, hiring and retaining qualified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developments during our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changes in healthcare reimbursement for any of our approved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commercial scale manufacturing capacity and capability with a commercially acceptable cost structure;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financial resources needed to respond to technological changes and increased competition;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enactment of new legislation or administrative regulations;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application to our business of new regulatory interpretations;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that might be brought in excess of our insurance coverage;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to comply with regulatory guidelines;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in industry demand.</w:t>
      </w:r>
    </w:p>
    <w:p>
      <w:pPr>
        <w:spacing w:after="0" w:line="333"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extent to which we utilize the 2017 Aspire Purchase Agreement (see Note 2) with Aspire Capital as a source of funding will depend on a number of factors, including the prevailing market price of our common stock, the volume of trading in our common stock and the extent to which we are able to secure funds from other sources. The number of shares that we may sell to Aspire Capital under the 2017 Aspire Purchase Agreement on any given day and during the term of the agreement is limited. Additionally, we and Aspire Capital may not effect any sales of shares of our common stock under the 2017 Aspire Purchase Agreement during the continuance of an event of default or on any trading day that the closing sale price of our common stock is less than $0.25 per share. Even if we are able to access the full $17.0 million under the 2017 Aspire Purchase Agreement, we will still need additional capital to fully implement our business, operating and development plans.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356"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81"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5" w:name="page16"/>
    <w:bookmarkEnd w:id="15"/>
    <w:p>
      <w:pPr>
        <w:spacing w:after="0" w:line="293" w:lineRule="auto"/>
        <w:rPr>
          <w:sz w:val="20"/>
          <w:szCs w:val="20"/>
          <w:color w:val="auto"/>
        </w:rPr>
      </w:pPr>
      <w:r>
        <w:rPr>
          <w:rFonts w:ascii="Arial" w:cs="Arial" w:eastAsia="Arial" w:hAnsi="Arial"/>
          <w:sz w:val="16"/>
          <w:szCs w:val="16"/>
          <w:color w:val="auto"/>
        </w:rPr>
        <w:t>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the Merger with Essentialis</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Completion of the Merger and concurrent financing transactions, which happened on March 7, 2017 (see Note 14), resulted in the issuance of a significant amount of additional our common stock, which could depress the trading price of our common stock.</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Merger and concurrent financing resulted in the issuance of a significant amount of our common stock. The common stock issued in the Merger and concurrent financing represents an increase in the outstanding our common stock as of the date of the completion of the Merger of up to approximately 172% of the common stock currently outstanding. The issuance of such a significant amount of our common stock could depress the trading price of our common stock and you may lose all or a part of your investment.</w:t>
      </w:r>
    </w:p>
    <w:p>
      <w:pPr>
        <w:spacing w:after="0" w:line="18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will maintain the ability to control or significantly influence all matters submitted to stockholders for approval and under certain circumstances may have control over key decision making.</w:t>
      </w:r>
    </w:p>
    <w:p>
      <w:pPr>
        <w:spacing w:after="0" w:line="14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executive officers, directors and principal stockholders own a majority of our outstanding common stock. Entities associated with Vivo Ventures, Forward Ventures, Technology Partners and our Chairman, Ernest Mario, as of March 7, 2017, own approximately 64.7%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key employees could diminish the benefits of the Merger and concurrent financing transactions.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Continued success will depend in part on the retention of key personnel at Essentialis, including senior management. There can be no assurances that we will be able to retain Essentialis’s key personnel. In addition, no assurance can be given that after the transactions, that we will be able to attract or retain key management personnel and other key employees to the same extent that we or Essentialis had been previously able to attract or retain their own employees.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now be primarily a clinical-stage company with no approved products, which makes assessment of our future viability difficult.</w:t>
      </w:r>
    </w:p>
    <w:p>
      <w:pPr>
        <w:spacing w:after="0" w:line="23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will now be primarily a clinical-stage company, with a relatively limited operating history upon and with no approved therapeutic products or revenues from the sale of therapeutic products. Essentialis’s operations prior to the Merger had been limited to organizing, staffing and financing, applying for patent rights, undertaking clinical trials of its primary product candidate, DCCR, and engaging in research and development. Prior to the Merger, Essentialis had not yet demonstrated an ability to obtain regulatory approval, manufacture commercial-scale products, or conduct the sales and marketing activities necessary for successful product commercialization. As a result, there is limited information about Essentialis for investors to use when assessing our future viability as a combined company and our potential to successfully develop product candidates, conduct clinical trials, manufacture our products on a commercial scale, obtain regulatory approval and profitably commercialize any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now be significantly dependent upon the success of DCCR, our sole therapeutic product candidate.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Prior to the Merger, Essentialis had invested, and following the Merger, we expect to continue to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6" w:name="page17"/>
    <w:bookmarkEnd w:id="16"/>
    <w:p>
      <w:pPr>
        <w:ind w:right="60" w:firstLine="324"/>
        <w:spacing w:after="0" w:line="259" w:lineRule="auto"/>
        <w:rPr>
          <w:sz w:val="20"/>
          <w:szCs w:val="20"/>
          <w:color w:val="auto"/>
        </w:rPr>
      </w:pPr>
      <w:r>
        <w:rPr>
          <w:rFonts w:ascii="Arial" w:cs="Arial" w:eastAsia="Arial" w:hAnsi="Arial"/>
          <w:sz w:val="18"/>
          <w:szCs w:val="18"/>
          <w:color w:val="auto"/>
        </w:rPr>
        <w:t>Any delay or impediment in our ability to obtain regulatory approval in any region to commercialize, or, if approved, obtain coverage and adequate reimbursement from third-parties, including government payors, for DCCR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for DCCR in the E.U. and U.S.;</w:t>
      </w:r>
    </w:p>
    <w:p>
      <w:pPr>
        <w:spacing w:after="0" w:line="117"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 party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33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require regulatory approval for each indication we are seeking before we can market and sell DCCR in a particular jurisdiction, for such indication. Our ability to obtain regulatory approval of DCCR depends on, among other things, successful completion of clinical trials, and demonstrating efficacy with statistical significance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manufacturing processes or facilities are insufficient to support approval. As such, we may need to conduct more clinical trials than we currently anticipate and upgrade our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92"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0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7" w:name="page18"/>
    <w:bookmarkEnd w:id="17"/>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34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24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78"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73"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8" w:name="page19"/>
    <w:bookmarkEnd w:id="18"/>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or return for post-treatment follow-up;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for use in clinical trials;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3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DCCR or other potential product candidates following the merger. The denial or delay of any such approval would delay commercialization and have a material adverse effect on our potential to generate revenue, our business and our results of operations.</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These regulations differ from country to country. To gain approval to market our product candidates, we must provide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9" w:name="page20"/>
    <w:bookmarkEnd w:id="19"/>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2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Even if DCCR receives marketing approval, it may fail to achieve the degree of market acceptance by physicians, patients, third party payors and others in the medical community necessary for commercial success.</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If DCCR receives marketing approval, it may nonetheless fail to gain sufficient market acceptance by physicians, patients, third party payors and others in the medical community. If DCCR does not achieve an adequate level of acceptance, we may not generate significant product revenues or any profits from operations. The degree of market acceptance of our product candidates, if approved for commercial sale, will depend on a number of factors, including:</w:t>
      </w:r>
    </w:p>
    <w:p>
      <w:pPr>
        <w:spacing w:after="0" w:line="3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offer our product candidates for sale at competitive prices;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sufficient third party coverage or reimbursement.</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ability to negotiate, secure and maintain third party coverage and reimbursement may be affected by political, economic and regulatory developments in the U.S., E.U., and other jurisdictions. Governments continue to impose cost containment measures, and third party payors are increasingly challenging prices charged for medicines and examining their cost effectiveness, in addition to their safety and efficacy. These and other similar developments could significantly limit the degree of market acceptance of DCCR or any of our other potential product candidates that receive marketing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 following the completion of the Merger.</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success depends heavily on the successful commercialization of our CoSense device to aid in diagnosis of neonatal hemolysis and of our Serenz device to relieve the nasal symptoms of allergic rhinitis. If we are unable to sell sufficient numbers of our products, our revenues may be insufficient to achieve profitability.</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With the exception of revenue generated from the sale of products acquired from NFI, we will derive substantially all of our revenues from sales of CoSense devices and consumables globally and our Serenz devices for the foreseeable future. If we cannot generate sufficient revenues from sales, we may be unable to finance our continuing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Our efforts to launch CoSense into the neonatology marketplace and Serenz are subject to a variety of risks, any of which may prevent or limit sales of CoSense and Serenz. Furthermore, commercialization of products into the medical marketplace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Although we believe that DCCR, Serenz, our neonatology, and other planned products represent promising commercial opportunities, our products may never gain significant acceptance in the marketplace and therefore may never generate substantial revenue or profits for us. We will need to establish a market for DCCR, Serenz and for our neonatology products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59" w:lineRule="exact"/>
        <w:rPr>
          <w:sz w:val="20"/>
          <w:szCs w:val="20"/>
          <w:color w:val="auto"/>
        </w:rPr>
      </w:pPr>
    </w:p>
    <w:p>
      <w:pPr>
        <w:ind w:left="1300" w:right="4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 patient care and treatment decisions; and</w:t>
      </w:r>
    </w:p>
    <w:p>
      <w:pPr>
        <w:spacing w:after="0" w:line="6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payors will cover and pay for such tests and, if so, whether they will adequately reimburse us.</w:t>
      </w:r>
    </w:p>
    <w:p>
      <w:pPr>
        <w:spacing w:after="0" w:line="27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physicians decide not to order our neonatology products in significant numbers, we may be unable to generate sufficient revenue to sustain our business.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generate demand for our neonatology and other planned products, we will need to educate physicians, neonatologists, pediatricians, and other health care professionals on the clinical utility, benefits and value of the tests we provide through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published papers, presentations at scientific conferences, educational programs and one-on-one education sessions by members of our sales force. In addition, we will need support of hospital administrators that the clinical and economic utility of CoSense justifies payment for the device and consumables at adequate pricing levels. We need to hire additional commercial, scientific, technical and other personnel to support this process.</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addition, although treatment guidelines recommend ETCO testing, physicians are free to practice in accordance with their own judgment, and may not adopt ETCO testing to the extent recommended by the guidelines, or at all. While the current AAP guidelines recommend ETCO measurement be performed to assess the presence of hemolysis in neonates requiring phototherapy, neonates unresponsive to phototherapy or readmitted for phototherapy, and neonates with bilirubin levels approaching exchange transfusion levels. AAP guidelines are updated approximately every ten years, and since the current guidelines were published in 2004, these guidelines may change in the near term.</w:t>
      </w:r>
    </w:p>
    <w:p>
      <w:pPr>
        <w:spacing w:after="0" w:line="17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If we cannot convince medical practitioners to order and pay for our current test and our planned tests, and if we cannot convince institutions to pay for our current test and our planned tests, we will likely be unable to create demand in sufficient volume for us to achieve sustained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success depends on the market’s confidence that our products can provide reliable, high-quality diagnostic results or treatments. With respect to our neonatology and other diagnostic products, we believe that our customers are likely to be particularly sensitive to test defects and errors, and prior products made by other companies for the same diagnostic purpose have failed in the marketplace, in part as a result of poor diagnostic accuracy. As a result, the failure of our neonatology and other planned products to perform as expected would significantly impair our reputation and the clinical usefulness of such tests. Reduced sales might result, and we may also be subject to legal claims arising from any defects or errors.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other diagnostic modalities, we may be unable to increase or sustain our revenues or achieve and sustain profitability.</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principal competition for CoSense comes from mainstream diagnostic methods, used by physicians for many years, which focus on invasive blood tests such as the Coombs test, blood counts and serum bilirubin. In addition, transcutaneous monitors of bilirubin also create a competitive threat. It may be difficult to change the methods or behavior of neonatologists and pediatricians to incorporate CoSense in their practices in conjunction with, or instead of, blood tests.</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several larger companies have extensive sales presence in the neonatology area and could potentially develop non-invasive diagnostic tests that compete with our neonatology or other planned products. These include General Electric Healthcare, Fischer &amp; Paykel, Philips, Draeger, Covidien, Masimo, Natus Medical, and CAS Medical. Some of our present and potential competitors have widespread brand recognition and substantially greater financial and technical resources and development, production and marketing capabilities than we do. Others may develop lower-priced tests that payors and physicians could view as functionally equivalent to our current or planned tests, which could force us to lower the list price of our tests. This would impact our operating margins and our ability to achieve and maintain profitability. If we cannot compete successfully against current or future competitors, we may be unable to increase or create market acceptance and sales of our current or planned tests, which could prevent us from increasing or sustaining our revenues or achieving or sustaining profitability.</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expenses to develop and market additional diagnostic tests, which could make it difficult for us to achieve and sustain profitability.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recent years, we have incurred significant costs in connection with the development of CoSense. For the three months ended March 31, 2017, our research and development expenses were $1 million. We expect our expenses to increase for the foreseeable future, as we conduct studies of CoSense and continue to develop our planned products, including tests for hydrogen nitric oxide and other analytes. We will also incur significant expenses to establish a sales and marketing infrastructure, and to drive adoption of and reimbursement for our products. As a result, we need to generate significant revenues in order to achieve sustained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of Serenz may not be successful</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the U.S., we have concluded that Serenz Nasal Relief is a Class I, 510(k) exempt device. The device meets FDA regulations as a class 1 medical device (i.e., not a pharmaceutical) and is 510(k) exempt in the United States (Product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KMA; Regulation Number, 21 CFR 874.5550, Powered Nasal Irrigator). We cannot be certain that the FDA will not challenge this position.</w:t>
      </w:r>
    </w:p>
    <w:p>
      <w:pPr>
        <w:spacing w:after="0" w:line="225"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In March 2017, we initiated the pilot launch of Serenz Nasal Relief in the U.S. We initially gave away 2,146 Serenz Nasal Relief samples to qualified leads identified by LSA. The purpose of this promotion was to build and raise awareness of Serenz Nasal Relief using content marketing, which a type of marketing that involves the creation and sharing of online material (such as videos, blogs, and social media posts).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commercial success of the product will depend on a number of factors, including the following:</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establishment of commercially viable pricing, and obtaining approval for adequate reimbursement from third-party and government payors;</w:t>
      </w:r>
    </w:p>
    <w:p>
      <w:pPr>
        <w:spacing w:after="0" w:line="140" w:lineRule="exact"/>
        <w:rPr>
          <w:rFonts w:ascii="Arial" w:cs="Arial" w:eastAsia="Arial" w:hAnsi="Arial"/>
          <w:sz w:val="16"/>
          <w:szCs w:val="16"/>
          <w:color w:val="auto"/>
        </w:rPr>
      </w:pPr>
    </w:p>
    <w:p>
      <w:pPr>
        <w:ind w:left="13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or that of third-party manufacturers that we may retain, to manufacture quantities of Serenz using commercially viable processes at a scale sufficient to meet anticipated demand and reduce our cost of manufacturing, and that are compliant with cGMP regulations;</w:t>
      </w:r>
    </w:p>
    <w:p>
      <w:pPr>
        <w:spacing w:after="0" w:line="15"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Serenz;</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Serenz as safe and effective by patients, caregivers and the medical community;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of Serenz following approval.</w:t>
      </w:r>
    </w:p>
    <w:p>
      <w:pPr>
        <w:spacing w:after="0" w:line="333"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Many of these factors are beyond our control. If we are unable to successfully commercialize Serenz, or unable to obtain a partner to commercialize it, we may not be able to earn any revenues related to Serenz. This would result in an adverse effect on our business, financial condition, results of operations and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 or more countries in the E.U. may reassess the Class 2a designation and determine that Serenz be regulated in a different manner.</w:t>
      </w:r>
    </w:p>
    <w:p>
      <w:pPr>
        <w:spacing w:after="0" w:line="23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Serenz has CE Mark certification in the E.U. based on it being treated as a Class 2a medical device in constituent E.U. countries. One or more countries in the E.U. may reassess the Class 2a designation and determine that Serenz be regulated differently and if this occurs, controlled clinical trials and other development work may be necessary to maintain regulatory clearances in any such jurisdictions. We may be required to demonstrate with substantial evidence, gathered in preclinical and well-controlled clinical studies, that Serenz is safe and effective for use. We may not be able to conduct such a trial or may not successfully enroll or complete any such trial. Serenz may not achieve the required primary endpoint in the clinical trial. As a result, the regulatory process in any such jurisdictions may take several years to complete, and requisite clearances may never be obtained.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mechanism of action of Serenz has not been fully determined or validated</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exact mechanism of action(s) of Serenz is unknown. Therapeutics are increasingly focused on target-driven development, and an understanding of a future product’s mechanism of action is typically believed to make development less risky. The FDA may view this as increasing the potential risks, and diminishing the potential benefits, of Serenz. In addition, potential partners may view this as a limitation of the program, and it may be more challenging for us to obtain a partnership on favorable terms as a result.</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testing and earlier clinical trials, and the results to date in various clinical trials, are not necessarily predictive of future results, Serenz may not have favorable results in later clinical trials or receive regulatory approval.</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adequate data to demonstrate the effectiveness and safety of an investigational product. A number of companies in the pharmaceutical and biotechnology industries, including those with greater resources and experience, have suffered significant setbacks in clinical trials, even after seeing promising results in earlier clinical trials. Despite the results to date in the various clinical studies performed with Serenz, we do not know whether the FDA will require clinical trials to demonstrate adequate effectiveness and safety to obtain new regulatory approvals to market Serenz. If these subsequent clinical trials do not produce favorable results, regulatory approval for Serenz may not be maintained.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3" w:name="page24"/>
    <w:bookmarkEnd w:id="23"/>
    <w:p>
      <w:pPr>
        <w:jc w:val="both"/>
        <w:ind w:right="60" w:firstLine="324"/>
        <w:spacing w:after="0" w:line="286" w:lineRule="auto"/>
        <w:rPr>
          <w:sz w:val="20"/>
          <w:szCs w:val="20"/>
          <w:color w:val="auto"/>
        </w:rPr>
      </w:pPr>
      <w:r>
        <w:rPr>
          <w:rFonts w:ascii="Arial" w:cs="Arial" w:eastAsia="Arial" w:hAnsi="Arial"/>
          <w:sz w:val="17"/>
          <w:szCs w:val="17"/>
          <w:color w:val="auto"/>
        </w:rPr>
        <w:t>There can be no assurance that Serenz will not exhibit new or increased safety risks in subsequent clinical trials. In addition, preclinical and clinical data are often susceptible to varying interpretations and analyses, and many other companies that have believed their planned products performed satisfactorily in preclinical studies and clinical trials have nonetheless failed to obtain regulatory approval for the marketing of their products.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300" w:right="4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300" w:right="8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3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800" w:right="299" w:bottom="1440" w:gutter="0" w:footer="0" w:header="0"/>
        </w:sectPr>
      </w:pPr>
    </w:p>
    <w:bookmarkStart w:id="24" w:name="page25"/>
    <w:bookmarkEnd w:id="24"/>
    <w:p>
      <w:pPr>
        <w:ind w:right="260"/>
        <w:spacing w:after="0" w:line="308" w:lineRule="auto"/>
        <w:rPr>
          <w:sz w:val="20"/>
          <w:szCs w:val="20"/>
          <w:color w:val="auto"/>
        </w:rPr>
      </w:pPr>
      <w:r>
        <w:rPr>
          <w:rFonts w:ascii="Arial" w:cs="Arial" w:eastAsia="Arial" w:hAnsi="Arial"/>
          <w:sz w:val="17"/>
          <w:szCs w:val="17"/>
          <w:b w:val="1"/>
          <w:bCs w:val="1"/>
          <w:i w:val="1"/>
          <w:iCs w:val="1"/>
          <w:color w:val="auto"/>
        </w:rPr>
        <w:t>The FDA or similar regulatory authorities outside the U.S. may not continue to allow us to market Serenz or may limit it with restrictions on the label, which could have a material adverse effect on our business, financial condition, results of operations and growth prospects.</w:t>
      </w:r>
    </w:p>
    <w:p>
      <w:pPr>
        <w:spacing w:after="0" w:line="14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Even after regulatory authorities have approved Serenz, the approval may include additional restrictions on the label that could make Serenz less attractive to physicians and patients compared to other products that may be approved for broader indications, which could limit potential sales of Serenz. In addition, we cannot be certain that the FDA will not challenge our position that Serenz should be regulated as a Class I, 510(k) exempt device.</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currently have limited sales and distribution personnel, and limited marketing capabilities. If we are unable to develop a sales and marketing and distribution capability on our own or through collaborations or other marketing partners, we will not be successful in commercializing our neonatology products, Serenz, or other planned products.</w:t>
      </w:r>
    </w:p>
    <w:p>
      <w:pPr>
        <w:spacing w:after="0" w:line="18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are currently building a sales and marketing infrastructure and have no experience in the sale, marketing or distribution of diagnostic or therapeutic products. To achieve commercial success for any approved product, we must either develop a sales and marketing infrastructure or outsource these functions to third parties.</w:t>
      </w:r>
    </w:p>
    <w:p>
      <w:pPr>
        <w:spacing w:after="0" w:line="181"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00" w:right="279" w:bottom="1440" w:gutter="0" w:footer="0" w:header="0"/>
        </w:sectPr>
      </w:pPr>
    </w:p>
    <w:bookmarkStart w:id="25" w:name="page26"/>
    <w:bookmarkEnd w:id="25"/>
    <w:p>
      <w:pPr>
        <w:ind w:right="240" w:firstLine="324"/>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this or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26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There are several large pharmaceutical and biotechnology companies that currently market and sell AR therapies to our target patient group. These companies may reduce prices for their competing drugs in an effort to gain or retain market share, and undermine the value proposition that Serenz or our neonatology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800" w:right="279" w:bottom="1440" w:gutter="0" w:footer="0" w:header="0"/>
        </w:sectPr>
      </w:pPr>
    </w:p>
    <w:bookmarkStart w:id="26" w:name="page27"/>
    <w:bookmarkEnd w:id="26"/>
    <w:p>
      <w:pPr>
        <w:ind w:right="480"/>
        <w:spacing w:after="0" w:line="286" w:lineRule="auto"/>
        <w:rPr>
          <w:sz w:val="20"/>
          <w:szCs w:val="20"/>
          <w:color w:val="auto"/>
        </w:rPr>
      </w:pPr>
      <w:r>
        <w:rPr>
          <w:rFonts w:ascii="Arial" w:cs="Arial" w:eastAsia="Arial" w:hAnsi="Arial"/>
          <w:sz w:val="17"/>
          <w:szCs w:val="17"/>
          <w:color w:val="auto"/>
        </w:rPr>
        <w:t>products might otherwise be able to offer to payors.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U.S., while we expect payments for CoSense to be part of a diagnosis-related group, or DRG (also known as a bundled payment), we may have to obtain reimbursement for it from payors directly. There may be significant delays in obtaining reimbursement for CoSense,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U.S. Third-party payors often rely upon Medicare coverage policy and payment limitations in setting their own reimbursement policies.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payors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CoSense, if any, is unavailable or limited in scope or amount or if pricing is set at unsatisfactory levels.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7" w:name="page28"/>
    <w:bookmarkEnd w:id="27"/>
    <w:p>
      <w:pPr>
        <w:ind w:right="100" w:firstLine="324"/>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33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David D. O’Toole, our Senior Vice President, Chief Financial Officer, Neil Cowen, our Senior Vice President of Drug Development, Anthony Wondka, our Senior Vice President of Research and Development, Otho Boone, our Vice President and General Manager of Neonatology, and Kristen Yen, our Vice President of Clinical &amp; Regulatory.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Chief Executive Officer, Chief Financial Officer, Vice President &amp; General Manager of Neonatology, Vice President of Clinical &amp; Regulatory, Senior Vice President of Drug Development and Senior Vice President of Research and Development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and medical device businesses, we may not succeed in attracting or retaining the personnel we require to continue and grow our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8" w:name="page29"/>
    <w:bookmarkEnd w:id="28"/>
    <w:p>
      <w:pPr>
        <w:ind w:right="60"/>
        <w:spacing w:after="0" w:line="302" w:lineRule="auto"/>
        <w:rPr>
          <w:sz w:val="20"/>
          <w:szCs w:val="20"/>
          <w:color w:val="auto"/>
        </w:rPr>
      </w:pPr>
      <w:r>
        <w:rPr>
          <w:rFonts w:ascii="Arial" w:cs="Arial" w:eastAsia="Arial" w:hAnsi="Arial"/>
          <w:sz w:val="16"/>
          <w:szCs w:val="16"/>
          <w:b w:val="1"/>
          <w:bCs w:val="1"/>
          <w:i w:val="1"/>
          <w:iCs w:val="1"/>
          <w:color w:val="auto"/>
        </w:rPr>
        <w:t>We may encounter manufacturing problems or delays that could result in lost revenue. Additionally, we currently rely on third-party suppliers for critical materials needed to manufacture our Serenz devices, CoSense monitors and consumables, other neonatology products, as well as our planned products. Any problems experienced by these suppliers could result in a delay or interruption of their supply to us, and as a result, we may face delays in the commercialization of our neonatology products or the development and commercialization of planned products.</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perform final assembly of CoSense monitors and consumables at our facility in Redwood City, CA. We believe that we currently have adequate manufacturing capacity. If demand for our current products and our planned products increases significantly, we will need to either expand our manufacturing capabilities or outsource to other manufacturers. We currently have limited experience in commercial-scale manufacturing of our planned products, and we currently rely upon third-party contract manufacturing organizations to manufacture and supply components for our products.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instruments or consumables while finding another acceptable supplier, which could impact our results of operations. The changes could also result in increased costs associated with qualifying the new materials or reagents and in increased operating costs. Further, any prolonged disruption in a supplier’s operations could have a significant negative impact on our ability to manufacture and deliver products in a timely manner. Some of the components used in our products are currently sole-sourced, and substitutes for these components might not be able to be obtained easily or may require substantial design or manufacturing modifications. Any significant problem experienced by one of our sole source suppliers may result in a delay or interruption in the supply of components to us because the number of third-party manufacturers with the necessary manufacturing and regulatory expertise and facilities is limited. Any delay or interruption would likely lead to a delay or interruption in our manufacturing operations. The inclusion of substitute components must meet our product specifications and could require us to qualify the new supplier with the appropriate government regulatory authorities. It could be expensive and take a significant amount of time to arrange for alternative suppliers, which could have a material adverse effect on our business. New manufacturers of any planned product would be required to qualify under applicable regulatory requirements and would need to have sufficient rights under applicable intellectual property laws to the method of manufacturing the product. Obtaining the necessary FDA approvals or other qualifications under applicable regulatory requirements and ensuring non-infringement of third-party intellectual property rights could result in a significant interruption of supply and could require the new manufacturer to bear significant additional costs that may be passed on to us.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currently contract manufacture Serenz in China with a sole-source third party out-sourced manufacturing supplier. We do not have any backup manufacturing capability. If our sole-source supplier is harmed or rendered inoperable by natural or man-made disasters, including fire, earthquake, flooding and power outages, our supply of Serenz will be interrupted. Also there can be no guarantee that we can maintain a commercial relationship with this supplier on acceptable economic terms.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including the Merger with Essentialis pursuant to the Merger Agreement. We completed the Merger with Essentialis on March 7, 2017, and concurrently with the closing of the Merger, completed financing transaction with total aggregate proceeds of approximately $10 million from current stockholders and new investors (see Note 14 to the Financial Statements for the year ended December 31, 2016).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9" w:name="page30"/>
    <w:bookmarkEnd w:id="29"/>
    <w:p>
      <w:pPr>
        <w:ind w:right="80" w:firstLine="324"/>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distribution partners for CoSense in China, India, Canada, Turkey, Denmark, Qatar and Saudi Arabia. Our business strategy contemplates international expansion, including partnering with medical device distributors, and introducing our neonatology products and other planned products outside the U.S. Doing business internationally involves a number of risks, including:</w:t>
      </w:r>
    </w:p>
    <w:p>
      <w:pPr>
        <w:spacing w:after="0" w:line="73" w:lineRule="exact"/>
        <w:rPr>
          <w:sz w:val="20"/>
          <w:szCs w:val="20"/>
          <w:color w:val="auto"/>
        </w:rPr>
      </w:pPr>
    </w:p>
    <w:p>
      <w:pPr>
        <w:ind w:left="1300" w:right="4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self-pay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6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accuracy of CoSense depends, in part, on the function of software run by the microprocessors embedded in the device. This software is proprietary to us. While we have made efforts to test the software extensively, it is potentially subject to malfunction. It may be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CoSense monitor also stores test results, a feature which assists medical professionals in interfacing the device with electronic medical records systems. There are a number of state, federal and international laws protecting the privacy and security of health information and personal data. As part of the American Recovery and Reinvestment Act 2009, or ARRA, Congress amended the privacy and security provisions of the Health Insurance Portability and Accountability Act of 1996, or HIPAA. HIPAA imposes limitations on the use and disclosure of an individual’s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30" w:name="page31"/>
    <w:bookmarkEnd w:id="30"/>
    <w:p>
      <w:pPr>
        <w:spacing w:after="0" w:line="270" w:lineRule="auto"/>
        <w:rPr>
          <w:sz w:val="20"/>
          <w:szCs w:val="20"/>
          <w:color w:val="auto"/>
        </w:rPr>
      </w:pPr>
      <w:r>
        <w:rPr>
          <w:rFonts w:ascii="Arial" w:cs="Arial" w:eastAsia="Arial" w:hAnsi="Arial"/>
          <w:sz w:val="17"/>
          <w:szCs w:val="17"/>
          <w:color w:val="auto"/>
        </w:rPr>
        <w:t>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may enter into additional distribution or commercialization agreements with third parties with respect to our products. Our likely collaborators for any distribution, marketing, licensing or other collaboration arrangements include large and mid-size medical device and diagnostic companies, regional and national medical device and diagnostic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300" w:right="100" w:hanging="644"/>
        <w:spacing w:after="0" w:line="286"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57" w:lineRule="exact"/>
        <w:rPr>
          <w:rFonts w:ascii="Arial" w:cs="Arial" w:eastAsia="Arial" w:hAnsi="Arial"/>
          <w:sz w:val="17"/>
          <w:szCs w:val="17"/>
          <w:color w:val="auto"/>
        </w:rPr>
      </w:pPr>
    </w:p>
    <w:p>
      <w:pPr>
        <w:ind w:left="1300" w:right="120" w:hanging="644"/>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iterations of a product for clinical testing;</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300" w:right="56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300" w:right="80" w:hanging="644"/>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38" w:lineRule="exact"/>
        <w:rPr>
          <w:rFonts w:ascii="Arial" w:cs="Arial" w:eastAsia="Arial" w:hAnsi="Arial"/>
          <w:sz w:val="17"/>
          <w:szCs w:val="17"/>
          <w:color w:val="auto"/>
        </w:rPr>
      </w:pPr>
    </w:p>
    <w:p>
      <w:pPr>
        <w:ind w:left="1300" w:right="8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31" w:name="page32"/>
    <w:bookmarkEnd w:id="31"/>
    <w:p>
      <w:pPr>
        <w:ind w:right="2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of March 31, 2017, we had 26 employees and 3 full-time or part-time consultants. Over the next several years, we expect to experience significant growth in the number of our employees and the scope of our operations, particularly in the areas of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5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3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device approvals in foreign countries;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rely on third parties, such as contract research organizations, or CROs, clinical data management organizations, medical institutions and clinical investigators,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to comply with regulations and with standards, commonly referred to as good clinical practices, for conducting, recording and reporting the results of clinical studies to assure that data and reported results are credible and accurate and that the rights, integrity and confidentiality of patients in clinical studies are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800" w:right="299" w:bottom="1440" w:gutter="0" w:footer="0" w:header="0"/>
        </w:sectPr>
      </w:pPr>
    </w:p>
    <w:bookmarkStart w:id="32" w:name="page33"/>
    <w:bookmarkEnd w:id="32"/>
    <w:p>
      <w:pPr>
        <w:ind w:right="60"/>
        <w:spacing w:after="0" w:line="259" w:lineRule="auto"/>
        <w:rPr>
          <w:sz w:val="20"/>
          <w:szCs w:val="20"/>
          <w:color w:val="auto"/>
        </w:rPr>
      </w:pPr>
      <w:r>
        <w:rPr>
          <w:rFonts w:ascii="Arial" w:cs="Arial" w:eastAsia="Arial" w:hAnsi="Arial"/>
          <w:sz w:val="18"/>
          <w:szCs w:val="18"/>
          <w:color w:val="auto"/>
        </w:rPr>
        <w:t>protected.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where our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Patent litigation is prevalent in the medical device and diagnostic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3" w:name="page34"/>
    <w:bookmarkEnd w:id="33"/>
    <w:p>
      <w:pPr>
        <w:jc w:val="both"/>
        <w:ind w:right="240" w:firstLine="324"/>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patent position of medical device and diagnostic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4" w:name="page35"/>
    <w:bookmarkEnd w:id="34"/>
    <w:p>
      <w:pPr>
        <w:ind w:right="40"/>
        <w:spacing w:after="0" w:line="257" w:lineRule="auto"/>
        <w:rPr>
          <w:sz w:val="20"/>
          <w:szCs w:val="20"/>
          <w:color w:val="auto"/>
        </w:rPr>
      </w:pPr>
      <w:r>
        <w:rPr>
          <w:rFonts w:ascii="Arial" w:cs="Arial" w:eastAsia="Arial" w:hAnsi="Arial"/>
          <w:sz w:val="18"/>
          <w:szCs w:val="18"/>
          <w:color w:val="auto"/>
        </w:rPr>
        <w:t>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5620" w:right="100" w:hanging="4964"/>
        <w:spacing w:after="0" w:line="684" w:lineRule="auto"/>
        <w:tabs>
          <w:tab w:leader="none" w:pos="13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current and planned products, but that are not covered by claims in our patents; 31</w:t>
      </w:r>
    </w:p>
    <w:p>
      <w:pPr>
        <w:sectPr>
          <w:pgSz w:w="11900" w:h="16838" w:orient="portrait"/>
          <w:cols w:equalWidth="0" w:num="1">
            <w:col w:w="11420"/>
          </w:cols>
          <w:pgMar w:left="240" w:top="800" w:right="239" w:bottom="1440" w:gutter="0" w:footer="0" w:header="0"/>
        </w:sectPr>
      </w:pPr>
    </w:p>
    <w:bookmarkStart w:id="35" w:name="page36"/>
    <w:bookmarkEnd w:id="35"/>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300" w:right="560" w:hanging="644"/>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19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6" w:name="page37"/>
    <w:bookmarkEnd w:id="36"/>
    <w:p>
      <w:pPr>
        <w:ind w:right="160" w:firstLine="324"/>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26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medical devices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PMA or 510(k) clearance for a medical device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33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3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7" w:name="page38"/>
    <w:bookmarkEnd w:id="37"/>
    <w:p>
      <w:pPr>
        <w:spacing w:after="0" w:line="342" w:lineRule="auto"/>
        <w:rPr>
          <w:sz w:val="20"/>
          <w:szCs w:val="20"/>
          <w:color w:val="auto"/>
        </w:rPr>
      </w:pPr>
      <w:r>
        <w:rPr>
          <w:rFonts w:ascii="Arial" w:cs="Arial" w:eastAsia="Arial" w:hAnsi="Arial"/>
          <w:sz w:val="16"/>
          <w:szCs w:val="16"/>
          <w:b w:val="1"/>
          <w:bCs w:val="1"/>
          <w:i w:val="1"/>
          <w:iCs w:val="1"/>
          <w:color w:val="auto"/>
        </w:rPr>
        <w:t>Even if we receive regulatory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Once regulatory approval has been obtained, the approved product and its manufacturer are subject to continual review by the FDA or non-U.S. regulatory authorities. Our regulatory approval for CoSense, as well as any additional regulatory approval that we receive for any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 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intend to seek a distribution and marketing partner for our neonatology products outside the U.S. and may market planned products in international markets. We have obtained a CE Mark certification for CoSense and Serenz and it is therefore authorized for sale in the E.U.; however, in order to market our planned products in Asia, Latin America and other foreign jurisdictions, we must obtain separate regulatory approvals.</w:t>
      </w:r>
    </w:p>
    <w:p>
      <w:pPr>
        <w:spacing w:after="0" w:line="1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8" w:name="page39"/>
    <w:bookmarkEnd w:id="38"/>
    <w:p>
      <w:pPr>
        <w:ind w:right="80" w:firstLine="324"/>
        <w:spacing w:after="0" w:line="255" w:lineRule="auto"/>
        <w:rPr>
          <w:sz w:val="20"/>
          <w:szCs w:val="20"/>
          <w:color w:val="auto"/>
        </w:rPr>
      </w:pPr>
      <w:r>
        <w:rPr>
          <w:rFonts w:ascii="Arial" w:cs="Arial" w:eastAsia="Arial" w:hAnsi="Arial"/>
          <w:sz w:val="18"/>
          <w:szCs w:val="18"/>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CoSense devices and may be applicable to CoSense consumables and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spacing w:after="0" w:line="3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3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63" w:lineRule="exact"/>
        <w:rPr>
          <w:sz w:val="20"/>
          <w:szCs w:val="20"/>
          <w:color w:val="auto"/>
        </w:rPr>
      </w:pPr>
    </w:p>
    <w:p>
      <w:pPr>
        <w:ind w:left="1300" w:right="46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00" w:right="279" w:bottom="1440" w:gutter="0" w:footer="0" w:header="0"/>
        </w:sectPr>
      </w:pPr>
    </w:p>
    <w:bookmarkStart w:id="39" w:name="page40"/>
    <w:bookmarkEnd w:id="39"/>
    <w:p>
      <w:pPr>
        <w:ind w:left="1300"/>
        <w:spacing w:after="0" w:line="324" w:lineRule="auto"/>
        <w:rPr>
          <w:sz w:val="20"/>
          <w:szCs w:val="20"/>
          <w:color w:val="auto"/>
        </w:rPr>
      </w:pPr>
      <w:r>
        <w:rPr>
          <w:rFonts w:ascii="Arial" w:cs="Arial" w:eastAsia="Arial" w:hAnsi="Arial"/>
          <w:sz w:val="18"/>
          <w:szCs w:val="18"/>
          <w:color w:val="auto"/>
        </w:rPr>
        <w:t>exchange for or to induce either the referral of an individual for, or the purchase, order or recommendation of, any good or service for which payment may be made under federal healthcare programs, such as the Medicare and Medicaid programs;</w:t>
      </w:r>
    </w:p>
    <w:p>
      <w:pPr>
        <w:spacing w:after="0" w:line="35" w:lineRule="exact"/>
        <w:rPr>
          <w:sz w:val="20"/>
          <w:szCs w:val="20"/>
          <w:color w:val="auto"/>
        </w:rPr>
      </w:pPr>
    </w:p>
    <w:p>
      <w:pPr>
        <w:ind w:left="1300" w:right="1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jc w:val="both"/>
        <w:ind w:left="1300" w:right="48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300" w:right="300" w:hanging="644"/>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300" w:right="2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27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2016 through December 31, 2016, the reported high and low prices of our common stock ranged from $0.73 to $1.85.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40" w:name="page41"/>
    <w:bookmarkEnd w:id="40"/>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28"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issued 13,780 shares of Series B Convertible Preferred Stock, which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sale and issuance of Series B Convertible Preferred Stock to Sabby pursuant to the 2016 Sabby Purchase Agreement, we also amended the Series D Common Stock Purchase Warrants that were issued to Sabby under the 2015 Sabby Purchase Agreement. The per share exercise price of the common stock underlying the Series D Common Stock Purchase Warrants was reduced from $2.46 per share to $1.75 per share, which, if exercised, may result in sales of substantial amounts of the underlying common stock in the public market, or the perception that these sales may occur, and which could materially and adversely affect the price of our common stock and could impair our ability to raise capital through the sale of additional equity securities.</w:t>
      </w:r>
    </w:p>
    <w:p>
      <w:pPr>
        <w:spacing w:after="0" w:line="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Purchase Agreement. Aspire Capital may 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which was enacted in April 2012. For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 as we continue to be an emerging growth company, we may take advantage of exemptions from various reporting requirements that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that are not emerging growth companies, including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of 2002, or the Sarbanes-Oxley Act, reduced disclosure obligations regarding executive compensation in our periodic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and proxy statements and exemptions from the requirements of holding a nonbinding advisory vote on executive compensation and stockholder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any golden parachute payments not previously approved. We could be an emerging growth company for up to five years, although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cause us to lose that status earlier. We will remain an emerging growth company until the earlier of (1) the last day of the fiscal year following the fifth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completion of our initial public offering, or IPO, (2) the last day of the fiscal year in which we have total annual gross revenue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(3) the date on which we are deemed to be a large accelerated filer, which means the market value of our common stock that is held by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exceeds $700.0 million as of the prior June 30th, and (4) the date on which we have issued more than $1.0 billion in non-convertible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prior three-year period. We cannot predict if investors will find our common stock less attractive because we may rely on these exemptions.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some investors find our common stock less attractive as a result, there may be a less active trading market for our common stock and our stock price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suffer or be more volatile.</w:t>
      </w:r>
    </w:p>
    <w:p>
      <w:pPr>
        <w:spacing w:after="0" w:line="2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executive officers, directors and stockholders own a majority of our outstanding common stock. Entities associated with Vivo Ventures, Forward Ventures, Technology Partners and our Chairman, Ernest Mario, as of March 31, 2017, own approximately 64.7%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2" w:name="page43"/>
    <w:bookmarkEnd w:id="42"/>
    <w:p>
      <w:pPr>
        <w:ind w:right="20" w:firstLine="324"/>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which will limit our ability to utilize our existing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eligible for sale and as a result, any such sales could depress the market price of our common stock.</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of March 31, 2017, we had Series A Warrants outstanding exercisable for an aggregate of 2,425,605 shares of common stock, Series C Warrants outstanding exercisable for an aggregate of 590,415 shares of common stock, Series D Warrants outstanding exercisable for an aggregate of 2,930,812 shares of common stock and other warrants exercisable for an aggregate of 571,906 shares of common stock. As of December 31, 2016, we had 12,780 shares of Series B Convertible Preferred Stock outstanding exercisable for an aggregate of 12,780,000 shares of common stock. As of December 31, 2016, 2,908,430 options to purchase shares of our common stock were issued and outstanding with a weighted average exercise price of $3.42 per share. The sale or even the possibility of sale of the shares of common stock, or the exercise of options or warrants to purchase shares of our common stock and subsequent sale thereof could substantially reduce the market price for our common stock or our ability to obtain future financing.</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sale and issuance of Series B Convertible Preferred Stock to Sabby pursuant to the 2016 Sabby Purchase Agreement, we also amended the 2,702,704 Series D Common Stock Purchase Warrants issued to Sabby under the 2015 Sabby Purchase Agreement. The per share exercise price of the common stock underlying the Series D common stock Warrants was reduced from $2.46 per share to $1.75 per share. The sale or even the possibility of sale of the common stock or the underlying shares of common stock issuable upon the conversion of the Series A Convertible Preferred Stock or the Series B Convertible Preferred Stock, or upon exercise of the amended Series D Common Stock Purchase Warrants could substantially reduce the market price for our common stock or our ability to obtain future financing.</w:t>
      </w:r>
    </w:p>
    <w:p>
      <w:pPr>
        <w:spacing w:after="0" w:line="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8"/>
          <w:szCs w:val="18"/>
          <w:color w:val="auto"/>
        </w:rPr>
        <w:t>Purchase Agreement. Aspire Capital may 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Warrants and Series C Warrants in cash.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at any time while the Series A Warrants and Series C Warrants are outstanding, we enter into a “Fundamental Transaction” (as defined in the Series A Warrant and Series C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Series A Warrants and Series C Warrants as at any time prior to the consummation of the Fundamental Transaction, may elect and require us to purchase the Series A and Series C Warrants held by such person immediately prior to the consummation of such Fundamental Transaction by making a cash payment in an amount equal to the Black Scholes Value of the remaining unexercised portion of such registered holder’s Series A Warrants and Series C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On October 24, 2016,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The letter also indicated that we will be provided with a compliance period of 180 calendar days, or until April 24, 2017, in which to regain compliance pursuant to NASDAQ Listing Rule 5810(c)(3)(A). In addition,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16, 2017, we formally requested that the Nasdaq Listing Qualifications Department allow an additional 180 day compliance period in order for us to cure the bid requirement deficiency by performing a reverse stock split of all of the outstanding shares of our common stock at a ratio between one-for-two (1:2) and one-for-ten (1:10), or the Reverse Split, to be determined by our Board. We informed the Nasdaq Listing Qualifications Department that our annual stockholder meeting, 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4" w:name="page45"/>
    <w:bookmarkEnd w:id="44"/>
    <w:p>
      <w:pPr>
        <w:ind w:right="160"/>
        <w:spacing w:after="0" w:line="277" w:lineRule="auto"/>
        <w:rPr>
          <w:sz w:val="20"/>
          <w:szCs w:val="20"/>
          <w:color w:val="auto"/>
        </w:rPr>
      </w:pPr>
      <w:r>
        <w:rPr>
          <w:rFonts w:ascii="Arial" w:cs="Arial" w:eastAsia="Arial" w:hAnsi="Arial"/>
          <w:sz w:val="18"/>
          <w:szCs w:val="18"/>
          <w:color w:val="auto"/>
        </w:rPr>
        <w:t>Annual Meeting, was scheduled for May 8, 2017, at which time we would seek approval from our stockholders to implement, at our Board’s discretion, any time in the next 6 months, the Reverse Split. On May 8, 2017, the stockholders approved the Reverse Split.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24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$6.50 per share prior to the expiration of the five-year term on November 12, 2019, after which date any unexercised Series A Warrants will expire and have no further value. Holders of Series C Warrants may exercise their right to acquire common stock and pay an exercise price of $6.25 per share prior to the expiration of the five-year term on March 4, 2020. Following amendment of the Series D Common Stock Purchase Warrants, the holders may exercise their right to acquire common stock and pay an amended exercise price of $1.75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00" w:firstLine="324"/>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300" w:right="9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30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5" w:name="page46"/>
    <w:bookmarkEnd w:id="45"/>
    <w:p>
      <w:pPr>
        <w:ind w:left="1300" w:right="180"/>
        <w:spacing w:after="0" w:line="324" w:lineRule="auto"/>
        <w:rPr>
          <w:sz w:val="20"/>
          <w:szCs w:val="20"/>
          <w:color w:val="auto"/>
        </w:rPr>
      </w:pPr>
      <w:r>
        <w:rPr>
          <w:rFonts w:ascii="Arial" w:cs="Arial" w:eastAsia="Arial" w:hAnsi="Arial"/>
          <w:sz w:val="18"/>
          <w:szCs w:val="18"/>
          <w:color w:val="auto"/>
        </w:rPr>
        <w:t>stockholders’ meeting, which may discourage or deter a potential acquiror from conducting a solicitation of proxies to elect the acquiror’s own slate of directors or otherwise attempting to obtain control of our company; and</w:t>
      </w:r>
    </w:p>
    <w:p>
      <w:pPr>
        <w:spacing w:after="0" w:line="35" w:lineRule="exact"/>
        <w:rPr>
          <w:sz w:val="20"/>
          <w:szCs w:val="20"/>
          <w:color w:val="auto"/>
        </w:rPr>
      </w:pPr>
    </w:p>
    <w:p>
      <w:pPr>
        <w:ind w:left="1300" w:right="16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2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Certain of our executive officers are parties to employment agreements that contain change in control and severance provisions providing for aggregate cash payments of up to approximately $2.3 million for severance and other benefits and acceleration of vesting of stock options with a value of approximately $0.8 million,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Aspire Capital and Sabby may cause substantial dilution to our existing stockholders and the sale of common stock by Aspire Capital and Sabby could cause the price of our common stock to decline.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registered for sale 9,291,667 shares of common stock that we may sell to Aspire Capital under the 2017 Aspire Purchase Agreement plus 708,333 shares of common stock that were commitment shares that we issued to Aspire Capital. Depending upon market liquidity at the time, sales of shares of our common stock under the 2017 Aspire Purchase Agreement, which we have previously registered for resale, may cause the trading price of our common stock to decline. Aspire Capital may sell all, some or none of our shares that it holds or comes to hold under the 2017 Aspire Purchase Agreement, including the 708,333 commitment shares issued to it under the 2017 Aspire Purchase Agreement. Sales by Aspire Capital or any of the purchasers of our common stock in the concurrent financing may result in dilution to the interests of other holders of our common stock. The sale of a substantial number of shares of our common stock by Aspire Capital, or anticipation of such sales, could make it more difficult for us to sell equity or equity-related securities in the future at a time and at a price that we might otherwise wish to effect sales. However, we have the right to control the timing and amount of sales of our shares to Aspire Capital, and the 2017 Aspire Purchase Agreement may be terminated by us at any time at our discretion without any penalty or cost to us.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 a time and at a price that we might otherwise wish to effect sales. The 2016 Sabby Purchase Agreement also provides Sabby a right to participate in any future sale of our equity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6" w:name="page47"/>
    <w:bookmarkEnd w:id="46"/>
    <w:p>
      <w:pPr>
        <w:ind w:right="140" w:firstLine="324"/>
        <w:spacing w:after="0" w:line="277"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are being registered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a proposed Reverse Stock Split</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Annual Meeting held on May 8, 2017, we obtained stockholder approval for the Reverse Split, which ratio and effectiveness shall be determined at the sole discretion of our Board at any time within six months following the Annual Meeting. If the Reverse Split is effectuated, then it is possible that significant devaluation of our market capitalization and trading price of the common stock could result. Our Board expects that the Reverse Split of the outstanding common stock will increase the market price of the common stock. However, we cannot be certain whether the Reverse Split would lead to a sustained increase in the trading price or the trading market for our common stock. The history of similar stock split combinations for companies in like circumstances is varied. There is no assurance that:</w:t>
      </w:r>
    </w:p>
    <w:p>
      <w:pPr>
        <w:spacing w:after="0" w:line="193" w:lineRule="exact"/>
        <w:rPr>
          <w:sz w:val="20"/>
          <w:szCs w:val="20"/>
          <w:color w:val="auto"/>
        </w:rPr>
      </w:pPr>
    </w:p>
    <w:p>
      <w:pPr>
        <w:ind w:left="1300" w:right="36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per share of the common stock after the Reverse Split will rise in proportion to the reduction in the number of pre-split shares of common stock outstanding before the Reverse Split;</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Reverse Split will result in a per share price that will attract brokers and investors, including institutional investors, who do not trade in lower priced stocks;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Reverse Split will result in a per share price that will increase our ability to attract and retain employees and other service providers;</w:t>
      </w:r>
    </w:p>
    <w:p>
      <w:pPr>
        <w:spacing w:after="0" w:line="140"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per share post Revise Split will remain in excess of the $1.00 minimum closing bid price as required by the Nasdaq Marketplace Rules or that we would otherwise meet the requirements of Nasdaq for continued inclusion for trading on The Nasdaq Global Select Market or The Nasdaq Capital Market; and</w:t>
      </w:r>
    </w:p>
    <w:p>
      <w:pPr>
        <w:spacing w:after="0" w:line="73"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Reverse Split will increase the trading market for our common stock, particularly if the stock price does not increase as a result of the reduction in the number of shares of common stock available in the public market.</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market price of the common stock will also be based on our performance and other factors, some of which are unrelated to the number of shares outstanding. If the Reverse Split is consummated and the trading price of our common stock declines, the percentage decline as an absolute number and as a percentage of our overall market capitalization may be greater than would occur in the absence of the Reverse Split. Furthermore, the liquidity of the common stock could be adversely affected by the reduced number of shares that would be outstanding after the Reverse Split and this could have an adverse effect on the market price of the common stock. If the market price of the common stock declines subsequent to the effectiveness of the Reverse Split, this will detrimentally impact our market capitalization and the market value of our public float. The Reverse Split may result in some stockholders owning “odd lots” that may be more difficult to sell or require greater transaction costs per share to sell. The Reverse Split may result in some stockholders owning “odd lots” of less than 100 shares of common stock on a post-split basis. These odd lots may be more difficult to sell, or require greater transaction costs per share to sell, than shares in “round lots” of even multiples of 100 shares. Depending on the Reverse Split ratio, certain stockholders may no longer have any equity interest in us. Based on the Reverse Split of all of the outstanding shares of our common stock at a ratio between one-for-two (1:2) and one-for-ten (1:10), certain stockholders might be fully cashed out in the Reverse Split and thus, after the Reverse Split takes effect, such stockholders would no longer have any equity interest in us and therefore would not participate in our future earnings or growth, if any. The Reverse Split may not help generate additional investor interest. 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regarding management’s expectations, beliefs, strategies, goals, outlook and other non-historical matters. In some cases you can identify these statements by forward-looking words, such as “believe,” “may,” “will,” “estimate,” “continue,” “anticipate,” “intend,” “could,”“would,” “project,” “plan,” “potential,” “seek,” “expect,” “goal,” or the negative or plural of these words or similar expressions.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17"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the success of additional approvals of any of our products pursuant to our clinical and regulatory efforts;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build a distribution network and commercial infrastructure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results of the trials will be sufficient to support domestic or global regulatory approvals for any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and/or maintain regulatory approval of our products;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 that our existing capital resources will be sufficient to enable us to successfully meet the capital requirements for all of our current and future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benefits of the use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projected dollar amounts of future sales of established and novel diagnostics for neonatal hemolysis;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commercialize any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17"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manufacture our products in conformity with the applicable regulatory requirements and to scale up manufacturing of our products to commercial scale;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compete with companies that may enter the market with products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third-party contract manufacturers to manufacture and supply our products for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our collaboration partners’ performance over which we do not have control;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development of a sales and marketing function;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w:t>
      </w:r>
    </w:p>
    <w:p>
      <w:pPr>
        <w:spacing w:after="0" w:line="117"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needs for or ability to obtain additional financing;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identify, develop, acquire and in-license additional products;</w:t>
      </w:r>
    </w:p>
    <w:p>
      <w:pPr>
        <w:spacing w:after="0" w:line="117"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establish and successfully maintain appropriate collaborations and derive significant revenue from those collaborations;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797" w:right="319" w:bottom="1440" w:gutter="0" w:footer="0" w:header="0"/>
        </w:sectPr>
      </w:pPr>
    </w:p>
    <w:bookmarkStart w:id="48" w:name="page49"/>
    <w:bookmarkEnd w:id="48"/>
    <w:p>
      <w:pPr>
        <w:ind w:right="320"/>
        <w:spacing w:after="0" w:line="277" w:lineRule="auto"/>
        <w:rPr>
          <w:sz w:val="20"/>
          <w:szCs w:val="20"/>
          <w:color w:val="auto"/>
        </w:rPr>
      </w:pPr>
      <w:r>
        <w:rPr>
          <w:rFonts w:ascii="Arial" w:cs="Arial" w:eastAsia="Arial" w:hAnsi="Arial"/>
          <w:sz w:val="18"/>
          <w:szCs w:val="18"/>
          <w:color w:val="auto"/>
        </w:rPr>
        <w:t>forward-looking events and circumstances discussed in this prospectus may not occur and actual results could differ materially and adversely from those anticipated or implied in the forward-looking statements.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800" w:right="339" w:bottom="1440" w:gutter="0" w:footer="0" w:header="0"/>
        </w:sectPr>
      </w:pPr>
    </w:p>
    <w:bookmarkStart w:id="49" w:name="page50"/>
    <w:bookmarkEnd w:id="49"/>
    <w:p>
      <w:pPr>
        <w:ind w:left="4540"/>
        <w:spacing w:after="0"/>
        <w:rPr>
          <w:sz w:val="20"/>
          <w:szCs w:val="20"/>
          <w:color w:val="auto"/>
        </w:rPr>
      </w:pPr>
      <w:r>
        <w:rPr>
          <w:rFonts w:ascii="Arial" w:cs="Arial" w:eastAsia="Arial" w:hAnsi="Arial"/>
          <w:sz w:val="17"/>
          <w:szCs w:val="17"/>
          <w:b w:val="1"/>
          <w:bCs w:val="1"/>
          <w:color w:val="auto"/>
        </w:rPr>
        <w:t>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upon the sale of shares by the selling stockholders.</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879"/>
          </w:cols>
          <w:pgMar w:left="580" w:top="796"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common stock is currently listed on the NASDAQ Capital Market under the symbol “SLNO” and our Series A Warrants are quoted on the NASDAQ Capital Market under the symbol “SLNOW.” Our Series B Warrants, Series C Warrants and Series D Warrants are not and will not be traded on a national securities exchange.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for the periods indicated, the intraday high and low sale prices per share of our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4, 2017, the last reported sale price of our common stock on the NASDAQ Capital Market was $0.43.</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As of April 12, 2017, there were approximately 67 shareholders of record for our common stock. A substantially greater number of stockholders may be “street name” or beneficial holders, whose shares are held of record by banks, brokers and other financial institutions. We have never declared or paid, and do not anticipate declaring or paying, any cash dividends on any of our capital stock. We currently intend to retain all available funds and any future earnings for use in the operation of our business and do not anticipate paying any dividends in the foreseeable future. Future determination as to the declaration and payment of dividends, if any, will be at the discretion of our board of directors and will depend on then existing conditions, including our operating results, financial conditions, contractual restrictions, capital requirements, business prospects and other factors our board of directors may deem relevant.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51" w:name="page52"/>
    <w:bookmarkEnd w:id="51"/>
    <w:p>
      <w:pPr>
        <w:jc w:val="center"/>
        <w:ind w:left="260" w:right="480"/>
        <w:spacing w:after="0" w:line="282" w:lineRule="auto"/>
        <w:rPr>
          <w:sz w:val="20"/>
          <w:szCs w:val="20"/>
          <w:color w:val="auto"/>
        </w:rPr>
      </w:pPr>
      <w:r>
        <w:rPr>
          <w:rFonts w:ascii="Arial" w:cs="Arial" w:eastAsia="Arial" w:hAnsi="Arial"/>
          <w:sz w:val="18"/>
          <w:szCs w:val="18"/>
          <w:b w:val="1"/>
          <w:bCs w:val="1"/>
          <w:color w:val="auto"/>
        </w:rPr>
        <w:t>SOLENO THERAPEUTICS, INC (FORMERLY CAPNIA, INC) MANAGEMENT’S DISCUSSION AND ANALYSIS OF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2016</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The consolidated financial statements of Soleno Therapeutics, Inc. (formerly Capnia, Inc.) included in this prospectus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Soleno Therapeutics’s (formerly Capnia, Inc.) Annual Report on Form 10-K for the year ended December 31, 2016 and included elsewhere in this prospectus. In addition to historical information, this discussion and analysis contains forward-looking statements within the meaning of Section 21E of the Exchange Act. These forward-looking statements are subject to risks and uncertainties, including those set forth in the section captioned “Risk Factors” and elsewhere in this prospectus that could cause actual results to differ materially from historical results or anticipated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right="120" w:firstLine="324"/>
        <w:spacing w:after="0" w:line="297" w:lineRule="auto"/>
        <w:rPr>
          <w:sz w:val="20"/>
          <w:szCs w:val="20"/>
          <w:color w:val="auto"/>
        </w:rPr>
      </w:pPr>
      <w:r>
        <w:rPr>
          <w:rFonts w:ascii="Arial" w:cs="Arial" w:eastAsia="Arial" w:hAnsi="Arial"/>
          <w:sz w:val="16"/>
          <w:szCs w:val="16"/>
          <w:color w:val="auto"/>
        </w:rPr>
        <w:t>We are a diversified healthcare company that develops and commercializes innovative diagnostics, devices and therapeutics addressing unmet medical needs. We have a number of commercial products based on our proprietary technologies, including those which utilize precision metering of gas flow. Our most recent product to launch commercially utilizing our precision metering of gas flow technology is Serenz, which has a CE Mark certification for sale in the E.U. Serenz is a proprietary handheld device that delivers non-inhaled CO</w:t>
      </w:r>
      <w:r>
        <w:rPr>
          <w:rFonts w:ascii="Arial" w:cs="Arial" w:eastAsia="Arial" w:hAnsi="Arial"/>
          <w:sz w:val="11"/>
          <w:szCs w:val="11"/>
          <w:color w:val="auto"/>
        </w:rPr>
        <w:t>2</w:t>
      </w:r>
      <w:r>
        <w:rPr>
          <w:rFonts w:ascii="Arial" w:cs="Arial" w:eastAsia="Arial" w:hAnsi="Arial"/>
          <w:sz w:val="16"/>
          <w:szCs w:val="16"/>
          <w:color w:val="auto"/>
        </w:rPr>
        <w:t xml:space="preserve"> topically to the nasal mucosa. Serenz is used only when needed, and does not need to be used on a scheduled basis. Pilot commercial sales of Serenz began in the U.K. and Ireland in the second quarter of 2016.</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also selling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our wholly owned subsidiary NFI, we also develop and globally market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therapeutic technology consists of the use of nasal, non-inhaled CO</w:t>
      </w:r>
      <w:r>
        <w:rPr>
          <w:rFonts w:ascii="Arial" w:cs="Arial" w:eastAsia="Arial" w:hAnsi="Arial"/>
          <w:sz w:val="12"/>
          <w:szCs w:val="12"/>
          <w:color w:val="auto"/>
        </w:rPr>
        <w:t>2</w:t>
      </w:r>
      <w:r>
        <w:rPr>
          <w:rFonts w:ascii="Arial" w:cs="Arial" w:eastAsia="Arial" w:hAnsi="Arial"/>
          <w:sz w:val="18"/>
          <w:szCs w:val="18"/>
          <w:color w:val="auto"/>
        </w:rPr>
        <w:t xml:space="preserve"> for the treatment of the symptoms of AR, as well as for the treatment of pain associated with migraine, cluster headache and trigeminal neuralgia, or TN. Serenz is a treatment for symptoms related to AR, which, when triggered by seasonal allergens, is commonly known as hay fever or seasonal allergies. We are also pursuing new initiatives for the development of our precision metering of gas flow technology for the treatment of trigeminally-mediated pain disorders such as cluster headache and TN. On December 18, 2015, the FDA granted us orphan drug designation for our nasal, non-inhaled CO</w:t>
      </w:r>
      <w:r>
        <w:rPr>
          <w:rFonts w:ascii="Arial" w:cs="Arial" w:eastAsia="Arial" w:hAnsi="Arial"/>
          <w:sz w:val="12"/>
          <w:szCs w:val="12"/>
          <w:color w:val="auto"/>
        </w:rPr>
        <w:t>2</w:t>
      </w:r>
      <w:r>
        <w:rPr>
          <w:rFonts w:ascii="Arial" w:cs="Arial" w:eastAsia="Arial" w:hAnsi="Arial"/>
          <w:sz w:val="18"/>
          <w:szCs w:val="18"/>
          <w:color w:val="auto"/>
        </w:rPr>
        <w:t xml:space="preserve"> technology for the treatment of TN in the U.S. We filed an IND with the FDA and started enrolling TN patients in a pilot clinical trial in 2016.</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continue to focus our research and development efforts on diagnostic products based on our Sensalyze™ Technology Platform, a portfolio of patented and proprietary methods and systems, which enables CoSense to measure ETCO and that can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2" w:name="page53"/>
    <w:bookmarkEnd w:id="52"/>
    <w:p>
      <w:pPr>
        <w:jc w:val="both"/>
        <w:ind w:right="160"/>
        <w:spacing w:after="0" w:line="286" w:lineRule="auto"/>
        <w:rPr>
          <w:sz w:val="20"/>
          <w:szCs w:val="20"/>
          <w:color w:val="auto"/>
        </w:rPr>
      </w:pPr>
      <w:r>
        <w:rPr>
          <w:rFonts w:ascii="Arial" w:cs="Arial" w:eastAsia="Arial" w:hAnsi="Arial"/>
          <w:sz w:val="17"/>
          <w:szCs w:val="17"/>
          <w:color w:val="auto"/>
        </w:rPr>
        <w:t>be applied to detect a variety of analytes in exhaled breath, as well as other products for the neonatology market. Our current development pipeline includes proposed diagnostic devices for asthma in children, assessment of blood CO</w:t>
      </w:r>
      <w:r>
        <w:rPr>
          <w:rFonts w:ascii="Arial" w:cs="Arial" w:eastAsia="Arial" w:hAnsi="Arial"/>
          <w:sz w:val="11"/>
          <w:szCs w:val="11"/>
          <w:color w:val="auto"/>
        </w:rPr>
        <w:t>2</w:t>
      </w:r>
      <w:r>
        <w:rPr>
          <w:rFonts w:ascii="Arial" w:cs="Arial" w:eastAsia="Arial" w:hAnsi="Arial"/>
          <w:sz w:val="17"/>
          <w:szCs w:val="17"/>
          <w:color w:val="auto"/>
        </w:rPr>
        <w:t xml:space="preserve"> concentration in neonates and malabsorption. We may also license elements of our Sensalyze Technology Platform to other companies that have complementary development or commercial capabilities.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July 2015, we commenced enrollment in a pilot, single-center, investigator-sponsored clinical trial evaluating our proprietary nasal, non-inhaled CO</w:t>
      </w:r>
      <w:r>
        <w:rPr>
          <w:rFonts w:ascii="Arial" w:cs="Arial" w:eastAsia="Arial" w:hAnsi="Arial"/>
          <w:sz w:val="12"/>
          <w:szCs w:val="12"/>
          <w:color w:val="auto"/>
        </w:rPr>
        <w:t>2</w:t>
      </w:r>
      <w:r>
        <w:rPr>
          <w:rFonts w:ascii="Arial" w:cs="Arial" w:eastAsia="Arial" w:hAnsi="Arial"/>
          <w:sz w:val="18"/>
          <w:szCs w:val="18"/>
          <w:color w:val="auto"/>
        </w:rPr>
        <w:t xml:space="preserve"> technology for the treatment of cluster headaches. The primary efficacy endpoint of the trial is the greatest change from pre-treatment headache pain intensity to post treatment.</w:t>
      </w:r>
    </w:p>
    <w:p>
      <w:pPr>
        <w:spacing w:after="0" w:line="7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On July 24, 2015, we entered into the 2015 Aspire Purchase Agreement with Aspire Capital, which provides that, upon the terms and subject to the conditions and limitations set forth therein, Aspire Capital is committed to purchase up to an aggregate of $10.0 million in value of shares of our common stock over the 24-month term of the 2015 Aspire Purchase Agreement. Since July 24, 2015, we issued an aggregate of 506,585 shares of common stock to Aspire Capital in exchange for approximately $1.4 million.</w:t>
      </w:r>
    </w:p>
    <w:p>
      <w:pPr>
        <w:spacing w:after="0" w:line="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October 12, 2015, we entered into the 2015 Sabby Purchase Agreement with Sabby to purchase up to $10 million of Series A Convertible Preferred Stock together with related Series D Warrants to purchase shares of our common stock. The sale of the Series Convertible A Preferred Stock occurred in two separate closings. On October 15, 2015, the date of the first closing under the 2015 Sabby Purchase Agreement, we received proceeds of approximately $4.1 million, net of $0.4 million in estimated expenses. On January 8, 2016, the date of the second closing under the 2015 Sabby Purchase Agreement, we received proceeds of approximately $5 million, net of $0.5 million in estimated expenses.</w:t>
      </w:r>
    </w:p>
    <w:p>
      <w:pPr>
        <w:spacing w:after="0" w:line="17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we received proceeds of approximately $1.3 million, net of $0.1 million in estimated expenses. On September 29, 2016, the date of the second closing under the 2016 Sabby Purchase Agreement, we received proceeds of approximately $4.4 million, net of $0.3 million in estimated expenses. After repurchase of the Series A Convertible Preferred Stock and estimated transaction expenses, we received approximately $5.6 million of net proceeds.</w:t>
      </w:r>
    </w:p>
    <w:p>
      <w:pPr>
        <w:spacing w:after="0" w:line="18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with Essentialis,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received on March 6, 2017 (see Note 14).</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years ended December 31, 2015 and December 31, 2016, we received $0.3 million and $0.1 million, respectively, from the exercise of stock options.</w:t>
      </w:r>
    </w:p>
    <w:p>
      <w:pPr>
        <w:spacing w:after="0" w:line="6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During the year ended December 31, 2016, we implemented plans to reduce our operating expenses, including reducing our workforce, eliminating outside consultants, reducing legal fees and implementing a plan to allow Board members to receive common stock, in lieu of cash payments.</w:t>
      </w:r>
    </w:p>
    <w:p>
      <w:pPr>
        <w:spacing w:after="0" w:line="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of December 31, 2016, we had an accumulated deficit of $98.3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$1.9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12, 2017, we formally changed our name from "Capnia, Inc." to "Soleno Therapeutics,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believes that we has sufficient capital resources to sustain operations through at least the next twelve months.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not generated net income from operations to date, and, at December 31, 2016 and December 31, 2015, we had an accumulated deficit of approximately $98.3 million and $86.2 million, respectively, primarily as a result of research and development and general and administrative expenses. We may never be successful in commercializing our neonatology products, including CoSense, therapeutic products or in developing additional products. Accordingly, we expect to incur significant losses from operations for the foreseeable future, and there can be no assurance that we will ever generate significant revenue or profits.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We apply the provisions of Financial Accounting Standards Board, or FASB, Accounting Standards Codification, or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to recognize revenue. We begin recognizing revenue when persuasive evidence of an arrangement exists, such as a contract or purchase order,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has occurred, no significant obligations with regard to implementation or integration exist, the fee is fixed or determinable, and collectability is reasonably assured.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Sales and marketing expenses consist principally of personnel-related costs, professional fees for consulting expenses, and other expenses associated with commercial activities. We anticipate these expenses will increase significantly in future periods, reflecting the increased level of sales and marketing activity necessary for the commercial launch of CoSense.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consist principally of personnel-related costs,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is primarily comprised of changes in the fair value of the Series A, Series B and Series C stock warrant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account for the Series B Warrants issued in connection with our IPO in accordance with the guidance in Accounting Standards Codification (ASC) 815-40. The warrants have a cashless exercise provision that allows for exercise of the warrants at any time between four and fifteen months after issuance, on a cashless basis for a number of common shares that increases as the market price of our common stock decreases, and exercisable at a discount to the price of our common stock at the time. The terms of the Series B warrants do not explicitly limit the potential number of shares, thereby the exercise of the B warrants could result in our obligation to deliver potentially unlimited number of shares upon settlement. As such, share settlement in not within our control and as provided under ASC 815-40, the warrants do not meet the criteria for equity treatment and 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96" w:right="259" w:bottom="1440" w:gutter="0" w:footer="0" w:header="0"/>
        </w:sectPr>
      </w:pPr>
    </w:p>
    <w:bookmarkStart w:id="54" w:name="page55"/>
    <w:bookmarkEnd w:id="54"/>
    <w:p>
      <w:pPr>
        <w:ind w:right="220"/>
        <w:spacing w:after="0" w:line="264" w:lineRule="auto"/>
        <w:rPr>
          <w:sz w:val="20"/>
          <w:szCs w:val="20"/>
          <w:color w:val="auto"/>
        </w:rPr>
      </w:pPr>
      <w:r>
        <w:rPr>
          <w:rFonts w:ascii="Arial" w:cs="Arial" w:eastAsia="Arial" w:hAnsi="Arial"/>
          <w:sz w:val="18"/>
          <w:szCs w:val="18"/>
          <w:color w:val="auto"/>
        </w:rPr>
        <w:t>recorded as a liability. Accordingly, we classified the Series B warrants as liabilities at their fair market value at the date of the IPO and will re-measure the warrants at each balance sheet date until they are exercised or they expire. Any change in the fair value is recognized as other income (expense) in our statement of operations.</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fair value of the warrant liability was determined using a Monte Carlo simulation model. This model is dependent upon several variables such as the warrant’s term, exercise price, current stock price, risk-free interest rate estimated over the expected term, estimated volatility of our stock over the term of warrant and the estimated market price of our stock during the cashless exercise period. The risk-free rate is based on U.S. Treasury securities with similar maturities as the expected terms of the warrants. The volatility is estimated based on blending the volatility rates for a number of similar publicly-traded companies.</w:t>
      </w:r>
    </w:p>
    <w:p>
      <w:pPr>
        <w:spacing w:after="0" w:line="8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accordance with the guidance under ASC 815-40-25, we have evaluated that we have a sufficient number of authorized and unissued shares as December 31, 2015, to settle all existing commitments.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and Series C Warrants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We account for the Series A and Series C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Series A and Series C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Soleno Therapeutics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Valuation Model.</w:t>
      </w:r>
    </w:p>
    <w:p>
      <w:pPr>
        <w:spacing w:after="0" w:line="17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classified the Series A and Series C Warrants as liabilities at their fair value and will re-measure the warrants at each balance sheet date until they are exercised or expire. Any change in the fair value is recognized as other income (expense) in the our statement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account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We are required to comply with certain requirements to cause or maintain the effectiveness of a registration statement for the offer and sale of these securities. Such change in control events include tender offers or hostile takeovers, which are not within our sole control as the issuer of these warrants. However, the Series D Warrant agreement specifically provides that under no circumstances will we be required to settle any Series D Warrant exercise for cash, whether by net settlement or otherwise. Accordingly, we have classified the value of the Series D Warrants as permanent equity.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and Series B Convertible Preferred Stock</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classified our Series A and Series B Convertible Stock as permanent equity on our balance sheet in accordance with authoritative guidance for the classification and measurement of hybrid securities and distinguishing liability from equity instruments. The preferred stock is not redeemable at the option of the holder.</w:t>
      </w:r>
    </w:p>
    <w:p>
      <w:pPr>
        <w:spacing w:after="0" w:line="10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Further, we evaluated our Series A and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we followed the whole instrument approach which compares an individual feature against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instrument which includes that feature. Our analysis was based on a consideration of the economic characteristics and risks of each series of preferred stock. More specifically, we evaluated all of the stated and implied substantive terms and features, including (i) whether the preferred stock included redemption features, (ii) how and when any redemption features could be exercised, (iii) whether the holders of preferred stock were entitled to dividends,</w:t>
      </w:r>
    </w:p>
    <w:p>
      <w:pPr>
        <w:spacing w:after="0" w:line="2" w:lineRule="exact"/>
        <w:rPr>
          <w:sz w:val="20"/>
          <w:szCs w:val="20"/>
          <w:color w:val="auto"/>
        </w:rPr>
      </w:pPr>
    </w:p>
    <w:p>
      <w:pPr>
        <w:ind w:right="40" w:firstLine="8"/>
        <w:spacing w:after="0" w:line="302" w:lineRule="auto"/>
        <w:tabs>
          <w:tab w:leader="none" w:pos="3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voting rights of the preferred stock and (v) the existence and nature of any conversion rights. As a result, we concluded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92" w:right="25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 includes payroll and personnel expenses; consulting costs; external contract research and development expenses; and allocated overhead, including rent, equipment depreciation and utilities, and relate to both company-sponsored programs as well as costs incurred pursuant to reimbursement arrangements.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8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contracts and purchase orders, reviewing the terms of our intellectual property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70"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 manufacturers in connection with the production of clinical trial materials;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 research organizations and other service providers in connection with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33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To date, there have been no material differences from our estimates to the amounts actually incurred. However, due to the nature of these estimates, we cannot assure you that we will not make changes to our estimates in the future as we become aware of additional information about the status or conduct of our clinical studies or other research activity.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For the years ended December 31, 2016 and December 31, 2015 stock-based compensation expense was $871,270 and $942,369, respectively. As of December 31, 2016 we had $1,553,427 of total unrecognized compensation expense, which we expect to recognize over a period of approximately 2.7 years. The intrinsic value of all outstanding stock options as of December 31, 2016 was approximately zero. We expect to continue to grant equity incentive awards in the future as we continue to expand our number of employees and seek to retain our existing employees, and to the extent that we do, our actual stock-based compensation expense recognized in future periods will likely increase.</w:t>
      </w:r>
    </w:p>
    <w:p>
      <w:pPr>
        <w:spacing w:after="0" w:line="6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6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In June 2016, we granted 55,000 NSOs to sales representatives of Bemes, Inc. Of the 55,000 options granted, 27,499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we recognized $13,502 in expense for the remaining options during 2016, which will vest during the first quarter of 2017. Total expense for the two groups of options reflects the fair value of our common stock on the applicable vesting commencement 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6" w:name="page57"/>
    <w:bookmarkEnd w:id="56"/>
    <w:p>
      <w:pPr>
        <w:ind w:right="120" w:firstLine="324"/>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Expected volatility: We calculate the estimated volatility rate based on a peer index of common stock of comparable companies.</w:t>
      </w:r>
    </w:p>
    <w:p>
      <w:pPr>
        <w:spacing w:after="0" w:line="128" w:lineRule="exact"/>
        <w:rPr>
          <w:rFonts w:ascii="Arial" w:cs="Arial" w:eastAsia="Arial" w:hAnsi="Arial"/>
          <w:sz w:val="17"/>
          <w:szCs w:val="17"/>
          <w:color w:val="auto"/>
        </w:rPr>
      </w:pPr>
    </w:p>
    <w:p>
      <w:pPr>
        <w:jc w:val="both"/>
        <w:ind w:left="1300" w:right="26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term: We do not believe we are able to rely on our historical exercise and post-vesting termination activity to provide accurate data for estimating the expected term for use in estimating the fair value-based measurement of our options. Therefore, we have opted to use the “simplified method” for estimating the expected term of options.</w:t>
      </w:r>
    </w:p>
    <w:p>
      <w:pPr>
        <w:spacing w:after="0" w:line="73"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Risk-free rate: The risk-free interest rate is based on the yields of U.S. Treasury securities with maturities similar to the expected time to liquidity.</w:t>
      </w:r>
    </w:p>
    <w:p>
      <w:pPr>
        <w:spacing w:after="0" w:line="62"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plan to pay cash dividends in the foreseeable future. Consequently, we used an expected dividend yield of zero.</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were 955,713 options granted in the year ended December 31, 2015. There were 1,339,259 options granted in the year ended December 31, 2016. In addition to the assumptions used in the Black-Scholes option-pricing model, we must also estimate a forfeiture rate to calculate the stock-based compensation expense for our awards. We will continue to use judgment in evaluating the expected volatility, expected terms, and forfeiture rates utilized for our stock-based compensation expense calculations on a prospective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Goodwill represents the excess of the purchase price of an acquired enterprise or assets over the fair value of the identifiable assets acquired and liabilities assumed. Goodwill is presumed to have an indefinite life and is not subject to amortization. We test for impairment of goodwill on an annual basis in the fourth quarter and at any other time when events occur or circumstances indicate that the carrying amount of goodwill may not be recoverable.</w:t>
      </w:r>
    </w:p>
    <w:p>
      <w:pPr>
        <w:spacing w:after="0" w:line="14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Circumstances that could trigger an impairment test include, but are not limited to: a significant adverse change in the business climate or legal factors, an adverse action or assessment by a regulator, change in customer, target market and strategy, unanticipated competition, loss of key personnel, or the likelihood that a reporting unit or significant portion of a reporting unit will be sold or otherwise disposed.</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 assessment of qualitative factors may be performed to determine whether it is necessary to perform the two-step quantitative goodwill impairment test. If the result of the qualitative assessment is that it is more likely than not (i.e. greater than 50% likelihood) that the fair value of a reporting unit, is less than its carrying amount, then the quantitative test is required. Otherwise, no further testing is required. At our testing date, we did not perform the qualitative assessment.</w:t>
      </w:r>
    </w:p>
    <w:p>
      <w:pPr>
        <w:spacing w:after="0" w:line="187"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Under the quantitative test, if the carrying amount of a reporting unit’s goodwill exceeds the implied fair value of that goodwill, an impairment loss is recorded in the Consolidated Statements of Operations as “Impairment of goodwill.” Measurement of the fair value of a reporting unit is based on one or more of the following fair value measures: amounts at which the unit as a whole could be bought or sold in a current transaction between willing parties, using present value techniques of estimated future cash flows, or using valuation techniques based on multiples of earnings or revenue, or a similar performance measure.</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Based on our organizational structure and our financial information during 2016 and 2015, we determined we operate in one segment and two reporting units. The only reporting unit with goodwill was the NeoForce (“NFI”) unit.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2016, we tested the NFI reporting unit’s goodwill for impairment under the two-step quantitative goodwill impairment test in accordance with authoritative guidance. There were no triggering events during the interim periods of 2016.</w:t>
      </w:r>
    </w:p>
    <w:p>
      <w:pPr>
        <w:spacing w:after="0" w:line="170"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Under the first step of the authoritative guidance for impairment testing, the fair value of the NFI reporting unit was determined based on the income approach, which estimates fair value based on the future discounted cash flows. We assumed a cash flow period of 5 years, annual revenue growth rates of 38.2% to 63.9%, a discount rate of 20.5%, and a terminal value equivalent to one times final year sales. While projected revenue growth is above average, beginning revenue is quite low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017" w:right="259" w:bottom="1440" w:gutter="0" w:footer="0" w:header="0"/>
        </w:sectPr>
      </w:pPr>
    </w:p>
    <w:bookmarkStart w:id="57" w:name="page58"/>
    <w:bookmarkEnd w:id="57"/>
    <w:p>
      <w:pPr>
        <w:ind w:right="40"/>
        <w:spacing w:after="0" w:line="255" w:lineRule="auto"/>
        <w:rPr>
          <w:sz w:val="20"/>
          <w:szCs w:val="20"/>
          <w:color w:val="auto"/>
        </w:rPr>
      </w:pPr>
      <w:r>
        <w:rPr>
          <w:rFonts w:ascii="Arial" w:cs="Arial" w:eastAsia="Arial" w:hAnsi="Arial"/>
          <w:sz w:val="18"/>
          <w:szCs w:val="18"/>
          <w:color w:val="auto"/>
        </w:rPr>
        <w:t>the acquisition of new customers, mainly hospitals and health plans, is expected to result in relatively large increments of growth. We also performed sensitivity analyses to estimate the effect of significantly lower revenue growth on estimated fair value. We believe the assumptions and rates used in the impairment test are reasonable, but they are judgmental, and variations in any of the assumptions or rates could result in a materially different calculation of impairment. The determination of estimated fair value of goodwill required the use of significant unobservable inputs which are considered Level 3 fair value measurements. Based on the first step of the authoritative guidance on impairment testing, we concluded that the fair value of the NFI reporting unit was in excess of its carrying value.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NFI reporting unit was acquired during the fourth quarter of 2015. We had no other goodwill during 2015 or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Valuation allowances are provided when necessary to reduce deferred tax assets to the amount that will more likely than not be realized.</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7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In assessing the realizability of deferred tax assets, we consider whether it is more likely than not that some portion or all of the deferred tax assets will be realized on a jurisdiction by jurisdiction basis. The ultimate realization of deferred tax assets is dependent upon the generation of taxable income in the future. We have recorded a deferred tax asset in jurisdictions where ultimate realization of deferred tax assets is more likely than not to occur.</w:t>
      </w:r>
    </w:p>
    <w:p>
      <w:pPr>
        <w:spacing w:after="0" w:line="3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80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3"/>
            <w:vMerge w:val="restart"/>
          </w:tcPr>
          <w:p>
            <w:pPr>
              <w:jc w:val="right"/>
              <w:ind w:right="911"/>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7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1,509,306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1,156,623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(313,307)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5,184,803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648,559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1,630,591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1,737,470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(106,879)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6,736,203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6,140,821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595,382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5080" w:type="dxa"/>
            <w:vAlign w:val="bottom"/>
          </w:tcPr>
          <w:p>
            <w:pPr>
              <w:ind w:left="1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13,551,597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12,414,535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1,137,062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(12,159,746)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(1,450,369)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1,566,601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(3,748,800)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5,315,401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(15,908,546)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3,865,032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deferred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21,700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(12,065,214)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(15,908,546)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3,843,332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During the year ended December 31, 2015, we recognized $220 thousand of government grant revenue from a new grant awarded during the second quarter of 2015, and $388 thousand of product revenue from sales of CoSense, Precision Sampling Sets and NFI products, of which $279,000 related to NFI products subsequent to the acquisition of NeoForce's assets in September 2015. During the year ended December 31, 2016, we recognized $1.5 million of product revenue from sales of CoSense, Precision Sampling Sets and NFI products. Revenue increased by $843 thousand primarily due to the inclusion of a full year of revenue related to NFI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Research and development expense for the year ended December 31, 2016 increased $649 thousand as compared to the year ended December 31, 2015. The increase was primarily due to increases in compensation expense of $502 thousand, travel and entertainment of $55 thousand and $92 thousand of outside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Sales and marketing expense for the year ended December 31, 2016 decreased $107 thousand over the year ended December 31, 2015 primarily due to the decrease of direct sales personnel concurrent with signing a distributor agreement with Bemes.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General and administrative expense for the year ended December 31, 2016 increased $595 thousand as compared to the year ended December 31, 2015. The increase was primarily due to increases in legal expenses of $284 thousand, $136 thousand of compensation expense and $175 thousand for the settlement of the Lawsuit.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Of the $3.7 million expense in 2015, $0.2 million was due to the value of the commitment shares of common stock issued to Aspire Capital, $3.1 million was due to the issuance of the Series C Warrants which were treated as an inducement and the change in the fair value of the warrants by $0.5. Other income in 2016 primarily represented the decrease in warrants by $1.7 million, offset by $0.1 million of Cease-use expense (see Note 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96" w:right="239" w:bottom="1440" w:gutter="0" w:footer="0" w:header="0"/>
        </w:sectPr>
      </w:pPr>
    </w:p>
    <w:bookmarkStart w:id="59" w:name="page60"/>
    <w:bookmarkEnd w:id="59"/>
    <w:p>
      <w:pPr>
        <w:ind w:right="20" w:firstLine="324"/>
        <w:spacing w:after="0" w:line="259" w:lineRule="auto"/>
        <w:rPr>
          <w:sz w:val="20"/>
          <w:szCs w:val="20"/>
          <w:color w:val="auto"/>
        </w:rPr>
      </w:pPr>
      <w:r>
        <w:rPr>
          <w:rFonts w:ascii="Arial" w:cs="Arial" w:eastAsia="Arial" w:hAnsi="Arial"/>
          <w:sz w:val="18"/>
          <w:szCs w:val="18"/>
          <w:color w:val="auto"/>
        </w:rPr>
        <w:t>On July 24, 2015, we entered into the 2015 Aspire Purchase Agreement with Aspire Capital, which provides that, upon the terms and subject to the conditions and limitations set forth therein, Aspire Capital is committed to purchase up to an aggregate of $10.0 million in value of shares of our common stock over the 24-month term of the purchase agreement. During the quarter ended September 30, 2015, we issued an aggregate of 506,585 shares of common stock to Aspire Capital in exchange for approximately $1.4 million.</w:t>
      </w:r>
    </w:p>
    <w:p>
      <w:pPr>
        <w:spacing w:after="0" w:line="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October 12, 2015, we entered into the 2015 Sabby Purchase Agreement with Sabby to purchase up to $10 million of Series A Convertible Preferred Stock together with related Series D Warrants to purchase shares of our common stock. The sale of the Series A Convertible Preferred Stock took place in two separate closings. On October 15, 2015, the date of the first closing, we received proceeds of approximately $4.1 million, net of $0.4 million in estimated expenses. On January 8, 2016, the date of the second closing, we received proceeds of approximately $5 million, net of $0.5 million in estimated expenses.</w:t>
      </w:r>
    </w:p>
    <w:p>
      <w:pPr>
        <w:spacing w:after="0" w:line="20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we received proceeds of approximately $1.3 million, net of $0.1 million in estimated expenses. On September 29, 2016, the date of the second closing under the 2016 Sabby Purchase Agreement, we received proceeds of approximately $4.4 million, net of $0.3 million in estimated expenses. After repurchase of the Series A Convertible Preferred Stock and estimated transaction expenses, we received approximately $5.6 million of net proceeds.</w:t>
      </w:r>
    </w:p>
    <w:p>
      <w:pPr>
        <w:spacing w:after="0" w:line="1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held on March 6, 2017 where we received stockholder approval (see Note 14).</w:t>
      </w:r>
    </w:p>
    <w:p>
      <w:pPr>
        <w:spacing w:after="0" w:line="7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January 27, 2017, we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Further, on the date of the closing of the financing, as defined in the Merger Agreement, we sold to Aspire Capital, and Aspire Capital purchased from us, an aggregate of $2.0 million of our common stock. On March 7, 2017, we received the $2.0 million from Aspire Capital (see Note 14).</w:t>
      </w:r>
    </w:p>
    <w:p>
      <w:pPr>
        <w:spacing w:after="0" w:line="80"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During the year ended December 31, 2016, we implemented plans to reduce our expenses, including reducing its workforce, eliminating outside consultants, reducing legal fees and implementing a plan to allow Board members to receive common stock, in lieu of cash payments.</w:t>
      </w:r>
    </w:p>
    <w:p>
      <w:pPr>
        <w:spacing w:after="0" w:line="3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December 31, 2016, we had cash and cash equivalents of $2.7 million, of which $2.3 million is invested in a money market fund at an AAA-rated financial institution.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based on our current level of operations, our existing cash resources, including the $10 million in financing that we received on March 7, 2017 (see Note 14), will provide adequate funds for ongoing operations, planned capital expenditures and working capital requirements for at least the next 12 months.</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to incur substantial expenditures in the foreseeable future for the development and potential commercialization of Serenz and CoSense products, as well as clinical trials for our therapeutic products. We may continue to require additional financing to develop our future products and fund operations for the foreseeable future. We will continue to seek funds through equity or debt financings, collaborative or other arrangements with corporate sources, or through other sources of financing. We anticipate that we may need to raise substantial additional capital, the requirements of which will depend on many factors, including:</w:t>
      </w:r>
    </w:p>
    <w:p>
      <w:pPr>
        <w:spacing w:after="0" w:line="8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of progress in the commercialization of our products and the generation of revenue from product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degree and rate of market acceptance of any products launched by us or future partners;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60" w:name="page61"/>
    <w:bookmarkEnd w:id="60"/>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commercializing our products, including the costs of sales, marketing, and distribution;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developing our anticipated internal sales and marketing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preparing to manufacture our products on a larger scale;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 licensing, commercialization or other arrangements and the terms and timing of such arrangements;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clinical trials for Cluster Headache, TN and Serenz.</w:t>
      </w:r>
    </w:p>
    <w:p>
      <w:pPr>
        <w:spacing w:after="0" w:line="3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If we are unable to raise additional funds when needed, our ability to complete planned clinical trials and attain commercial success with CoSense, or our other potential products, may be impaired. We may also be required to delay, reduce, or terminate some or all of our development programs and clinical trials. We may also be required to sell or license to others technologies or future products or programs that we would prefer to develop and commercialize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(13,497,980)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(10,299,330)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10,768,133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9,157,920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(2,768,527)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(2,462,187)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the year ended December 31, 2016, net cash used in operating activities was $13.5 million, which was primarily due to the net loss of $12.1 million, as well as adjustments for non-cash items including the $1.7 million change in fair value of warrants and decreases in accounts payable and accrued liabilities of $0.6 million and inventory of $0.1 million, offset by stock-based compensation of $0.8 million.</w:t>
      </w:r>
    </w:p>
    <w:p>
      <w:pPr>
        <w:spacing w:after="0" w:line="73"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During the year ended December 31, 2015, net cash used in operating activities was $10.2 million, which was primarily due to the net loss of $15.9 million, offset by $0.5 million change in fair value of warrants, Series C Warrants inducement charge of $3.0 million, $0.9 million of stock based compensation expense, and increases in accounts payable and accrued liabilities of $1.5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used in investing activities in the year ended December 31, 2016 consisted of investment in equipment</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year ended December 31, 2015, we used $1.0 million to acquire NeoForce. Cash used in other investing activities in the year ended December 31, 2015 consisted primarily of investment in equipment, change in restricted cash and payment to acquire patents.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During the year ended December 31, 2016, cash provided by financing activities was $10.8 million, consisting primarily of $5.1 million, net of costs, and $13.5 million, net of costs, in proceeds from issuance of Series A and Series B Convertible Preferred stock, respectively, offset by $7.8 million used to repurchase the outstanding Series A Convertible Preferred stock. $0.1 million was received from the exercise of common stock options.</w:t>
      </w:r>
    </w:p>
    <w:p>
      <w:pPr>
        <w:spacing w:after="0" w:line="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year ended December 31, 2015 cash provided by financing activities was $9.2 million, consisting primarily of $4.2 million in proceeds from issuance of Series A Convertible Preferred stock, $3.9 million form the issuance of common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1" w:name="page62"/>
    <w:bookmarkEnd w:id="61"/>
    <w:p>
      <w:pPr>
        <w:ind w:right="40"/>
        <w:spacing w:after="0" w:line="264" w:lineRule="auto"/>
        <w:rPr>
          <w:sz w:val="20"/>
          <w:szCs w:val="20"/>
          <w:color w:val="auto"/>
        </w:rPr>
      </w:pPr>
      <w:r>
        <w:rPr>
          <w:rFonts w:ascii="Arial" w:cs="Arial" w:eastAsia="Arial" w:hAnsi="Arial"/>
          <w:sz w:val="18"/>
          <w:szCs w:val="18"/>
          <w:color w:val="auto"/>
        </w:rPr>
        <w:t>stock as a result of the exercise of Series A Warrants and Series B Warrants, issuance of common stock to Aspire Capital for $1.4 million and the $0.3 million received from the exercise of common stock options, offset by payment of IPO costs and Series B transaction costs of $0.6 million and the repayment of the outstanding balance on our line of credit of $0.1 million.</w:t>
      </w:r>
    </w:p>
    <w:p>
      <w:pPr>
        <w:spacing w:after="0" w:line="18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As of December 31, 2016, we had cash and cash equivalents of approximately $2.7 million. We believe that our cash resources, including the $10 million of financing that we received on March 7, 2017 (see Note 14) are sufficient to meet our cash needs for at least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As of December 31, 2016, we had net lease obligations totaling $1,714,788, consisting of operating leases for our operating facilities in Redwood City, California. We signed a lease for our current operating facilities at 1235 Radio Road in Redwood City in July 2015, which expires in July of 2019. We had previously signed a sublease for our prior operating facilities at 3 Twin Dolphins Drive in Redwood City, with an expiration date of June 2018.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3"/>
                <w:szCs w:val="13"/>
                <w:color w:val="auto"/>
              </w:rPr>
            </w:pPr>
          </w:p>
        </w:tc>
        <w:tc>
          <w:tcPr>
            <w:tcW w:w="9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4 to 5</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After 5</w:t>
            </w:r>
          </w:p>
        </w:tc>
        <w:tc>
          <w:tcPr>
            <w:tcW w:w="280" w:type="dxa"/>
            <w:vAlign w:val="bottom"/>
          </w:tcPr>
          <w:p>
            <w:pPr>
              <w:spacing w:after="0"/>
              <w:rPr>
                <w:sz w:val="13"/>
                <w:szCs w:val="13"/>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750,118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964,670</w:t>
            </w:r>
          </w:p>
        </w:tc>
        <w:tc>
          <w:tcPr>
            <w:tcW w:w="40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1,714,788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750,118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964,670</w:t>
            </w:r>
          </w:p>
        </w:tc>
        <w:tc>
          <w:tcPr>
            <w:tcW w:w="4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1,714,788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19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February 28, 2017, we settled the Lawsuit (see Note 14) by agreeing to provide supplemental disclosures and pay $175,000 in attorney's fees. This amount was recorded as a current liability on the balance sheet as of December 31, 2016 and recognized as general and administrative expense in the statement of operations for the year ended December 31, 2016. The stipulation of dismissal was approved by the court on April 14, 2017, and we expect to pay the $175,000 in attorney's fees within 30 days from the date of the order.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we had no off-balance sheet arrangements as defined in Item 303(a)(4) of Regulation S-K as promulgated by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Update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Guidance</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 for a detailed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2" w:name="page63"/>
    <w:bookmarkEnd w:id="62"/>
    <w:p>
      <w:pPr>
        <w:jc w:val="center"/>
        <w:ind w:left="300" w:right="440"/>
        <w:spacing w:after="0" w:line="282" w:lineRule="auto"/>
        <w:rPr>
          <w:sz w:val="20"/>
          <w:szCs w:val="20"/>
          <w:color w:val="auto"/>
        </w:rPr>
      </w:pPr>
      <w:r>
        <w:rPr>
          <w:rFonts w:ascii="Arial" w:cs="Arial" w:eastAsia="Arial" w:hAnsi="Arial"/>
          <w:sz w:val="18"/>
          <w:szCs w:val="18"/>
          <w:b w:val="1"/>
          <w:bCs w:val="1"/>
          <w:color w:val="auto"/>
        </w:rPr>
        <w:t>SOLENO THERAPEUTICS, INC (FORMERLY CAPNIA, INC) MANAGEMENT’S DISCUSSION AND ANALYSIS OF FINANCIAL CONDITION AND RESULTS OF OPERATIONS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2017</w:t>
      </w:r>
    </w:p>
    <w:p>
      <w:pPr>
        <w:spacing w:after="0" w:line="12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prospectus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the Company’s Form 10-K for the year ended December 31, 2016 and included elsewhere in this prospectus.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the section captioned “Risk Factors” and elsewhere in this prospectus that could cause actual results to differ materially from historical results or anticipated results.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After the Merger with Essentialis, our primary focus is on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Essentialis has been developing Diazoxide Choline Controlled Release, or DCCR, tablets as a treatment for Prader Willi Syndrome, or PWS, a complex metabolic/neurobehavioral disorder.</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continue to commercialize innovative medical devices to address unmet medical needs, although they are no longer our primary focus and will likely be monetized in the future. We have two commercial products based on our proprietary technologies. Our most recent product to launch commercially is Serenz, a proprietary handheld device that gently cleanses nasal mucosa. A similar product, Serenz Allergy Relief, has CE Mark certification in the European Eunion, or E.U. In the United States, or U.S., we have concluded that Serenz is a Class I, 510(k) exempt device. Serenz is used only when needed, and does not need to be used on a regular basis. We also sell CoSense, which measures end-tidal carbon monoxide, or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67"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color w:val="auto"/>
        </w:rPr>
        <w:t>We also market innovative pulmonary resuscitation solutions for the inpatient and ambulatory neonatal markets through our subsidiary, NeoForce, Inc., or NFI. NFI’s primary product is the NeoPip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T-piece resuscitator and related consumable, which delivers consistent pre-set inspiratory pressure and positive end-expiratory pressures. Other products include temperature probes, scales, surgical tables and patient surfaces.</w:t>
      </w:r>
    </w:p>
    <w:p>
      <w:pPr>
        <w:spacing w:after="0" w:line="203"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Following our Merger with Essentialis, we initiated a comprehensive review of strategic alternatives for our legacy products and product candidates, including Serenz Nasal Relief, Serenz Allergy Relief, CoSense ETCO Monitor, and our portfolio of innovative pulmonary resuscitation solutions for the neonatal market.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96" w:right="279" w:bottom="1440" w:gutter="0" w:footer="0" w:header="0"/>
        </w:sectPr>
      </w:pPr>
    </w:p>
    <w:bookmarkStart w:id="63" w:name="page64"/>
    <w:bookmarkEnd w:id="63"/>
    <w:p>
      <w:pPr>
        <w:ind w:right="1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70"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channels (K</w:t>
      </w:r>
      <w:r>
        <w:rPr>
          <w:rFonts w:ascii="Arial" w:cs="Arial" w:eastAsia="Arial" w:hAnsi="Arial"/>
          <w:sz w:val="12"/>
          <w:szCs w:val="12"/>
          <w:color w:val="auto"/>
        </w:rPr>
        <w:t>ATP</w:t>
      </w:r>
      <w:r>
        <w:rPr>
          <w:rFonts w:ascii="Arial" w:cs="Arial" w:eastAsia="Arial" w:hAnsi="Arial"/>
          <w:sz w:val="17"/>
          <w:szCs w:val="17"/>
          <w:color w:val="auto"/>
        </w:rPr>
        <w:t>).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 Oral Suspension and Capsules, or Proglycem, were approved in 1976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CHI, and in adults with insulinoma, which is a tumor of the pancreas that produces excessive amounts of insulin. Insulinoma patients tend to be older, with 50% of them over 70 years old. The average duration of use of Proglycem in CHI and insulinoma patients is 5 years and 7 years, respectively.</w:t>
      </w:r>
    </w:p>
    <w:p>
      <w:pPr>
        <w:spacing w:after="0" w:line="17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w:t>
      </w:r>
    </w:p>
    <w:p>
      <w:pPr>
        <w:spacing w:after="0" w:line="166"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8"/>
          <w:szCs w:val="18"/>
          <w:color w:val="auto"/>
        </w:rPr>
        <w:t>‑</w:t>
      </w:r>
      <w:r>
        <w:rPr>
          <w:rFonts w:ascii="Arial" w:cs="Arial" w:eastAsia="Arial" w:hAnsi="Arial"/>
          <w:sz w:val="18"/>
          <w:szCs w:val="18"/>
          <w:color w:val="auto"/>
        </w:rPr>
        <w:t xml:space="preserve">75% of the cases due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207" w:lineRule="exact"/>
        <w:rPr>
          <w:sz w:val="20"/>
          <w:szCs w:val="20"/>
          <w:color w:val="auto"/>
        </w:rPr>
      </w:pPr>
    </w:p>
    <w:p>
      <w:pPr>
        <w:jc w:val="both"/>
        <w:ind w:right="500" w:firstLine="324"/>
        <w:spacing w:after="0" w:line="302" w:lineRule="auto"/>
        <w:rPr>
          <w:sz w:val="20"/>
          <w:szCs w:val="20"/>
          <w:color w:val="auto"/>
        </w:rPr>
      </w:pPr>
      <w:r>
        <w:rPr>
          <w:rFonts w:ascii="Arial" w:cs="Arial" w:eastAsia="Arial" w:hAnsi="Arial"/>
          <w:sz w:val="16"/>
          <w:szCs w:val="16"/>
          <w:color w:val="auto"/>
        </w:rPr>
        <w:t>In addition to hyperphagia, which is an abnormally increased appetite for food,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5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skin-picking, distress, mood lability,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22, 2016, we entered into an Agreement and Plan of Merger, or the Merger Agreement, with Essentialis.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800" w:right="279" w:bottom="1440" w:gutter="0" w:footer="0" w:header="0"/>
        </w:sectPr>
      </w:pPr>
    </w:p>
    <w:bookmarkStart w:id="64" w:name="page65"/>
    <w:bookmarkEnd w:id="64"/>
    <w:p>
      <w:pPr>
        <w:ind w:right="40"/>
        <w:spacing w:after="0" w:line="255" w:lineRule="auto"/>
        <w:rPr>
          <w:sz w:val="20"/>
          <w:szCs w:val="20"/>
          <w:color w:val="auto"/>
        </w:rPr>
      </w:pPr>
      <w:r>
        <w:rPr>
          <w:rFonts w:ascii="Arial" w:cs="Arial" w:eastAsia="Arial" w:hAnsi="Arial"/>
          <w:sz w:val="18"/>
          <w:szCs w:val="18"/>
          <w:color w:val="auto"/>
        </w:rPr>
        <w:t>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we issued 8,333,333 shares of CommonStock for an investment of $8 million from the completion of the concurrent financing and issued 2,083,333 shares of Common Stock for an investment of $2 million from Aspire Capital.</w:t>
      </w:r>
    </w:p>
    <w:p>
      <w:pPr>
        <w:spacing w:after="0" w:line="6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During the year ended December 31, 2016 and the three months ended March 31, 2017, we received $0.1 million and zero, respectively, from the exercise of stock options.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of March 31, 2017, we had an accumulated deficit of $101.2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$2.2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believes that we have sufficient capital resources to sustain operations through at least the next twelve months.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accompanying unaudited condensed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00" w:right="25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Comparison of the three months ended March 31, 2017 and 2016</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5660"/>
        <w:spacing w:after="0"/>
        <w:tabs>
          <w:tab w:leader="none" w:pos="7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23495</wp:posOffset>
            </wp:positionV>
            <wp:extent cx="2023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331" w:lineRule="exact"/>
        <w:rPr>
          <w:sz w:val="20"/>
          <w:szCs w:val="20"/>
          <w:color w:val="auto"/>
        </w:rPr>
      </w:pPr>
    </w:p>
    <w:p>
      <w:pPr>
        <w:sectPr>
          <w:pgSz w:w="11900" w:h="16838" w:orient="portrait"/>
          <w:cols w:equalWidth="0" w:num="2">
            <w:col w:w="8000" w:space="720"/>
            <w:col w:w="27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fair value of warrants</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Cease-use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Total revenue in the three months ended March 31, 2017 decreased 41% as compared to the three months ended March 31, 2016. During the three months ended March 31, 2017, we recognized $45 thousand of product revenue from sales of CoSense and Precision Sampling Sets, $217 thousand from NFI products and $3 thousand from the sale of Serenz. In the three months ended March 31, 2016, we recognized $125 thousand of product revenue from sales of CoSense and Precision Sampling Sets and $322 thousand from NFI products. The decrease in product revenue for NFI products was primarily due to two large orders that were expected in the first quarter of 2017, that were deferred until the second and third quarter of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Research and development expense in the three months ended March 31, 2017 decreased $778 thousand as compared to the three months ended March 31, 2016. The decrease was primarily due to reduction in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Sales and marketing expense in the three months ended March 31, 2017 decreased $424 thousand over the three months ended March 31, 2016 primarily due to reduction in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General and administrative expense in the three months ended March 31, 2017 decreased $781 thousand as compared to the three months ended March 31, 2016. The decrease was primarily due to a decrease in legal fees and decreased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Interest and other income (expense), net in the three months ended March 31, 2017 decreased $1.8 million as compared to the three months ended March 31, 2016. The change in the fair value of the warrants decreased from an other expense of $1.2 million in the three months ended March 31, 2016 to $0.1 million in other income in the three months ended March 31, 2016. Other income (expense) increased $0.6 million primarily due to the value of commitment shares issued to Aspire Capital in 2017 (see Note 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4" w:right="239" w:bottom="1440" w:gutter="0" w:footer="0" w:header="0"/>
          <w:type w:val="continuous"/>
        </w:sectPr>
      </w:pPr>
    </w:p>
    <w:bookmarkStart w:id="66" w:name="page67"/>
    <w:bookmarkEnd w:id="66"/>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auto"/>
            </w:tcBorders>
            <w:gridSpan w:val="5"/>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3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(in thousands)</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Continuing Operations: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three months ended March 31, 2017, net cash used in operating activities was $2.2 million, which was primarily due to the use of funds for operations, and adjustments for non-cash items including the $0.1 million change in fair value of warrants and $0.2 million of stock based compensation expense, an increases in accounts payable of $0.2 million and inventory of $0.2 million.</w:t>
      </w:r>
    </w:p>
    <w:p>
      <w:pPr>
        <w:spacing w:after="0" w:line="181" w:lineRule="exact"/>
        <w:rPr>
          <w:sz w:val="20"/>
          <w:szCs w:val="20"/>
          <w:color w:val="auto"/>
        </w:rPr>
      </w:pPr>
    </w:p>
    <w:p>
      <w:pPr>
        <w:ind w:left="340" w:right="2100" w:firstLine="162"/>
        <w:spacing w:after="0" w:line="257" w:lineRule="auto"/>
        <w:rPr>
          <w:sz w:val="20"/>
          <w:szCs w:val="20"/>
          <w:color w:val="auto"/>
        </w:rPr>
      </w:pPr>
      <w:r>
        <w:rPr>
          <w:rFonts w:ascii="Arial" w:cs="Arial" w:eastAsia="Arial" w:hAnsi="Arial"/>
          <w:sz w:val="18"/>
          <w:szCs w:val="18"/>
          <w:color w:val="auto"/>
        </w:rPr>
        <w:t>During the three months ended March 31, 2016, net cash used in operating activities was $4.0 million, which was primarily due to the use of funds operations, including costs incurred to launch Serenz in the E.U., as well as adjustments for non-cash items including the $1.2 million change in fair value of warrants and $0.1 million of stock based compensation expense, offset by increases in accounts payable and accrued liabilities of $0.4 million and an increase in inventory of $0.1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three months ended March 31, 2017, we used $4 thousand in investing activities. Cash used in investing activities in the three months ended March 31, 2017 consisted primarily of investment in equipment.</w:t>
      </w:r>
    </w:p>
    <w:p>
      <w:pPr>
        <w:spacing w:after="0" w:line="170" w:lineRule="exact"/>
        <w:rPr>
          <w:sz w:val="20"/>
          <w:szCs w:val="20"/>
          <w:color w:val="auto"/>
        </w:rPr>
      </w:pPr>
    </w:p>
    <w:p>
      <w:pPr>
        <w:ind w:left="340" w:right="2560" w:firstLine="162"/>
        <w:spacing w:after="0" w:line="277" w:lineRule="auto"/>
        <w:rPr>
          <w:sz w:val="20"/>
          <w:szCs w:val="20"/>
          <w:color w:val="auto"/>
        </w:rPr>
      </w:pPr>
      <w:r>
        <w:rPr>
          <w:rFonts w:ascii="Arial" w:cs="Arial" w:eastAsia="Arial" w:hAnsi="Arial"/>
          <w:sz w:val="18"/>
          <w:szCs w:val="18"/>
          <w:color w:val="auto"/>
        </w:rPr>
        <w:t>During the three months ended March 31, 2016, we used $19 thousand. Cash used in investing activities in the three months ended March 31, 2016 consisted primarily of investment in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three months ended March 31, 2017 cash provided by financing activities was $10.0 million as a result of the completion of the concurrent financing associated with the Essentialis merger.</w:t>
      </w:r>
    </w:p>
    <w:p>
      <w:pPr>
        <w:spacing w:after="0" w:line="170" w:lineRule="exact"/>
        <w:rPr>
          <w:sz w:val="20"/>
          <w:szCs w:val="20"/>
          <w:color w:val="auto"/>
        </w:rPr>
      </w:pPr>
    </w:p>
    <w:p>
      <w:pPr>
        <w:ind w:left="340" w:right="2420" w:firstLine="81"/>
        <w:spacing w:after="0" w:line="277" w:lineRule="auto"/>
        <w:rPr>
          <w:sz w:val="20"/>
          <w:szCs w:val="20"/>
          <w:color w:val="auto"/>
        </w:rPr>
      </w:pPr>
      <w:r>
        <w:rPr>
          <w:rFonts w:ascii="Arial" w:cs="Arial" w:eastAsia="Arial" w:hAnsi="Arial"/>
          <w:sz w:val="18"/>
          <w:szCs w:val="18"/>
          <w:color w:val="auto"/>
        </w:rPr>
        <w:t>During the three months ended March 31, 2016 cash provided by financing activities was $5.0 million as a result of the second close under the Sabby Purchase Agreement.</w:t>
      </w:r>
    </w:p>
    <w:p>
      <w:pPr>
        <w:spacing w:after="0" w:line="6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we had cash and cash equivalents of approximately $10.5 million.</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we have sufficient capital resources, after considering the $10 million of financing that we received on March 7, 2017, to sustain operations through at least the next twelve months from the date of this filing.</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7" w:name="page68"/>
    <w:bookmarkEnd w:id="67"/>
    <w:p>
      <w:pPr>
        <w:ind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March 7, 2017, we completed the Merger with Essentialis. After the Merger with Essentialis, our primary focus is on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Essentialis has been developing DCCR as a treatment for Prader Willi Syndrome, or PWS, a complex metabolic/neurobehavioral disorder.</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continue to commercialize innovative medical devices to address unmet medical needs, although they are not our primary focus anymore and will likely be monetized in the future. We have two commercial products based on our proprietary technologies. Our most recent product to launch commercially is Serenz, a proprietary handheld device that gently cleanses nasal mucosa. A similar product, Serenz Allergy Relief, has a CE Mark in the E.U. and in the U.S., we have concluded that it is a Class I, 510(k) exempt device. Serenz is used only when needed, and does not need to be used on a regular basis. We are also selling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78" w:lineRule="exact"/>
        <w:rPr>
          <w:sz w:val="20"/>
          <w:szCs w:val="20"/>
          <w:color w:val="auto"/>
        </w:rPr>
      </w:pPr>
    </w:p>
    <w:p>
      <w:pPr>
        <w:ind w:right="480" w:firstLine="324"/>
        <w:spacing w:after="0" w:line="238" w:lineRule="auto"/>
        <w:rPr>
          <w:sz w:val="20"/>
          <w:szCs w:val="20"/>
          <w:color w:val="auto"/>
        </w:rPr>
      </w:pPr>
      <w:r>
        <w:rPr>
          <w:rFonts w:ascii="Arial" w:cs="Arial" w:eastAsia="Arial" w:hAnsi="Arial"/>
          <w:sz w:val="17"/>
          <w:szCs w:val="17"/>
          <w:color w:val="auto"/>
        </w:rPr>
        <w:t>We also market innovative pulmonary resuscitation solutions for the inpatient and ambulatory neonatal markets through our subsidiary, NFI. NFI’s primary product is the NeoPip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T-piece resuscitator and related consumable, which delivers consistent pre-set inspiratory pressure and positive end-expiratory pressures. Other products include temperature probes, scales, surgical tables and patient surfaces.</w:t>
      </w:r>
    </w:p>
    <w:p>
      <w:pPr>
        <w:spacing w:after="0" w:line="203"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Following the Merger with Essentialis, we initiated a comprehensive review of strategic alternatives for our legacy products and product candidates, including Serenz Nasal Relief, Serenz Allergy Relief, CoSense ETCO Monitor, and our portfolio of innovative pulmonary resuscitation solutions for the neonatal market.</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229"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channels (K</w:t>
      </w:r>
      <w:r>
        <w:rPr>
          <w:rFonts w:ascii="Arial" w:cs="Arial" w:eastAsia="Arial" w:hAnsi="Arial"/>
          <w:sz w:val="12"/>
          <w:szCs w:val="12"/>
          <w:color w:val="auto"/>
        </w:rPr>
        <w:t>ATP</w:t>
      </w:r>
      <w:r>
        <w:rPr>
          <w:rFonts w:ascii="Arial" w:cs="Arial" w:eastAsia="Arial" w:hAnsi="Arial"/>
          <w:sz w:val="17"/>
          <w:szCs w:val="17"/>
          <w:color w:val="auto"/>
        </w:rPr>
        <w:t>).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 Oral Suspension and Capsules, or Proglycem, were approved in 1976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584" w:right="279" w:bottom="1440" w:gutter="0" w:footer="0" w:header="0"/>
        </w:sectPr>
      </w:pPr>
    </w:p>
    <w:bookmarkStart w:id="68" w:name="page69"/>
    <w:bookmarkEnd w:id="68"/>
    <w:p>
      <w:pPr>
        <w:ind w:right="60"/>
        <w:spacing w:after="0" w:line="277" w:lineRule="auto"/>
        <w:rPr>
          <w:sz w:val="20"/>
          <w:szCs w:val="20"/>
          <w:color w:val="auto"/>
        </w:rPr>
      </w:pPr>
      <w:r>
        <w:rPr>
          <w:rFonts w:ascii="Arial" w:cs="Arial" w:eastAsia="Arial" w:hAnsi="Arial"/>
          <w:sz w:val="18"/>
          <w:szCs w:val="18"/>
          <w:color w:val="auto"/>
        </w:rPr>
        <w:t>patients tend to be older, with 50% of them over 70 years old. The average duration of use of Proglycem in CI and insulinoma patients is 5 years and 7 years, respectively.</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them suitable for once-a-day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Prader Willi Syndrome</w:t>
      </w:r>
    </w:p>
    <w:p>
      <w:pPr>
        <w:spacing w:after="0" w:line="22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8"/>
          <w:szCs w:val="18"/>
          <w:color w:val="auto"/>
        </w:rPr>
        <w:t>‑</w:t>
      </w:r>
      <w:r>
        <w:rPr>
          <w:rFonts w:ascii="Arial" w:cs="Arial" w:eastAsia="Arial" w:hAnsi="Arial"/>
          <w:sz w:val="18"/>
          <w:szCs w:val="18"/>
          <w:color w:val="auto"/>
        </w:rPr>
        <w:t xml:space="preserve">75% of the cases due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20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8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skin-picking, distress, mood lability,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target indication for DCCR is the treatment of PWS. Currently, the only approved treatment related to PWS is growth hormone, which only addresses the short stature and limits the accumulation of visceral fat, and may reduce hypotonia,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Physical function and body composition symptoms for which a high percentage of respondents indicated were very important or most important included: 92.9% of respondents indicated improving metabolic health (reduces fat / increases muscle) and 81.3% of respondents indicated the related symptom of improves activity and stamina. The behavioral and cognitive symptoms rated by respondents as very or most important were: 85.2% indicated reduction of obsessive/compulsive behavior, 84.6 of respondents indicated improvements to intellect/development, and 83.2% of respondents indicated reduction of temper outburst severity and frequency. See the Foundation for Prader-Willi Research. Prader-Willi Syndrome “Patient Voices” Online Survey and Results. 1-80. 2014</w:t>
      </w:r>
    </w:p>
    <w:p>
      <w:pPr>
        <w:spacing w:after="0" w:line="167"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Therefore, there is a clear unmet need in the treatment for PWS to reduce hyperphagia and improve behaviors around food, and to reduce other behavioral and cognitive impacts of this complex disease. In addition, improving metabolic health is also an important need.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of DCCR for PWS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84" w:right="279" w:bottom="1440" w:gutter="0" w:footer="0" w:header="0"/>
        </w:sectPr>
      </w:pPr>
    </w:p>
    <w:bookmarkStart w:id="69" w:name="page70"/>
    <w:bookmarkEnd w:id="69"/>
    <w:p>
      <w:pPr>
        <w:ind w:firstLine="324"/>
        <w:spacing w:after="0" w:line="287" w:lineRule="auto"/>
        <w:rPr>
          <w:sz w:val="20"/>
          <w:szCs w:val="20"/>
          <w:color w:val="auto"/>
        </w:rPr>
      </w:pPr>
      <w:r>
        <w:rPr>
          <w:rFonts w:ascii="Arial" w:cs="Arial" w:eastAsia="Arial" w:hAnsi="Arial"/>
          <w:sz w:val="16"/>
          <w:szCs w:val="16"/>
          <w:color w:val="auto"/>
        </w:rPr>
        <w:t>A pilot study has been conducted to evaluate the safety and preliminary efficacy if DCCR in the treatment of PWS subjects. This study, PC025, was a single-center, randomized withdrawal study and enrolled 13 overweight and obese subjects with genetically-confirmed PWS who were between the ages of 10 and 22. The first phase of the study was open label during which subjects were initiated on a DCCR dose target that escalated every 14 days at the discretion of the investigator. Any subject who showed an increase in resting energy expenditure and/or a reduction in hyperphagia from baseline at certain predetermined intervals would be designated a responder, whereas all others would be designated non-responders. This open-label treatment phase was followed by randomized double-blind, placebo-controlled withdrawal phase. Responders were randomized in a 1:1 ratio either to continue on active treatment at the dose they were treated with on the same predetermined day, or to the placebo equivalent of that dose for an additional period of time. Of the 13 subjects who enrolled, 11 were designated as responders; the remaining two subjects had discontinued prematurely. After 10 weeks of open-label treatment, there was a 32% reduction in hyperphagia, as assessed by a modified multi-item questionnaire. The improvement in hyperphagia in those who were randomized to DCCR in the double-blind phase persisted through more than 3 months of treatment. Statistically significant reductions from in total cholesterol, LDL cholesterol, and non-HDL cholesterol were observed. The change in triglycerides, while marked, did not reach statistical significance. There was a statistically significant improvement in aggressive, threatening and destructive behaviors.</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the therapeutic effects on hyperphagia, aggressive behaviors and cardiovascular risk, treatment of PWS patients with DCCR resulted in a range of metabolic responses. These included highly significant reductions in body fat, increases in lean body mass, and in the lean body mass/fat mass ratio. Treated subjects showed statistically significant reductions in waist circumference, suggestive of a loss of visceral fat. PWS subjects treated with DCCR for 6 months, on average, lost 7.3% of body mass, with a parallel loss of body fat.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Many of the adverse events were common medical complications of PWS including ear and respiratory infections, hypersomnia, peripheral edema, skin picking and constipation. The most common adverse events that occurred during the study included upper respiratory tract infections; hyperglycemia/glucose intolerance; bruises, scrapes and scratches; headache; hypersomnia; constipation or a worsening of constipation; ear infection; peripheral edema; and worsening of peripheral edema.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22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DCCR is being developed in the U.S. under a current IND. A general scientific advice meeting is planned for the second quarter of 2017. Scientific advice from the European Medicines Agency, or EMA, is planned for later this year. Orphan drug designation for DCCR for the treatment of PWS was granted on May 14, 2014, and an orphan drug designation application to the EMA is anticipated to be submitted in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criteria for qualification for orphan drug designation by EMA differs slightly from that in the U.S.:</w:t>
      </w:r>
    </w:p>
    <w:p>
      <w:pPr>
        <w:spacing w:after="0" w:line="279"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must be intended for the treatment, prevention or diagnosis of a disease that is life-threatening or chronically debilitating;</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prevalence of the condition in the E.U. must not be more than 5 in 10,000 or it must be unlikely that marketing of the medicine would generate sufficient returns to justify the investment needed for its development; and</w:t>
      </w:r>
    </w:p>
    <w:p>
      <w:pPr>
        <w:spacing w:after="0" w:line="62"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satisfactory method of diagnosis, prevention or treatment of the condition concerned can be authorized, or, if such a method exists, the medicine must be of significant benefit to those affected by the condition.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are today about 7,500 identified patients with PWS in the U.S. The numbers of identified PWS patients is growing at a rate that is higher than the rate of general population because of improved rates of diagnosis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It is estimated that that there may be as many as 11,000 identified patients in Europe and about 2,000 in Japan. We anticipate that DCCR could be the first effective treatment for hyperphagia in PWS to reach the market both in the U.S. and Europe, and would therefore be likely to be used in a large proportion of patients.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Newly diagnosed PWS patients tend to be treated by a multi-disciplinary team led by a pediatric endocrinologist. Many patients receive care at larger clinics devoted to PWS in university associated hospitals or at children’s hospitals. This concentration of care allows us to consider marketing DCCR without a partner by assembling a small dedicated salesforce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584" w:right="279" w:bottom="1440" w:gutter="0" w:footer="0" w:header="0"/>
        </w:sectPr>
      </w:pPr>
    </w:p>
    <w:bookmarkStart w:id="70" w:name="page71"/>
    <w:bookmarkEnd w:id="70"/>
    <w:p>
      <w:pPr>
        <w:ind w:right="140"/>
        <w:spacing w:after="0" w:line="277" w:lineRule="auto"/>
        <w:rPr>
          <w:sz w:val="20"/>
          <w:szCs w:val="20"/>
          <w:color w:val="auto"/>
        </w:rPr>
      </w:pPr>
      <w:r>
        <w:rPr>
          <w:rFonts w:ascii="Arial" w:cs="Arial" w:eastAsia="Arial" w:hAnsi="Arial"/>
          <w:sz w:val="18"/>
          <w:szCs w:val="18"/>
          <w:color w:val="auto"/>
        </w:rPr>
        <w:t>target the handful of major PWS treatment centers in the U.S. In contrast to the situation in the U.S., we are likely to need to identify a marketing partner for DCCR in Europe, Japan, and the rest of the world.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60" w:firstLine="324"/>
        <w:spacing w:after="0" w:line="226" w:lineRule="auto"/>
        <w:rPr>
          <w:sz w:val="20"/>
          <w:szCs w:val="20"/>
          <w:color w:val="auto"/>
        </w:rPr>
      </w:pPr>
      <w:r>
        <w:rPr>
          <w:rFonts w:ascii="Arial" w:cs="Arial" w:eastAsia="Arial" w:hAnsi="Arial"/>
          <w:sz w:val="18"/>
          <w:szCs w:val="18"/>
          <w:color w:val="auto"/>
        </w:rPr>
        <w:t>Currently, the only approved product for PWS is Genotropin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(somatropin) and is approved only for growth failure due to PWS. There are no approved products to address the hyperphagia and behaviors associated with PWS, or for any other abnormalities associated with the disease. Several products are under development for the treatment of PWS, including for hyperphagia, and are summarized below:</w:t>
      </w:r>
    </w:p>
    <w:p>
      <w:pPr>
        <w:spacing w:after="0" w:line="117"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322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Product / Company</w:t>
            </w:r>
          </w:p>
        </w:tc>
        <w:tc>
          <w:tcPr>
            <w:tcW w:w="580" w:type="dxa"/>
            <w:vAlign w:val="bottom"/>
            <w:tcBorders>
              <w:top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Status</w:t>
            </w:r>
          </w:p>
        </w:tc>
        <w:tc>
          <w:tcPr>
            <w:tcW w:w="54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Target (symptom or physiologic target)</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Peripheral Endocannabinoid (CB1R</w:t>
            </w: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blocker)</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Nonclinical</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Decrease activity of endocannabinoid system to decrease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gridSpan w:val="2"/>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Setmelanotide (RM-493) / Rhythym</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Phase 2 Completed Q4 2016, results</w:t>
            </w: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Pharmaceuticals</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not yet reported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Bypasses proposed POMC neuron defect</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Unacylated ghrelin to decrease the hunger-inducing effects of acylated</w:t>
            </w: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AZP-531 / Alizé Pharma</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 in XX</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ghrelin</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gridSpan w:val="2"/>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Tesomet / Saniona</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Phase 2a Initiated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 tesofensine and metoprolol to induce weight loss</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Cannabidoil (CBD) oral solution / Insys</w:t>
            </w: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Therapeutics</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Planned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Suppresses appetite &amp; reduce anxiety</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Binds to oxytocin receptors, regulates trust, emotions, with minor effect</w:t>
            </w: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Oxytocin / Investigator-sponsored</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Phase 1 and 2 Ongoing</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Carbetocin (Intranasal), FE992097 / Levo</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w:t>
            </w:r>
          </w:p>
        </w:tc>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5"/>
              </w:rPr>
              <w:t>Binds to oxytocin receptors, regulates trust, emotions, with minor effect</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vMerge w:val="continue"/>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w w:val="84"/>
              </w:rPr>
              <w:t>Phase 3</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Pending</w:t>
            </w:r>
          </w:p>
        </w:tc>
        <w:tc>
          <w:tcPr>
            <w:tcW w:w="5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Therapeutics</w:t>
            </w:r>
          </w:p>
        </w:tc>
        <w:tc>
          <w:tcPr>
            <w:tcW w:w="580" w:type="dxa"/>
            <w:vAlign w:val="bottom"/>
            <w:vMerge w:val="continue"/>
          </w:tcPr>
          <w:p>
            <w:pPr>
              <w:spacing w:after="0"/>
              <w:rPr>
                <w:sz w:val="20"/>
                <w:szCs w:val="20"/>
                <w:color w:val="auto"/>
              </w:rPr>
            </w:pPr>
          </w:p>
        </w:tc>
        <w:tc>
          <w:tcPr>
            <w:tcW w:w="2140" w:type="dxa"/>
            <w:vAlign w:val="bottom"/>
            <w:tcBorders>
              <w:right w:val="single" w:sz="8" w:color="auto"/>
            </w:tcBorders>
            <w:vMerge w:val="continue"/>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Serenz Nasal Relief</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AR, which is commonly and colloquially referred to as “allergies,” is characterized by symptoms that are often episodic and include nasal congestion, itching, sneezing and runny nose. It is one of the most common ailments in the western world and is growing rapidly, making AR one of the largest potential pharmaceutical markets. There are approximately 50 million sufferers in the U.S. and 48 million in France, Germany, Italy, Spain and the United Kingdom, and an additional 36 million in Japan, according to research firm GlobalData. Prevalence of AR is growing rapidly in the developed world. The most common AR drug therapies include antihistamines and intranasal steroids. Leukotriene inhibitors and other drugs are also currently prescribed to AR patients. Several of these drugs have generated sales in excess of $1 billion per year as branded products. However, these products have significant limitations and AR sufferers remain dissatisfied with the available treatments. Thus, there is a need for a more effective treatment with a faster onset of action and improved safety profile.</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Serenz is based upon the observation that non-inhaled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delivered at a low-flow rate to rinse the nasal cavity, alleviates the symptoms of AR by</w:t>
      </w:r>
    </w:p>
    <w:p>
      <w:pPr>
        <w:spacing w:after="0" w:line="4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cleansing the nasal mucosa. Serenz is a convenient, hand-held device that contains a pressurized canister of gas, with approximately enough gas to dose as-needed for one to two weeks. The device is disposable and engineered for ease of use. Our proprietary technology ensures precise control of aspects such as flow rate, which we believe is critical to achieve the desired clinical performance.In our clinical trials to date, Serenz has shown a statistically significant effect within 30 minutes and is well-tolerated. We believe that Serenz to be a potential first-line product for any AR sufferer. Contrary to dosing with commonly used medications such as antihistamines and nasal steroids, which must be dosed on a regular basis regardless of the presence of symptoms, Serenz is used on an as-needed basis and only when symptoms are present. Other nasal rinses may be used on an as-needed basis. However, other available powered nasal irrigators require an external power source and a place for the nasal rinse solution to drain. Therefore they may not be ideal for use in a location other than at home or in a restroom.</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clinical trials to date, we believe Serenz exhibits the ideal characteristics of an AR product, including: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sectPr>
      </w:pPr>
    </w:p>
    <w:bookmarkStart w:id="71" w:name="page72"/>
    <w:bookmarkEnd w:id="71"/>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Rapid relief</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Relief from all nasal congestion, sneezing and itchy/runny nose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Tolerant side effect profile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Acts locally in the nasal cavity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Non-steroidal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known long-lasting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Usable on an as-needed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Compact, handheld design</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 of Serenz in Allergic Rhinitis</w:t>
      </w:r>
    </w:p>
    <w:p>
      <w:pPr>
        <w:spacing w:after="0" w:line="18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conducted six randomized, controlled clinical trials involving 975 patients, testing the safety and effectiveness of nasal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in relieving the symptoms of AR. Four of these clinical trials were in patients with seasonal AR, or SAR, and two of these clinical trials was in patients with perennial AR, or PAR. In addition, GlaxoSmithKline conducted a trial in 147 patients to assess the consumer appeal of Serenz for patients with nasal congestion. The trials using the as-needed approach showed statistically significant and clinically meaningful effects in both SAR and PAR. The effect is seen on each of the individual nasal and non-nasal symptoms, with as little as a 10 second per nostril application of Serenz. Given the rapid onset and generally mild side effect profile, we believe Serenz is ideally suited for marketing to patients for use on an as-needed basis.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As-Needed Only Use Paradigm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As-needed use of Serenz is supported by the following studies:</w:t>
      </w:r>
    </w:p>
    <w:p>
      <w:pPr>
        <w:spacing w:after="0" w:line="279" w:lineRule="exact"/>
        <w:rPr>
          <w:sz w:val="20"/>
          <w:szCs w:val="20"/>
          <w:color w:val="auto"/>
        </w:rPr>
      </w:pPr>
    </w:p>
    <w:p>
      <w:pPr>
        <w:ind w:left="1300" w:right="12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SAR-2005-This was the first randomized, placebo-controlled trial in subjects with SAR. Symptomatic subjects used a single application of active (nasal CO</w:t>
      </w:r>
      <w:r>
        <w:rPr>
          <w:rFonts w:ascii="Arial" w:cs="Arial" w:eastAsia="Arial" w:hAnsi="Arial"/>
          <w:sz w:val="12"/>
          <w:szCs w:val="12"/>
          <w:color w:val="auto"/>
        </w:rPr>
        <w:t>2</w:t>
      </w:r>
      <w:r>
        <w:rPr>
          <w:rFonts w:ascii="Arial" w:cs="Arial" w:eastAsia="Arial" w:hAnsi="Arial"/>
          <w:sz w:val="18"/>
          <w:szCs w:val="18"/>
          <w:color w:val="auto"/>
        </w:rPr>
        <w:t>) or placebo 60 sec/nostril one time. Symptoms were measured just before and at several time points after the treatment. Statistically significant improvements in symptoms were noted as early as 10 minutes.</w:t>
      </w:r>
    </w:p>
    <w:p>
      <w:pPr>
        <w:spacing w:after="0" w:line="73" w:lineRule="exact"/>
        <w:rPr>
          <w:rFonts w:ascii="Arial" w:cs="Arial" w:eastAsia="Arial" w:hAnsi="Arial"/>
          <w:sz w:val="18"/>
          <w:szCs w:val="18"/>
          <w:color w:val="auto"/>
        </w:rPr>
      </w:pPr>
    </w:p>
    <w:p>
      <w:pPr>
        <w:ind w:left="1300" w:right="20" w:hanging="644"/>
        <w:spacing w:after="0" w:line="29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C211 (PAR)-This was a randomized, placebo-controlled trial in subjects with PAR. Symptomatic subjects used a single application of active or placebo. Subjects were assigned to one of six arms: CO</w:t>
      </w:r>
      <w:r>
        <w:rPr>
          <w:rFonts w:ascii="Arial" w:cs="Arial" w:eastAsia="Arial" w:hAnsi="Arial"/>
          <w:sz w:val="11"/>
          <w:szCs w:val="11"/>
          <w:color w:val="auto"/>
        </w:rPr>
        <w:t>2</w:t>
      </w:r>
      <w:r>
        <w:rPr>
          <w:rFonts w:ascii="Arial" w:cs="Arial" w:eastAsia="Arial" w:hAnsi="Arial"/>
          <w:sz w:val="16"/>
          <w:szCs w:val="16"/>
          <w:color w:val="auto"/>
        </w:rPr>
        <w:t xml:space="preserve"> at 5 mL/sec for 10 sec/nostril, CO</w:t>
      </w:r>
      <w:r>
        <w:rPr>
          <w:rFonts w:ascii="Arial" w:cs="Arial" w:eastAsia="Arial" w:hAnsi="Arial"/>
          <w:sz w:val="11"/>
          <w:szCs w:val="11"/>
          <w:color w:val="auto"/>
        </w:rPr>
        <w:t>2</w:t>
      </w:r>
      <w:r>
        <w:rPr>
          <w:rFonts w:ascii="Arial" w:cs="Arial" w:eastAsia="Arial" w:hAnsi="Arial"/>
          <w:sz w:val="16"/>
          <w:szCs w:val="16"/>
          <w:color w:val="auto"/>
        </w:rPr>
        <w:t xml:space="preserve"> at 10 mL/sec for 10 sec/nostril, CO</w:t>
      </w:r>
      <w:r>
        <w:rPr>
          <w:rFonts w:ascii="Arial" w:cs="Arial" w:eastAsia="Arial" w:hAnsi="Arial"/>
          <w:sz w:val="11"/>
          <w:szCs w:val="11"/>
          <w:color w:val="auto"/>
        </w:rPr>
        <w:t>2</w:t>
      </w:r>
      <w:r>
        <w:rPr>
          <w:rFonts w:ascii="Arial" w:cs="Arial" w:eastAsia="Arial" w:hAnsi="Arial"/>
          <w:sz w:val="16"/>
          <w:szCs w:val="16"/>
          <w:color w:val="auto"/>
        </w:rPr>
        <w:t xml:space="preserve"> at</w:t>
      </w:r>
    </w:p>
    <w:p>
      <w:pPr>
        <w:jc w:val="both"/>
        <w:ind w:left="1300" w:right="260"/>
        <w:spacing w:after="0" w:line="302" w:lineRule="auto"/>
        <w:rPr>
          <w:rFonts w:ascii="Arial" w:cs="Arial" w:eastAsia="Arial" w:hAnsi="Arial"/>
          <w:sz w:val="16"/>
          <w:szCs w:val="16"/>
          <w:color w:val="auto"/>
        </w:rPr>
      </w:pPr>
      <w:r>
        <w:rPr>
          <w:rFonts w:ascii="Arial" w:cs="Arial" w:eastAsia="Arial" w:hAnsi="Arial"/>
          <w:sz w:val="16"/>
          <w:szCs w:val="16"/>
          <w:color w:val="auto"/>
        </w:rPr>
        <w:t>5 mL/sec for 30 sec/nostril, CO</w:t>
      </w:r>
      <w:r>
        <w:rPr>
          <w:rFonts w:ascii="Arial" w:cs="Arial" w:eastAsia="Arial" w:hAnsi="Arial"/>
          <w:sz w:val="11"/>
          <w:szCs w:val="11"/>
          <w:color w:val="auto"/>
        </w:rPr>
        <w:t>2</w:t>
      </w:r>
      <w:r>
        <w:rPr>
          <w:rFonts w:ascii="Arial" w:cs="Arial" w:eastAsia="Arial" w:hAnsi="Arial"/>
          <w:sz w:val="16"/>
          <w:szCs w:val="16"/>
          <w:color w:val="auto"/>
        </w:rPr>
        <w:t xml:space="preserve"> at 10 mL/sec for 30 sec/nostril, placebo for 10 sec/nostril, and placebo for 30 sec/nostril in a 2:2:2:2:1:1 ratio. Symptoms were measured just before and at several time points after use. Statistically significant improvements in symptoms were noted at 30 minutes in the CO</w:t>
      </w:r>
      <w:r>
        <w:rPr>
          <w:rFonts w:ascii="Arial" w:cs="Arial" w:eastAsia="Arial" w:hAnsi="Arial"/>
          <w:sz w:val="11"/>
          <w:szCs w:val="11"/>
          <w:color w:val="auto"/>
        </w:rPr>
        <w:t>2</w:t>
      </w:r>
      <w:r>
        <w:rPr>
          <w:rFonts w:ascii="Arial" w:cs="Arial" w:eastAsia="Arial" w:hAnsi="Arial"/>
          <w:sz w:val="16"/>
          <w:szCs w:val="16"/>
          <w:color w:val="auto"/>
        </w:rPr>
        <w:t xml:space="preserve"> at 10 mL/sec for 10 sec/nostril group. There was sustained (4-6 hours) relief of symptoms in this arm.</w:t>
      </w:r>
    </w:p>
    <w:p>
      <w:pPr>
        <w:spacing w:after="0" w:line="47" w:lineRule="exact"/>
        <w:rPr>
          <w:rFonts w:ascii="Arial" w:cs="Arial" w:eastAsia="Arial" w:hAnsi="Arial"/>
          <w:sz w:val="16"/>
          <w:szCs w:val="16"/>
          <w:color w:val="auto"/>
        </w:rPr>
      </w:pPr>
    </w:p>
    <w:p>
      <w:pPr>
        <w:ind w:left="1300" w:right="60" w:hanging="644"/>
        <w:spacing w:after="0" w:line="276"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C216 (SAR)-This was the first multi-application, randomized, placebo-controlled trial in which the nasal CO</w:t>
      </w:r>
      <w:r>
        <w:rPr>
          <w:rFonts w:ascii="Arial" w:cs="Arial" w:eastAsia="Arial" w:hAnsi="Arial"/>
          <w:sz w:val="11"/>
          <w:szCs w:val="11"/>
          <w:color w:val="auto"/>
        </w:rPr>
        <w:t>2</w:t>
      </w:r>
      <w:r>
        <w:rPr>
          <w:rFonts w:ascii="Arial" w:cs="Arial" w:eastAsia="Arial" w:hAnsi="Arial"/>
          <w:sz w:val="17"/>
          <w:szCs w:val="17"/>
          <w:color w:val="auto"/>
        </w:rPr>
        <w:t xml:space="preserve"> device was used as needed in subjects with SAR. Subjects applied active or placebo 10 sec/nostril only as needed up to six times a day for 14 days. Symptoms were measured just before and at 30 minutes after each use during the 14-day study period. Statistically significant improvements (p&lt;0.0001) in symptoms were noted at 30 minutes after each use during the 14-day treatment period. These results show that the nasal CO</w:t>
      </w:r>
      <w:r>
        <w:rPr>
          <w:rFonts w:ascii="Arial" w:cs="Arial" w:eastAsia="Arial" w:hAnsi="Arial"/>
          <w:sz w:val="11"/>
          <w:szCs w:val="11"/>
          <w:color w:val="auto"/>
        </w:rPr>
        <w:t>2</w:t>
      </w:r>
      <w:r>
        <w:rPr>
          <w:rFonts w:ascii="Arial" w:cs="Arial" w:eastAsia="Arial" w:hAnsi="Arial"/>
          <w:sz w:val="17"/>
          <w:szCs w:val="17"/>
          <w:color w:val="auto"/>
        </w:rPr>
        <w:t xml:space="preserve"> device is effective for the as needed use of SAR symptoms. The effect is rapid and the effect size is large.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Scheduled Dosing Studies with Serenz</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Other studies conducted for AR have evaluated the more traditional paradigm of scheduled dosing. Effectiveness measurements in these studies, based on a Guidance Document published by the FDA, are recorded in the morning and evening, regardless of the time of the treatment or pre-treatment symptoms. These measurements therefore reflect the overall symptomatic relief during the day as opposed to measuring the true effect of a treatment. Measurement of post-treatment scores in this scheduled dosing paradigm show the efficacy to be predictably lacking since pre-treatment scores are low (subjects treat when they are scheduled to, regardless of whether they need to based on presence or absence symptoms).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of Serenz</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ind w:right="40" w:firstLine="324"/>
        <w:spacing w:after="0" w:line="264" w:lineRule="auto"/>
        <w:rPr>
          <w:sz w:val="20"/>
          <w:szCs w:val="20"/>
          <w:color w:val="auto"/>
        </w:rPr>
      </w:pPr>
      <w:r>
        <w:rPr>
          <w:rFonts w:ascii="Arial" w:cs="Arial" w:eastAsia="Arial" w:hAnsi="Arial"/>
          <w:sz w:val="18"/>
          <w:szCs w:val="18"/>
          <w:color w:val="auto"/>
        </w:rPr>
        <w:t>There were no application-related or device-related serious adverse events in any of the clinical trials conducted. Adverse events were generally mild and application-related, and resolved immediately upon cessation of application. The most common adverse events were transient nasal sensation and tearing of the eyes, or lacrimation, that lasted for the duration of the application only.</w:t>
      </w:r>
    </w:p>
    <w:p>
      <w:pPr>
        <w:spacing w:after="0" w:line="181"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The nasal sensation commonly encountered during these clinical trials was described by patients differently, and ranges from tingling to burning to pain. We also observed that these sensations were generally not severe enough for patients to discontinue use of nasal CO</w:t>
      </w:r>
      <w:r>
        <w:rPr>
          <w:rFonts w:ascii="Arial" w:cs="Arial" w:eastAsia="Arial" w:hAnsi="Arial"/>
          <w:sz w:val="20"/>
          <w:szCs w:val="20"/>
          <w:color w:val="auto"/>
          <w:vertAlign w:val="subscript"/>
        </w:rPr>
        <w:t>2</w:t>
      </w:r>
      <w:r>
        <w:rPr>
          <w:rFonts w:ascii="Arial" w:cs="Arial" w:eastAsia="Arial" w:hAnsi="Arial"/>
          <w:sz w:val="17"/>
          <w:szCs w:val="17"/>
          <w:color w:val="auto"/>
        </w:rPr>
        <w:t>, and for more than 1,000 patients treated in all of the AR clinical trials, only six patients discontinued use of nasal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due to an adverse event. We believe that these clinical trials provide evidence that gentle cleansing of the nasal mucosa with Serenz is safe, acts locally and provides rapid relief of allergy symptoms.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Serenz Regulatory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CE Mark certification for Serenz Allergy Relief.</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the U.S., we have concluded that Serenz Nasal Relief is a Class I, 510(k) exempt device. The device meets U.S. FDA regulations as a class 1 medical device (i.e., not a pharmaceutical) and is 510(k) exempt in the United States (Product Code, KMA; Regulation Number, 21 CFR 874.5550, Powered Nasal Irrigator). The following intended use of the Serenz Nasal Relief device is consistent with 21 CFR 874.5550 which identifies powered nasal irrigators as “… powered device intended to wash the nasal cavity…”</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Serenz Nasal Relief is intended to irrigate and wash the nasal cavity with a controlled flow of carbon dioxide. The wash is intended to provide rapid relief for adults experiencing nasal allergy symptoms such as stuffy, runny or itchy nose or sneezing.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2017, we initiated the pilot launch of Serenz Nasal Relief in the U.S.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 xml:space="preserve">As part of this pilot launch, a product-specific website, </w:t>
      </w:r>
      <w:r>
        <w:rPr>
          <w:rFonts w:ascii="Arial" w:cs="Arial" w:eastAsia="Arial" w:hAnsi="Arial"/>
          <w:sz w:val="18"/>
          <w:szCs w:val="18"/>
          <w:color w:val="0000FF"/>
        </w:rPr>
        <w:t>www.serenz.com</w:t>
      </w:r>
      <w:r>
        <w:rPr>
          <w:rFonts w:ascii="Arial" w:cs="Arial" w:eastAsia="Arial" w:hAnsi="Arial"/>
          <w:sz w:val="18"/>
          <w:szCs w:val="18"/>
          <w:color w:val="auto"/>
        </w:rPr>
        <w:t xml:space="preserve">, was developed to provide information about Serenz Nasal Relief. This website also contains an eCommerce platform for consumer purchases of Serenz Nasal Relief. For the pilot launch, Serenz Nasal Relief can only be purchased online at </w:t>
      </w:r>
      <w:r>
        <w:rPr>
          <w:rFonts w:ascii="Arial" w:cs="Arial" w:eastAsia="Arial" w:hAnsi="Arial"/>
          <w:sz w:val="18"/>
          <w:szCs w:val="18"/>
          <w:color w:val="0000FF"/>
        </w:rPr>
        <w:t>www.serenz.com</w:t>
      </w:r>
      <w:r>
        <w:rPr>
          <w:rFonts w:ascii="Arial" w:cs="Arial" w:eastAsia="Arial" w:hAnsi="Arial"/>
          <w:sz w:val="18"/>
          <w:szCs w:val="18"/>
          <w:color w:val="auto"/>
        </w:rPr>
        <w:t>. We anticipate that online sales will commence in April 2017.</w:t>
      </w:r>
    </w:p>
    <w:p>
      <w:pPr>
        <w:spacing w:after="0" w:line="181"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Using the knowledge that we acquire during the spring 2017 pilot launch, such as understanding the cost and timing of customer acquisition, lead conversion rates, customer retention and repurchase patterns, as well as the role and effectiveness of social media, we will plan the next steps for commercializing Serenz Nasal Relief in the fall of 2017 allergy season.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Roughly 50 million people in the U.S. suffer from nasal allergies. Americans spend as much as $4.5 billion annually on medications and doctor visits to treat their allergies, about half of which is spent on medications. Seventy percent of AR sufferers (roughly 35 million) treat their symptoms with prescription or OTC products. There has been an increasing shift since 2014 in the transfer of prescription AR products to OTC status, which has driven patients to pharmacies to self-medicate rather than to physician offices.</w:t>
      </w:r>
    </w:p>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Recent prescription-to-OTC switches for AR include budesonide (Rhinocort) in 2015, fluticasone propionate (Flonase) in 2014, and triamcinolone acetonide (Nasacort) in 2014. A month’s supply will cost from $15 to $25 depending on brand and distributor/ pharmacy.</w:t>
      </w:r>
    </w:p>
    <w:p>
      <w:pPr>
        <w:spacing w:after="0" w:line="1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One Serenz device contains enough gas for approximately 20 washes, which we believe will last on average of one to two weeks, depending on frequency of use. Our current pricing is $29.50, which is priced it at a premium compared to existing products for AR due to the benefits we believe the product provides to patients over such products.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OTC products are competition for Serenz Nasal Relief such as Rhinocort, Flonase, Nasacort, nasal washes such as Sinus Rinse, SinuPulse Elite and Nasaline.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CoSense</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CoSense was our first Sensalyze Technology Platform product to receive 510(k) clearance from the FDA and CE Mark certification. CoSense measures CO, which can be elevated due to endogenous causes such as excessive breakdown of red blood cells, or hemolysis, or exogenous causes such as CO poisoning and smoke inhalation. Our first target market is for the use of ETCO measurements to aid in detection of hemolysis in neonates, a disorder in which CO and bilirubin are produced in excess as byproducts of the breakdown of red blood cells.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Hemolysis and Bilirubin</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estimate that approximately one third of the 9.2 million newborns in the U.S. and E.U. each year are at risk for hemolysis under current practice, representing approximately 3.1 million newborns. When treatment is required, it is usually via phototherapy, which typically involves isolating the baby in a chamber that directs blue-wavelength light to the baby’s skin. The light penetrates the skin and breaks down bilirubin via a photochemical reaction over a period of several hours. When treatment is performed in a timely fashion, adverse outcomes can be avoided. Some neonates with jaundice, however, will develop adverse neurodevelopmental outcomes related to hyperbilirubinemia if not properly treated.</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Agency for Healthcare Research and Quality, part of the U.S. Department of Health and Human Services, neonatal jaundice is the single largest cause for hospital readmission of neonates in the U.S. This results in inefficient care and can also be highly stressful and disruptive for the parents and neonate.</w:t>
      </w:r>
    </w:p>
    <w:p>
      <w:pPr>
        <w:spacing w:after="0" w:line="18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Exposure to excess bilirubin in the central nervous system as a result of hyperbilirubinemia is toxic and may cause long-term developmental disabilities. These abnormalities may be subtle, and include hearing problems and low IQ. Subtle forms of disability are known as Bilirubin-Induced Neurological Dysfunction, or BIND. More severe bilirubin-induced disabilities, including respiratory failure and resulting death, can be referred to as Acute Bilirubin Encephalopathy, or ABE. Bilirubin toxicity can ultimately result in a chronic, severe, and disabling condition called kernicterus. Kernicterus is a cerebral palsy-like condition in which the patient lacks muscle tone and motor control, cannot operate self-sufficiently, and typically requires long-term care. The National Quality Forum has in the past described kernicterus as a “never event,” one which physicians should ensure never occurs in their practice.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of Current Diagnostic Methods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It has been reported in peer-reviewed publications that the presence of hemolysis in a neonate with jaundice is a predictor of adverse neurodevelopmental outcomes. If neonates with high rates of hemolysis could be identified before they are discharged from the hospital, treatment could begin earlier, exposure to excessive bilirubin would be minimized and readmissions for jaundice would be reduced. Prior to the introduction of CoSense accurate tools for diagnosing hemolysis in neonates were not available in the market. Tests that are commonly performed to assess hemolysis such as serial hematocrit levels, reticulocyte counts, Coombs test and peripheral smear, are all invasive blood tests, involving painful heel sticks to draw the blood and are less useful in neonates due to physiologic changes resulting from childbirth.</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CoSense: FDA 510(k) Clearance and CE Mark Certification</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CoSense, our first Sensalyze Technology Platform product to receive 510(k) clearance from the FDA and CE Mark certification, is a monitor of ETCO. CO is a direct byproduct of hemolysis, and based on extensive published data such as that from Stanford University, the rate of bilirubin production can be measured by analyzing the concentration of CO in a neonate’s exhaled breath.</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CoSense is a point-of-care device that consists of a light-weight, portable monitoring device and a single-use nasal cannula, which we refer to as our Precision Sampling Set, or PSS. The PSS is placed just inside the nostril of the patient and is connected to the device. The CoSense device is turned on and acquires the breath signal while the patient breathes. Appropriate sample acquisition takes an average of 30 seconds. The PSS can then be removed from the patient and the device takes another four minutes to report the test result.</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AAP recommends the use of ETCO monitoring for the detection of hemolysis. We believe ETCO monitoring will enable more rapid and appropriate treatment decisions and reduce overall costs of patient care. However, there is currently no device on the market other than CoSense that effectively measures ETCO in neonates.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4" w:name="page75"/>
    <w:bookmarkEnd w:id="74"/>
    <w:p>
      <w:pPr>
        <w:jc w:val="both"/>
        <w:ind w:right="380" w:firstLine="324"/>
        <w:spacing w:after="0" w:line="264" w:lineRule="auto"/>
        <w:rPr>
          <w:sz w:val="20"/>
          <w:szCs w:val="20"/>
          <w:color w:val="auto"/>
        </w:rPr>
      </w:pPr>
      <w:r>
        <w:rPr>
          <w:rFonts w:ascii="Arial" w:cs="Arial" w:eastAsia="Arial" w:hAnsi="Arial"/>
          <w:sz w:val="18"/>
          <w:szCs w:val="18"/>
          <w:color w:val="auto"/>
        </w:rPr>
        <w:t>Seven investigator-sponsored clinical trials have been performed to validate the ability of CoSense to detect the presence of hemolysis. Four of these were performed in neonates. One was performed in neonates and children up to 17 years old. Two were performed in children with sickle cell anemia, or SCA, a disease which results in chronic hemolysis.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 pilot clinical trial at Stanford University, a bench to bedside evaluation of CoSense was undertaken to identify hemolysis in neonates, and to correlate ETCO levels with bilirubin production as defined by levels of carboxyhemoglobin, or COHb, in the blood. A strong linear correlation between COHb and ETCO was seen (r= 0.93), confirming that ETCO values with CoSense accurately measure bilirubin production and therefore hemolysis. The results were published in an article titled, “Evaluation of a new end-tidal carbon monoxide monitor from the bench to the bedside,” in Acta Paediatrica 2015.</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ability of CoSense to identify hemolysis in neonates with significant hyperbilirubinemia was evaluated at The Children’s Hospital of Zhejiang University School of Medicine in Hangzhou, China. The data from the study showed that ETCO measurement with CoSense can provide the physician with similar information to that currently provided by invasive blood tests regarding the patient’s hemolytic status, but with a simple, non-invasive breath test.</w:t>
      </w:r>
    </w:p>
    <w:p>
      <w:pPr>
        <w:spacing w:after="0" w:line="147"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a clinical trial at Children’s Hospital &amp; Research Center in Oakland, California, ETCO concentration was measured in children with SCA, who are known to have chronic hemolysis, using CoSense. The data from this trial showed that CoSense may be useful to monitor the rate of hemolysis in children with SCA. This results from this study were published in an article titled, “Point-of-care end-tidal carbon monoxide reflects severity of hemolysis in sickle cell anemia,” in Pediatric Blood &amp; Cancer 2015.</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Recently, another clinical trial was conducted at Children’s Hospital &amp; Research Center in Oakland, California and UCSF Benioff Children’s Hospital, in SCD subjects ages 2 to18 years old and age-matched controls to validate the accuracy of a CoSense device that had an extended temperature operating range and to determine if the modified device could differentiate between children with sickle cell disease and healthy controls. This study showed that the modified CoSense device provided a reliable detection of hemolysis in the sickle cell subjects.</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 study of 20 neonates and children with known hemolytic disorders, such as hereditary spherocytosis or pyruvate kinase deficiency, and 20 age-matched controls was conducted to compare ETCO measurements at Intermountain Healthcare Institutions in Utah. This study shows that CoSense can detect the differences in the rate of hemolysis between neonates and children who have known hemolytic anemia and healthy age-matched neonates and children.</w:t>
      </w:r>
    </w:p>
    <w:p>
      <w:pPr>
        <w:spacing w:after="0" w:line="14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 separate study at Intermountain Healthcare Institutions, ETCO was measured in 30 healthy, term (at least 37 weeks GA) newborns within the first hours after birth and again just before discharge from to home to quantify the rate of hemolysis . This study provides further evidence that low-grade hemolysis occurs normally in the first days after birth.</w:t>
      </w:r>
    </w:p>
    <w:p>
      <w:pPr>
        <w:spacing w:after="0" w:line="18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results of these two studies were published in an article titled, “End-tidal carbon monoxide as an indicator of hemolytic rate,” in Blood Cells, Molecules and Diseases 2015.</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another study conducted at Intermountain Healthcare Institutions, ETCO was measured in 100 neonates. This study showed that it is feasible to use CoSense to measure ETCO and, when an elevated ETCO is found during birth hospitalization, parents were likely to comply with advice to have the TB level rechecked within 24 hours of discharge. The results of this study were published in an article titled, “Measuring End-Tidal Carbon Monoxide of Jaundiced Neonates in the Birth Hospital to Identify Those with Hemolysis,” in Neonatalogy 2016.</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 multi-center investigator-sponsored trial to define the normative data (mean, median, range and interquartile ranges) for all term and late-preterm newborns for CoSense has been completed recently. This confirmed that pre-discharge measurements of TB together with ETCO can be used as an index of increased bilirubin rates due to hemolysis.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Independent market research that we conducted has identified a large market opportunity for the CoSense device in the well-baby nursery, as well as, labor and delivery units in term neonates (more than than 37 weeks), as well as in the neonatal intensive care unit, or NICU, in preterm births (less than 34 weeks) and late preterm births (between 34 and 37 weeks).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sales and marketing strategy include: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5" w:name="page76"/>
    <w:bookmarkEnd w:id="75"/>
    <w:p>
      <w:pPr>
        <w:ind w:left="980" w:right="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Focus efforts on growing the volume of tests performed and associated consumables used. We plan to focus specifically on sales to the neonatal intensive care unit, or NICU, well-baby nursery, and labor/delivery units within each hospital.</w:t>
      </w:r>
    </w:p>
    <w:p>
      <w:pPr>
        <w:spacing w:after="0" w:line="62" w:lineRule="exact"/>
        <w:rPr>
          <w:rFonts w:ascii="Arial" w:cs="Arial" w:eastAsia="Arial" w:hAnsi="Arial"/>
          <w:sz w:val="18"/>
          <w:szCs w:val="18"/>
          <w:color w:val="auto"/>
        </w:rPr>
      </w:pPr>
    </w:p>
    <w:p>
      <w:pPr>
        <w:ind w:left="980" w:right="520" w:hanging="324"/>
        <w:spacing w:after="0" w:line="342"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Establish and engage a network of distributors in the E.U., as well as elsewhere in the world. We may establish continuing operations at a location in the E.U. to ensure close coordination and effective execution of the CoSense sales and marketing plan in the E.U.</w:t>
      </w:r>
    </w:p>
    <w:p>
      <w:pPr>
        <w:spacing w:after="0" w:line="15" w:lineRule="exact"/>
        <w:rPr>
          <w:rFonts w:ascii="Arial" w:cs="Arial" w:eastAsia="Arial" w:hAnsi="Arial"/>
          <w:sz w:val="16"/>
          <w:szCs w:val="16"/>
          <w:color w:val="auto"/>
        </w:rPr>
      </w:pPr>
    </w:p>
    <w:p>
      <w:pPr>
        <w:ind w:left="980" w:right="70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the CoSense device at a level that allows hospitals to purchase it without protracted review via a “capital purchase committee” or analogous body.</w:t>
      </w:r>
    </w:p>
    <w:p>
      <w:pPr>
        <w:spacing w:after="0" w:line="62"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the PSS consumable sampling sets at a price that is competitive with the current costs of performing the Coombs Test and other associated invasive assays. We believe that this cost offset, complemented by potential improvements in discharge planning and clinical outcomes, will provide hospital decision-makers with a compelling economic case for adoption of CoSense.</w:t>
      </w:r>
    </w:p>
    <w:p>
      <w:pPr>
        <w:spacing w:after="0" w:line="73"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Build awareness of the AAP treatment guidelines, and of the benefits of CoSense, via medical education efforts to key clinical audiences, including neonatologists, pediatricians, obstetricians, and pediatric nurses.</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Collaborate with key specialty societies, including the AAP, Pediatric Academic Societies, American Academy of Family Physicians, or AAFP, and patient advocacy groups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Support clinical trials and publications that expand the base of evidence supporting broad adoption of CoSense.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rest of the world, we expect to partner with distributors in each country or region, with oversight and marketing assistance from our own personnel.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expect to continue to sell the CoSense device at a price below the typical capital expenditure approval threshold levels of most hospitals and other medical institutions in the U.S. In the U.S., since the use of CoSense is almost entirely in the inpatient setting around the time of discharge of a newborn, reimbursement may be in the form of a DRG. Frequently referred to as a bundled payment, the DRG is a specific flat-fee payment amount for all services performed by a medical institution pursuant to a single diagnosis.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for CoSense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CoSense is the only device commercially available with the sensitivity and accuracy necessary to measure ETCO levels that are meaningful for detecting the rate of hemolysis in neonates, and we do not know of any such device that is under development by any party.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Sensalyze Technology Platform</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variety of medical diagnostic testing is routinely performed via measurement of gas concentrations, either from blood samples, exhaled breath or transcutaneously. Examples include arterial blood gas measurements, capnometry and pulse oximetry, respectively. Devices used for detecting the presence of various analytes in exhaled breath typically rely on the patient performing a specified breath maneuver such as breath holding and forced expiration. The use of these devices is limited to those who can perform such maneuvers, such as adults and older children.</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limitations of existing breath-based technologies are particularly problematic in neonates. Neonates typically have very rapid and irregular breathing patterns. They also inhale and exhale relatively small volumes, which limits the accuracy of devices that require the larger-volume sample sizes exhaled by older patients. In addition, they are not able to perform specified breath maneuvers. Our Sensalyze Technology Platform allows the measurement of analytes in all patients, from neonates to adults, regardless of their ability to actively perform a breath maneuver.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Sensalyze Technology Platform combines hardware, sensors, and software to provide the following novel capabilities:</w:t>
      </w:r>
    </w:p>
    <w:p>
      <w:pPr>
        <w:spacing w:after="0" w:line="279" w:lineRule="exact"/>
        <w:rPr>
          <w:sz w:val="20"/>
          <w:szCs w:val="20"/>
          <w:color w:val="auto"/>
        </w:rPr>
      </w:pPr>
    </w:p>
    <w:p>
      <w:pPr>
        <w:ind w:left="1300" w:right="4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Identification of full breaths that follow a normal pattern, also known as “physiologically representative” breaths. Our platform can identify these breaths even if the patient is breathing very rapidly, a capability that is particularly relevant in infants.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6" w:name="page77"/>
    <w:bookmarkEnd w:id="76"/>
    <w:p>
      <w:pPr>
        <w:ind w:left="1300" w:right="2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Capture of individual exhaled breaths, and segmentation of the breath into different components such as “end-tidal”, “upper airway”, and “lower airway”. This may allow the localization of the source of a given analyte to a specific anatomic area.</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Ability to move a specific micro-liter component of breath to a sensor module. When combined, these capabilities provide a novel patent protected platform for non-invasive detection of various analytes.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NeoForce Pulmonary Solutions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Approximately 10% of newborns require some assistance to begin breathing at birth and represents the number of patients that would benefit from our products. Of this 10%, approximately 1% requires extensive resuscitative measures. Although the vast majority of newly born infants do not require intervention to make the transition from intrauterine to extra uterine life, because of the large number of births, a sizable number will require some degree of resuscitation.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Respiratory Adaptation</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 utero, most of the blood flow is shunted away from the lungs and directed to the placenta where fetoplacental gas exchange occurs. After birth, the airways and the alveoli must be cleared of fetal lung fluid so that the lungs can operate as a functional respiratory unit providing adequate gas exchange. Pulmonary blood flow must increase, and spontaneous respirations must be established.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NeoForce T-Piece Resuscitation Platform</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T-piece resuscitator is a manually operated resuscitation delivery device used for infants and small children (less than 10 kg) to effectively deliver inhalation breaths at preset peak inspiratory pressures, or PIP, and a small back pressure to keep the lungs from collapsing on exhalation, known as positive end expiratory pressures, or PEEP, at a preset Fi02, or percent oxygen. There are two components to T-piece Resuscitation, the “Box or T-piece Resuscitator” and a single patient use circuit. The circuit connects to the box on one end and the patient on the other through a mask. The box controls the PIP, and the circuit controls the PEEP through an adjustable valve. In general, it is a modern replacement for the traditional bag and mask which requires significant user training and experience to deliver breaths to infants with tiny and very delicate lungs and may result in injury due to inappropriately high pressure and/or larger volumes.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Resuscitation and the First Breaths of Life</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Neonatal resuscitation skills are essential for all health care providers who are involved in the delivery of newborns. The transition from fetus to newborn requires intervention by a skilled individual or team in approximately 10% of all deliveries. In the U.S., 81% of all babies are born in nonteaching level I or II hospitals. In these hospitals, the volume of delivery service may not provide sufficient economic justification for the continuous in-hospital presence of specialists with high-risk delivery room experience, as recommended by the AAP Neonatal Resuscitation Guidelines, or NRP, and the American College of Obstetricians and Gynecologists, or ACOG. Perinatal asphyxia and extreme prematurity are the 2 complications of pregnancy that most frequently necessitate complex resuscitation by skilled personnel. However, only 60% of asphyxiated newborns can be predicted ante partum. The remaining newborns are not identified until the time of birth. Additionally, approximately 80% of low-birth-weight infants (infants less than 2kg) require resuscitation and cardio pumonary stabilization at post delivery.</w:t>
      </w:r>
    </w:p>
    <w:p>
      <w:pPr>
        <w:spacing w:after="0" w:line="19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Nearly one half of newborn deaths (many of which involve extremely premature infants) occur during the first 24 hours after birth. Many of these early deaths also have a component of asphyxia or respiratory depression as an etiology. For the surviving infants, effective management of asphyxia in the first few minutes of life can influence long-term outcome.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Even though prenatal care can identify many potential fetal difficulties ante partum, allowing maternal transfer to a referral center for care, many women who experience preterm labor are not identified prospectively and therefore are not appropriately transferred to a tertiary perinatal center. Consequently, many deliveries of extremely premature infants occur in smaller hospitals.</w:t>
      </w:r>
    </w:p>
    <w:p>
      <w:pPr>
        <w:spacing w:after="0" w:line="18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For these reasons, all personnel involved in delivery room care of the newborn should be trained adequately in all aspects of neonatal resuscitation. Additionally, equipment that is appropriately sized to resuscitate infants of all gestational ages should be available in all delivering institutions, even if the institution does not care for preterm or intensive care infants.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68" w:right="259" w:bottom="1440" w:gutter="0" w:footer="0" w:header="0"/>
        </w:sectPr>
      </w:pPr>
    </w:p>
    <w:bookmarkStart w:id="77" w:name="page78"/>
    <w:bookmarkEnd w:id="77"/>
    <w:p>
      <w:pPr>
        <w:ind w:firstLine="324"/>
        <w:spacing w:after="0" w:line="276" w:lineRule="auto"/>
        <w:rPr>
          <w:sz w:val="20"/>
          <w:szCs w:val="20"/>
          <w:color w:val="auto"/>
        </w:rPr>
      </w:pPr>
      <w:r>
        <w:rPr>
          <w:rFonts w:ascii="Arial" w:cs="Arial" w:eastAsia="Arial" w:hAnsi="Arial"/>
          <w:sz w:val="17"/>
          <w:szCs w:val="17"/>
          <w:color w:val="auto"/>
        </w:rPr>
        <w:t>The United Nations estimates the annual number of births worldwide to be approximately 143 million. Of these births, the number requiring assisted ventilation is approximately 10% of all births which represents the theoretical maximum addressable market potential. The addressable market is however much lower since a large number of infants are born in regions that do not have access to advanced resuscitation facilities, people or equipment. In general the market can be segmented along the economic development status of the country region where the infant is born and our current solutions are aligned to more developed regions such as the U.S., E.U., and portions of the Middle East.</w:t>
      </w:r>
    </w:p>
    <w:p>
      <w:pPr>
        <w:spacing w:after="0" w:line="17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the U.S. and E.U., there are approximately 8.1 million term births and 1.1 million preterm and late preterm births each year. Approximately 10% of term births, or approximately 800,000 babies, and 80% of preterm and late preterm babies, or approximately 88,000 babies, will need assisted ventilation during the birthing process or later in the NICU as a supplement to long term ventilation management.</w:t>
      </w:r>
    </w:p>
    <w:p>
      <w:pPr>
        <w:spacing w:after="0" w:line="18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the U.S., approximately the majority of all birthing hospitals have or use some form of T-piece resuscitation and are potential consumers of our T-piece solutions which include a delivery device (NeoPiP T-piece Resuscitator) or our universal T-piece single patient use circuit (NeoPiP Circuit).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intend to leverage the existing channels that we have in place to sell the newly acquired products from NeoForce. NFI has a well-established and efficient telemarketing presence that will supplement and extend our current distribution channel. In the U.S., we will continue to sell via a direct sales force, with potential augmentation of our reach via distributors. In the E.U., we expect to partner with distributors in each country, with oversight and marketing assistance from our personnel in the U.S.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U.S. direct sales efforts will continue to focus on large hospital systems with high volumes of births as the call points and decision makers for both NFI and CoSense customers are nearly identical. NFI has an installed base of over 300 customers and the existing relationships are anticipated to have a positive impact on creating interest in CoSense.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NFI revenues will continue to be sales of our consumable T-piece circuits.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elements of our sales and marketing strategy include:</w:t>
      </w:r>
    </w:p>
    <w:p>
      <w:pPr>
        <w:spacing w:after="0" w:line="279" w:lineRule="exact"/>
        <w:rPr>
          <w:sz w:val="20"/>
          <w:szCs w:val="20"/>
          <w:color w:val="auto"/>
        </w:rPr>
      </w:pPr>
    </w:p>
    <w:p>
      <w:pPr>
        <w:ind w:left="980" w:right="56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Focus efforts on growing the volume of consumables used as our universal circuit will work with all installed base devices of NFI and its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and engage a network of distributors in the E.U. and other international markets as conditions warrant.</w:t>
      </w:r>
    </w:p>
    <w:p>
      <w:pPr>
        <w:spacing w:after="0" w:line="33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will continue to evaluate expansion opportunities and pursue those where the potential to accelerate our business is deemed sufficient for the investment we put at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NFI sells its products into a relatively mature market with established pricing and acquisition methods in place where the hospital focuses on price, clinical utility and improved safety as measures to “switch”. The decision to buy, therefore, will continue to be driven at the departmental level controlled by the nursing management team overseeing the newborn areas of the institution, in conjunction with respiratory therapy.</w:t>
      </w:r>
    </w:p>
    <w:p>
      <w:pPr>
        <w:spacing w:after="0" w:line="166"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NFI is under contract with MedAssets, a GPO that represents approximately 35% of all hospitals in the U.S. and sets fixed pricing as a function of volume. We will continue to utilize this contract to help expand sales of our neonatology products and will assess other GPO organizations as conditions warrant.</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There are no reimbursement issues for the NFI line of products as the devices and consumables for resuscitation are considered mission critical and covered under the hospitals operating budget at the department level.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for NeoForce Resuscitation Solutions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T-piece resuscitation has been around since the early 1900’s but only became mainstream in the past 30 years, mostly due to the efforts of Fisher and Paykel and their NeoPuff ® line of resuscitation devices. Their efforts in conjunction with the widespread integration of T-piece devices built into the radiant warmers used in the delivery room has created a substantial installed base of units that can use our consumable circuit.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8" w:name="page79"/>
    <w:bookmarkEnd w:id="78"/>
    <w:p>
      <w:pPr>
        <w:ind w:right="320" w:firstLine="324"/>
        <w:spacing w:after="0" w:line="312" w:lineRule="auto"/>
        <w:rPr>
          <w:sz w:val="20"/>
          <w:szCs w:val="20"/>
          <w:color w:val="auto"/>
        </w:rPr>
      </w:pPr>
      <w:r>
        <w:rPr>
          <w:rFonts w:ascii="Arial" w:cs="Arial" w:eastAsia="Arial" w:hAnsi="Arial"/>
          <w:sz w:val="16"/>
          <w:szCs w:val="16"/>
          <w:color w:val="auto"/>
        </w:rPr>
        <w:t>Companies that currently produce a T-piece solution include: GE Health Care, Fisher and Paykel, Drager Medical, Mercury Medical and CareFusion. Many of our competitors are part of large companies where T-piece is treated as an accessory or an extension of a larger portfolio of unrelated adult and pediatric solutions. Our focus on this market combined with our small size allows us to be nimble and responsive to changing market dynamics.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Pharmaceuticals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manufacturing strategy is to contract with third parties to manufacture the majority of our active pharmaceutical ingredients (API) and solid oral dose products for DCCR (drug product). We will contract with third parties to manufacture our clinical and commercial API and drug product supplies.</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the formulation and processes used to manufacture our products is proprietary and we have agreements with three third-party manufacturers that are intended to restrict these manufacturers from using or revealing this proprietary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Medical Devices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have manufactured the Serenz device in partnership with an OEM supplier based in Shenzhen, China and intend to manufacture future supply with this same OEM supplier. We currently complete final packaging and labeling of Serenz Nasal Relief at our facility in Redwood City, California. Our manufacturing facility is registered with the FDA and certified to the ISO 13485 standard, the internationally harmonized regulatory requirement for quality management systems of medical device companies. We may utilize our current OEM supplier to complete the final packaging and labeling of Serenz for future supplies.</w:t>
      </w:r>
    </w:p>
    <w:p>
      <w:pPr>
        <w:spacing w:after="0" w:line="18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currently manufacture CoSense monitors at our facility in Redwood City, California. We assemble components from a variety of original equipment manufacturer, or OEM, sources. We may, depending on sales volume and ongoing requirements in specific sales geographies, outsource manufacturing of components, or finished goods, to various OEMs in the future.</w:t>
      </w:r>
    </w:p>
    <w:p>
      <w:pPr>
        <w:spacing w:after="0" w:line="1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NFI has its operations in Ivyland, Pennsylvania and is FDA registered and ISO 13485 certified. NFI assembles and tests the NeoPip resuscitators at its facility in Ivyland. The NeoPiP circuit is manufactured in Taiwan at an FDA registered ISO 13485 facility, with inventory stocked at NFI for distribution.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are in effect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patent portfolio surrounding DCCR consists of three issued U.S. patents, one allowed U.S. patent and 10 pending U.S. applications. Our issued U.S. patents (no.’s 7,572,789, 7,799,777, and 9,381,202) expire in 2026 to 2028, while the allowed patent would expire in 2034.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208" w:lineRule="exact"/>
        <w:rPr>
          <w:sz w:val="20"/>
          <w:szCs w:val="20"/>
          <w:color w:val="auto"/>
        </w:rPr>
      </w:pPr>
    </w:p>
    <w:p>
      <w:pPr>
        <w:jc w:val="center"/>
        <w:ind w:left="5620" w:right="720" w:hanging="4964"/>
        <w:spacing w:after="0" w:line="684" w:lineRule="auto"/>
        <w:tabs>
          <w:tab w:leader="none" w:pos="11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large family of salts including diazoxide choline, the active ingredient in DCCR and all pharmaceutical formulations of those salts 75</w:t>
      </w:r>
    </w:p>
    <w:p>
      <w:pPr>
        <w:sectPr>
          <w:pgSz w:w="11900" w:h="16838" w:orient="portrait"/>
          <w:cols w:equalWidth="0" w:num="1">
            <w:col w:w="11420"/>
          </w:cols>
          <w:pgMar w:left="240" w:top="584" w:right="239" w:bottom="1440" w:gutter="0" w:footer="0" w:header="0"/>
        </w:sectPr>
      </w:pPr>
    </w:p>
    <w:bookmarkStart w:id="79" w:name="page80"/>
    <w:bookmarkEnd w:id="79"/>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DCCR</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KATP channel agonists</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Sensalyze Technology Platform Patent Portfolio</w:t>
      </w:r>
    </w:p>
    <w:p>
      <w:pPr>
        <w:spacing w:after="0" w:line="2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patent portfolio surrounding our Sensalyze Technology Platform, including CoSense, consists of two issued U.S. patents, and nine pending U.S. and corresponding Patent Cooperation Treaty, or PCT, patent applications. It is our intent to pursue the issuance of these P.C.T. applications, and future cases, in other major commercial geographies over time. Our issued U.S. patents (no.’s 8,021,308 and 9,095,276) expire in 2027 and 2026. The pending patent applications, if issued, would likely expire on dates ranging from 2023 through 2034.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issued patents and pending patent applications include:</w:t>
      </w:r>
    </w:p>
    <w:p>
      <w:pPr>
        <w:spacing w:after="0" w:line="279"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use of Sensalyze Technology in various medical applications to test and screen for a variety of medical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breath selection, algorithmically and physically, to tailor the analysis to the underlying medical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detection and storage of discrete portions of a breath;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diversion and isolation of gases to enable measurement within a breath pattern;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specific compositions of valving and pumps to route airflow in a tightly controlled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microfluidic collection methods for increasing the precision of measurement of small volumes of gas; and</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various methods for arrangement and specification of components to enhance precision and compensate for factors that cause inaccurate measurements.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Serenz Patent Portfolio</w:t>
      </w:r>
    </w:p>
    <w:p>
      <w:pPr>
        <w:spacing w:after="0" w:line="266" w:lineRule="exact"/>
        <w:rPr>
          <w:sz w:val="20"/>
          <w:szCs w:val="20"/>
          <w:color w:val="auto"/>
        </w:rPr>
      </w:pPr>
    </w:p>
    <w:p>
      <w:pPr>
        <w:ind w:right="320" w:firstLine="324"/>
        <w:spacing w:after="0" w:line="245" w:lineRule="auto"/>
        <w:rPr>
          <w:sz w:val="20"/>
          <w:szCs w:val="20"/>
          <w:color w:val="auto"/>
        </w:rPr>
      </w:pPr>
      <w:r>
        <w:rPr>
          <w:rFonts w:ascii="Arial" w:cs="Arial" w:eastAsia="Arial" w:hAnsi="Arial"/>
          <w:sz w:val="18"/>
          <w:szCs w:val="18"/>
          <w:color w:val="auto"/>
        </w:rPr>
        <w:t>Successful application of therapeutic gases to the nasal mucosa is generally dependent on specific dosing, concentration, and rate of gas outflow. The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gas used in the Serenz product is packaged in small sealed cylinders with relatively high internal pressure; regulating the flow of gas from this high pressure cylinder to the relatively low flow rates required for Serenz presents significant technical challenges. Our Serenz patent portfolio addresses these challenges.</w:t>
      </w:r>
    </w:p>
    <w:p>
      <w:pPr>
        <w:spacing w:after="0" w:line="1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Serenz patent portfolio consists of 37 issued patents (12 in the U.S. and 25 outside the U.S.) and 29 pending patent applications (four in the U.S. and 25 outside the U.S.). The expiration dates for the issued patents and pending applications vary, with the latest being in 2033. Our issued patents and pending patent applications include claims directed to:</w:t>
      </w:r>
    </w:p>
    <w:p>
      <w:pPr>
        <w:spacing w:after="0" w:line="235"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gas dispensing devices, including various nosepiece configurations, and features for providing consistent doses of gas;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methods for delivering therapeutic gases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treatment of various medical conditions via delivery of therapeutic gases to the nasal cavity;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combined delivery of gases with other therapeutic agents.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68" w:right="259" w:bottom="1440" w:gutter="0" w:footer="0" w:header="0"/>
        </w:sectPr>
      </w:pPr>
    </w:p>
    <w:bookmarkStart w:id="80" w:name="page81"/>
    <w:bookmarkEnd w:id="80"/>
    <w:p>
      <w:pPr>
        <w:ind w:right="200"/>
        <w:spacing w:after="0" w:line="277" w:lineRule="auto"/>
        <w:rPr>
          <w:sz w:val="20"/>
          <w:szCs w:val="20"/>
          <w:color w:val="auto"/>
        </w:rPr>
      </w:pPr>
      <w:r>
        <w:rPr>
          <w:rFonts w:ascii="Arial" w:cs="Arial" w:eastAsia="Arial" w:hAnsi="Arial"/>
          <w:sz w:val="18"/>
          <w:szCs w:val="18"/>
          <w:color w:val="auto"/>
        </w:rPr>
        <w:t>record keeping, approval, advertising and promotion of our products. As a result of these regulations, product development and product approval processes are very expensive and time consuming.</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 country's regulatory agency, such as the FDA in the United States and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structures.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225"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319"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211" w:lineRule="exact"/>
        <w:rPr>
          <w:sz w:val="20"/>
          <w:szCs w:val="20"/>
          <w:color w:val="auto"/>
        </w:rPr>
      </w:pPr>
    </w:p>
    <w:p>
      <w:pPr>
        <w:jc w:val="both"/>
        <w:ind w:left="1080" w:right="240"/>
        <w:spacing w:after="0" w:line="286" w:lineRule="auto"/>
        <w:rPr>
          <w:sz w:val="20"/>
          <w:szCs w:val="20"/>
          <w:color w:val="auto"/>
        </w:rPr>
      </w:pPr>
      <w:r>
        <w:rPr>
          <w:rFonts w:ascii="Arial" w:cs="Arial" w:eastAsia="Arial" w:hAnsi="Arial"/>
          <w:sz w:val="17"/>
          <w:szCs w:val="17"/>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206" w:lineRule="exact"/>
        <w:rPr>
          <w:sz w:val="20"/>
          <w:szCs w:val="20"/>
          <w:color w:val="auto"/>
        </w:rPr>
      </w:pPr>
    </w:p>
    <w:p>
      <w:pPr>
        <w:ind w:left="1080" w:right="180"/>
        <w:spacing w:after="0" w:line="257" w:lineRule="auto"/>
        <w:rPr>
          <w:sz w:val="20"/>
          <w:szCs w:val="20"/>
          <w:color w:val="auto"/>
        </w:rPr>
      </w:pPr>
      <w:r>
        <w:rPr>
          <w:rFonts w:ascii="Arial" w:cs="Arial" w:eastAsia="Arial" w:hAnsi="Arial"/>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21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7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584" w:right="279" w:bottom="1440" w:gutter="0" w:footer="0" w:header="0"/>
        </w:sectPr>
      </w:pPr>
    </w:p>
    <w:bookmarkStart w:id="81" w:name="page82"/>
    <w:bookmarkEnd w:id="81"/>
    <w:p>
      <w:pPr>
        <w:ind w:right="500"/>
        <w:spacing w:after="0" w:line="277" w:lineRule="auto"/>
        <w:rPr>
          <w:sz w:val="20"/>
          <w:szCs w:val="20"/>
          <w:color w:val="auto"/>
        </w:rPr>
      </w:pPr>
      <w:r>
        <w:rPr>
          <w:rFonts w:ascii="Arial" w:cs="Arial" w:eastAsia="Arial" w:hAnsi="Arial"/>
          <w:sz w:val="18"/>
          <w:szCs w:val="18"/>
          <w:color w:val="auto"/>
        </w:rPr>
        <w:t>require us, to delay or suspend our clinical trials at any time if it appears that the patients are being exposed to an unacceptable health risk or if the drug candidate does not appear to have sufficient treatment benefit</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an NDA with the FDA. The FDA may hold a public hearing where an independent advisory committee of expert advisors asks additional questions and makes recommendations regarding the drug candidate. This committee makes a recommendation to the FDA that is not binding but is generally followed by the FDA. If the FDA agrees that the compound has met the required level of safety and efficacy for a particular use, it will allow the drug candidate in the United States to be marketed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7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82" w:name="page83"/>
    <w:bookmarkEnd w:id="82"/>
    <w:p>
      <w:pPr>
        <w:ind w:right="20" w:firstLine="324"/>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208"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Drugs that treat serious or life 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incidence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 (which includes most major countries in Europe).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Medical Devices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U.S., any instrument, apparatus, implement, machine, contrivance, implant, in vitro reagent, or other similar or related article, including any component, part, or accessory, which is intended for use in the diagnosis of disease or other conditions, or in the cure, mitigation, treatment, or prevention of disease which does not achieve its primary intended purposes through chemical action within or on the body of man or other animals and which is not dependent upon being metabolized for the achievement of its primary intended purposes is regulated by the FDA as medical devices under the Federal Food, Drug, and Cosmetic Act, or FFDCA. We received initial FDA 510(k) clearance for CoSense in the fourth quarter of 2012 for the monitoring of CO from endogenous and exogenous sources in exhaled breath, particularly in smoking cessation programs for the screening of CO poisoning and smoke inhalation. In the first quarter of 2014, CoSense received 510(k) clearance for the monitoring of CO from endogenous sources, including hemolysis, and exogenous sources, including CO poisoning and smoke inhalation, in exhaled breath. Serenz has not yet commenced any process for regulatory approval in the U.S. We also plan to seek FDA clearance or approval for other diagnostic products currently under development.</w:t>
      </w:r>
    </w:p>
    <w:p>
      <w:pPr>
        <w:spacing w:after="0" w:line="18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There are two regulatory pathways to receive authorization to market diagnostics: a 510(k) premarket notification and a premarket approval application, or PMA. The FDA makes a risk-based determination as to the pathway for which a particular diagnostic is eligible. CoSense was cleared via the 501(k) premarket notification pathway as a Class II medical device.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83" w:name="page84"/>
    <w:bookmarkEnd w:id="83"/>
    <w:p>
      <w:pPr>
        <w:ind w:right="60" w:firstLine="324"/>
        <w:spacing w:after="0" w:line="271" w:lineRule="auto"/>
        <w:rPr>
          <w:sz w:val="20"/>
          <w:szCs w:val="20"/>
          <w:color w:val="auto"/>
        </w:rPr>
      </w:pPr>
      <w:r>
        <w:rPr>
          <w:rFonts w:ascii="Arial" w:cs="Arial" w:eastAsia="Arial" w:hAnsi="Arial"/>
          <w:sz w:val="17"/>
          <w:szCs w:val="17"/>
          <w:color w:val="auto"/>
        </w:rPr>
        <w:t>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are subject to general controls, including labeling, registration and listing and adherence to FDA’s quality system regulation, which are device-specific good manufacturing practices. Class II devices are subject to general controls and special controls, including performance standards and postmarket surveillance. Class III devices are subject to most of these requirements, as well as to premarket approval. Most Class I devices are exempt from premarket submissions to the FDA; most Class II devices require the submission of a 510(k) premarket notification to the FDA; and Class III devices require submission of a PMA. Most diagnostic kits are regulated as Class I or II devices and are either exempt from premarket notification or require a 510(k) submission.</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510(k) premarket notification. </w:t>
      </w:r>
      <w:r>
        <w:rPr>
          <w:rFonts w:ascii="Arial" w:cs="Arial" w:eastAsia="Arial" w:hAnsi="Arial"/>
          <w:sz w:val="16"/>
          <w:szCs w:val="16"/>
          <w:color w:val="auto"/>
        </w:rPr>
        <w:t>A 510(k) notification requires the sponsor to demonstrate that a medical device is substantially equivalent to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marketed device, termed a “predicate device,” that is legally marketed in the U.S. and for which a PMA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Under current FDA policy, if a predicate device does not exist, the FDA may make a risk-based determination based on the complexity and clinical utility of the device that the device is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510(k) review instead of a requiring a PMA. The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510(k) review process is similar to clearance of the 510(k) premarket notification, despite the lack of a suitable predicate device.</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FDA’s performance goal review time for a 510(k) notification is 90 days from the date of receipt, however, in practice, the review often takes longer. In addition, the FDA may require information regarding clinical data in order to make a decision regarding the claims of substantial equivalence. Clinical studies of diagnostic products are typically designed with the primary objective of obtaining analytical or clinical performance data. If the FDA believes that the device is not substantially equivalent to a predicate device, it will issue a “Not Substantially Equivalent” letter and designate the device as a Class III device, which will require the submission and approval of a PMA before the new device may be marketed. Under certain circumstances, the sponsor may petition the FDA to make a risk-based determination of the new device and reclassify the new device as a Class I or Class II device. Any modifications made to a device, its labeling or its intended use after clearance may require a new 510(k) notification to be submitted and cleared by FDA. Some modifications may only require documentation to be kept by the manufacturer, but the manufacturer’s determination of the absence of need for a new 510(k) notification remains subject to subsequent FDA disagreement.</w:t>
      </w:r>
    </w:p>
    <w:p>
      <w:pPr>
        <w:spacing w:after="0" w:line="18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FDA has undertaken a systematic review of the 510(k) clearance process that includes both internal and independent recommendations for reform of the 510(k) system. The internal review, issued in August 2010, included a recommendation for development of a guidance document defining a subset of moderate risk (Class II) devices to include implantable, life-supporting or life-sustaining devices, called Class IIb, for which additional clinical or manufacturing data typically would be necessary to support a substantial equivalence determination. In the event that such new Class IIb sub-classification is adopted, we believe that most of the tests that we may pursue would be classified as Class IIa devices having the same requirements of the current Class II designation. In July 2011, the Institute of Medicine, or IOM, issued its independent recommendations for 510(k) reform. As the FDA receives public comment on the IOM recommendations and reconciles its plan of action to respond to both the internal and IOM recommendations, the availability of the 510(k) pathway for our diagnostic tests, and the timing and data burden required to obtain 510(k) clearance, could be adversely impacted. We cannot predict the impact of the 510(k) reform efforts on the development and clearance of our future diagnostic tests.</w:t>
      </w:r>
    </w:p>
    <w:p>
      <w:pPr>
        <w:spacing w:after="0" w:line="167"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i w:val="1"/>
          <w:iCs w:val="1"/>
          <w:color w:val="auto"/>
        </w:rPr>
        <w:t>De Novo 510(k)</w:t>
      </w:r>
      <w:r>
        <w:rPr>
          <w:rFonts w:ascii="Arial" w:cs="Arial" w:eastAsia="Arial" w:hAnsi="Arial"/>
          <w:sz w:val="16"/>
          <w:szCs w:val="16"/>
          <w:color w:val="auto"/>
        </w:rPr>
        <w:t>. If a previously unclassified new medical device does not qualify for the 510(k) pre-market notification process because there is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predicate device to which it is substantially equivalent, and if the device may be adequately regulated through general controls or special controls, the device may be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through what is called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process. In order to use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process, a company must receive a letter from the FDA stating that, because the device has been found not substantially equivalent to a legally marketed Class I or II medical device or to a Class III device marketed prior to May 28, 1976 for which the FDA has not required the submission of a PMA application, it has been placed into Class</w:t>
      </w:r>
    </w:p>
    <w:p>
      <w:pPr>
        <w:spacing w:after="0" w:line="2" w:lineRule="exact"/>
        <w:rPr>
          <w:sz w:val="20"/>
          <w:szCs w:val="20"/>
          <w:color w:val="auto"/>
        </w:rPr>
      </w:pPr>
    </w:p>
    <w:p>
      <w:pPr>
        <w:ind w:right="20" w:firstLine="8"/>
        <w:spacing w:after="0" w:line="271" w:lineRule="auto"/>
        <w:tabs>
          <w:tab w:leader="none" w:pos="2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After receiving this letter, we, within 30 days, must submit to the FDA a request for a risk based down classification of the device from Class III to Class I or II based on the device’s moderate or low risk profile which meets the definition of a Class I or Class II medical device. The FDA then has 60 days in which to decide whether to down classify the device. If the FDA agrees that a lower classification is warranted, it will issue a new regulation describing the device type and, for a Class II device, publish a Special Controls guidance document. The Special Controls guidance document specifies the scope of the device type and the recommendations for submission of subsequent devices for the same intended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4" w:name="page85"/>
    <w:bookmarkEnd w:id="84"/>
    <w:p>
      <w:pPr>
        <w:ind w:right="440"/>
        <w:spacing w:after="0" w:line="277" w:lineRule="auto"/>
        <w:rPr>
          <w:sz w:val="20"/>
          <w:szCs w:val="20"/>
          <w:color w:val="auto"/>
        </w:rPr>
      </w:pPr>
      <w:r>
        <w:rPr>
          <w:rFonts w:ascii="Arial" w:cs="Arial" w:eastAsia="Arial" w:hAnsi="Arial"/>
          <w:sz w:val="18"/>
          <w:szCs w:val="18"/>
          <w:color w:val="auto"/>
        </w:rPr>
        <w:t xml:space="preserve">use. If a product is classified as Class II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 process, then that device may serve as a predicate device for subsequent 510(k) pre-market notifications.</w:t>
      </w:r>
    </w:p>
    <w:p>
      <w:pPr>
        <w:spacing w:after="0" w:line="170"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i w:val="1"/>
          <w:iCs w:val="1"/>
          <w:color w:val="auto"/>
        </w:rPr>
        <w:t xml:space="preserve">Premarket approval. </w:t>
      </w:r>
      <w:r>
        <w:rPr>
          <w:rFonts w:ascii="Arial" w:cs="Arial" w:eastAsia="Arial" w:hAnsi="Arial"/>
          <w:sz w:val="18"/>
          <w:szCs w:val="18"/>
          <w:color w:val="auto"/>
        </w:rPr>
        <w:t>The PMA process is more complex, costly and time consuming than the 510(k) process. A PMA must be supported by more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and comprehensive scientific evidence, including clinical data, to demonstrate the safety and effectiveness of the medical device for its intended purpose. If the device is determined to present a “significant risk,” the sponsor may not begin a clinical trial until it submits an investigational device exemption, or IDE, to the FDA and obtains approval from the FDA to begin the trial.</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After the PMA is submitted, the FDA has 45 days to make a threshold determination that the PMA is sufficiently complete to permit a substantive review. If the PMA is complete, the FDA will file the PMA. The FDA is subject to a performance goal review time for a PMA of 180 days from the date of filing, although in practice this review time is longer. Questions from the FDA, requests for additional data and referrals to advisory committees may delay the process considerably. Indeed, the total process may take several years and there is no guarantee that the PMA will ever be approved. Even if approved, the FDA may limit the indications for which the device may be marketed. The FDA may also request additional clinical data as a condition of approval or after the PMA is approved. Any changes to the medical device may require a supplemental PMA to be submitted and approved.</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Regulation of Combination Products. </w:t>
      </w:r>
      <w:r>
        <w:rPr>
          <w:rFonts w:ascii="Arial" w:cs="Arial" w:eastAsia="Arial" w:hAnsi="Arial"/>
          <w:sz w:val="18"/>
          <w:szCs w:val="18"/>
          <w:color w:val="auto"/>
        </w:rPr>
        <w:t>In the U.S., the FDA may determine that Serenz should be regulated as a pharmaceutical product if they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that Serenz is achieving its therapeutic effect through chemical action within or on the body of man or other animals and is dependent upon being metabolized for the achievement of its primary intended purposes. The regulation of combination products determined to have this mode of action is as a pharmaceutical product, not a medical device.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Continuing FDA Regulation</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 xml:space="preserve">Devices. </w:t>
      </w:r>
      <w:r>
        <w:rPr>
          <w:rFonts w:ascii="Arial" w:cs="Arial" w:eastAsia="Arial" w:hAnsi="Arial"/>
          <w:sz w:val="16"/>
          <w:szCs w:val="16"/>
          <w:color w:val="auto"/>
        </w:rPr>
        <w:t>Under the medical device regulations, the FDA regulates quality control and manufacturing procedures by requiring us to demonstrate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compliance with the quality system regulation, which sets forth the FDA’s current good manufacturing practices requirements for medical devices. The FDA monitors compliance with the quality system regulation and current good manufacturing practices requirements by conducting periodic inspections of manufacturing facilities. We could be subject to unannounced inspections by the FDA. Violations of applicable regulations noted by the FDA during inspections of our manufacturing facilities, or the manufacturing facilities of these third parties, could adversely affect the continued marketing of our tests.</w:t>
      </w:r>
    </w:p>
    <w:p>
      <w:pPr>
        <w:spacing w:after="0" w:line="1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FDA also enforces post-marketing controls that include the requirement to submit medical device reports to the agency when a manufacturer becomes aware of information suggesting that any of its marketed products may have caused or contributed to a death, serious injury or serious illness or any of its products has malfunctioned and that a recurrence of a malfunction would likely cause or contribute to a death or serious injury or illness. The FDA relies on medical device reports to identify product problems and utilizes these reports to determine, among other things, whether it should exercise its enforcement powers. The FDA may also require postmarket surveillance studies for specified devices.</w:t>
      </w:r>
    </w:p>
    <w:p>
      <w:pPr>
        <w:spacing w:after="0" w:line="17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FDA regulations also govern, among other things, the preclinical and clinical testing, manufacture, distribution, labeling and promotion of medical devices. In addition to compliance with good manufacturing practices and medical device reporting requirements, we will be required to comply with the FDCA’s general controls, including establishment registration, device listing and labeling requirements. If we fail to comply with any requirements under the FDCA, we could be subject to, among other things, fines, injunctions, civil penalties, recalls or product corrections, total or partial suspension of production, denial of premarket notification clearance or approval of products, rescission or withdrawal of clearances and approvals, and criminal prosecution. We cannot assure you that any final FDA policy, once issued, or future laws and regulations concerning the manufacture or marketing of medical devices will not increase the cost and time to market of new or existing tests. Furthermore, any current or future federal and state regulations also will apply to future tests developed by us.</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our promotional activities fail to comply with these FDA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 product from the market, require a recall or institute fines or civil fines, or could result in disgorgement of money, operating restrictions, injunctions or criminal prosecution.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584" w:right="259" w:bottom="1440" w:gutter="0" w:footer="0" w:header="0"/>
        </w:sectPr>
      </w:pPr>
    </w:p>
    <w:bookmarkStart w:id="85" w:name="page86"/>
    <w:bookmarkEnd w:id="85"/>
    <w:p>
      <w:pPr>
        <w:ind w:firstLine="324"/>
        <w:spacing w:after="0" w:line="272" w:lineRule="auto"/>
        <w:rPr>
          <w:sz w:val="20"/>
          <w:szCs w:val="20"/>
          <w:color w:val="auto"/>
        </w:rPr>
      </w:pPr>
      <w:r>
        <w:rPr>
          <w:rFonts w:ascii="Arial" w:cs="Arial" w:eastAsia="Arial" w:hAnsi="Arial"/>
          <w:sz w:val="17"/>
          <w:szCs w:val="17"/>
          <w:color w:val="auto"/>
        </w:rPr>
        <w:t>International marketing of medical devices is subject to foreign government regulations, which vary substantially from country to country. The European Commission is the legislative body responsible for directives with which manufacturers selling medical products in the E.U. and the European Economic Area, or EEA, must comply. The E.U. includes most of the major countries in Europe, while other countries, such as Switzerland, are part of the EEA and have voluntarily adopted laws and regulations that mirror those of the E.U. with respect to medical devices. The E.U. has adopted directives that address regulation of the design, manufacture, labeling, clinical studies and post-market vigilance for medical devices. Devices that comply with the requirements of a relevant directive will be entitled to bear the CE conformity marking, indicating that the device conforms to the essential requirements of the applicable directives and, accordingly, can be marketed throughout the E.U. and EEA.</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Outside of the E.U., regulatory pathways for the marketing of medical devices vary greatly from country to country. In many countries, local regulatory agencies conduct an independent review of medical devices prior to granting marketing approval. For example, in China, approval by the SFDA must be obtained prior to marketing an medical device. In Japan, approval by the MHLW following review by the Pharmaceuticals and Medical Devices Agency, or the PMDA, is required prior to marketing an medical device. The process in such countries may be lengthy and require the expenditure of significant resources, including the conduct of clinical trials. In other countries, the regulatory pathway may be shorter or less costly. The timeline for the introduction of new medical devices is heavily impacted by these various regulations on a country-by-country basis, which may become more lengthy and costly 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Government Regulations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Advertising of our commercial products are subject to regulation by the Federal Trade Commission, or FTC, under the FTC Act. The FTC Act prohibits unfair or deceptive acts or practices in or affecting commerce. Violations of the FTC Act, such as failure to have substantiation for product claims, would subject us to a variety of enforcement actions, including compulsory process, cease and desist orders and injunctions, which can require, among other things, limits on advertising, corrective advertising, consumer redress and restitution, as well as substantial fines or other penalties. Any enforcement actions by the FTC could have a material adverse effect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84" w:right="259" w:bottom="1440" w:gutter="0" w:footer="0" w:header="0"/>
        </w:sectPr>
      </w:pPr>
    </w:p>
    <w:bookmarkStart w:id="86" w:name="page87"/>
    <w:bookmarkEnd w:id="86"/>
    <w:p>
      <w:pPr>
        <w:ind w:right="60" w:firstLine="324"/>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 and abuse</w:t>
      </w:r>
      <w:r>
        <w:rPr>
          <w:rFonts w:ascii="Arial" w:cs="Arial" w:eastAsia="Arial" w:hAnsi="Arial"/>
          <w:sz w:val="18"/>
          <w:szCs w:val="18"/>
          <w:i w:val="1"/>
          <w:iCs w:val="1"/>
          <w:color w:val="auto"/>
        </w:rPr>
        <w:t xml:space="preserve"> </w:t>
      </w:r>
      <w:r>
        <w:rPr>
          <w:rFonts w:ascii="Arial" w:cs="Arial" w:eastAsia="Arial" w:hAnsi="Arial"/>
          <w:sz w:val="18"/>
          <w:szCs w:val="18"/>
          <w:color w:val="auto"/>
        </w:rPr>
        <w:t>laws. Many of these antifraud laws are broad in scope, and neither the courts nor government agencies have extensively interpreted these laws. Prohibitions under some of these laws include:</w:t>
      </w:r>
    </w:p>
    <w:p>
      <w:pPr>
        <w:spacing w:after="0" w:line="73"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submission of false claims or false information to government programs;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excessive or unnecessary services or services at excessive prices;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33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$5,500 to $11,000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2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 personally</w:t>
      </w:r>
      <w:r>
        <w:rPr>
          <w:rFonts w:ascii="Arial" w:cs="Arial" w:eastAsia="Arial" w:hAnsi="Arial"/>
          <w:sz w:val="18"/>
          <w:szCs w:val="18"/>
          <w:i w:val="1"/>
          <w:iCs w:val="1"/>
          <w:color w:val="auto"/>
        </w:rPr>
        <w:t xml:space="preserve"> </w:t>
      </w:r>
      <w:r>
        <w:rPr>
          <w:rFonts w:ascii="Arial" w:cs="Arial" w:eastAsia="Arial" w:hAnsi="Arial"/>
          <w:sz w:val="18"/>
          <w:szCs w:val="18"/>
          <w:color w:val="auto"/>
        </w:rPr>
        <w:t>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The self-referral laws may cause some physicians who would otherwise use our laboratory to use other laboratories for their testing.</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$5,500 to $11,000 for each separate false claim. Similarly, sanctions for violations under the North Carolina self-referral laws include refunds and monetary penalties.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7" w:name="page88"/>
    <w:bookmarkEnd w:id="87"/>
    <w:p>
      <w:pPr>
        <w:ind w:right="40" w:firstLine="324"/>
        <w:spacing w:after="0" w:line="268"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5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2010, the PPACA was enacted, which includes measures that have or will significantly change the way healthcare is financed by both governmental and private insurers. Beginning in August 2013, the PPACA and its implementing regulations requires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or CMS, beginning in 2014.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4" w:right="25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Essentialis, Inc.</w:t>
      </w:r>
    </w:p>
    <w:p>
      <w:pPr>
        <w:spacing w:after="0" w:line="1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was subject to various closing conditions, including our consummation of a financing of at least $8 million at, or substantially contemporaneous with, the closing of the Merger and the receipt of stockholder approval of the Merger at a special meeting of stockholders.</w:t>
      </w:r>
    </w:p>
    <w:p>
      <w:pPr>
        <w:spacing w:after="0" w:line="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issues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7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and issued 2,083,333 shares of common stock for an investment of $2 million from Aspire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As of March 31, 2017, we had 26 full-time employees and 3 full-time or part-time consultants providing services to us. None of our employees is represented by a labor union or covered by collective bargaining agreements. We consider our relationship with our employees to be good.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Change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12, 2017, we formally changed our name from "Capnia, Inc." to "Soleno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principal corporate offices are located at 1235 Radio Road, Suite 110, Redwood City, California 94065 and our telephone number is (650) 213-8444. We were incorporated in Delaware on August 25, 1999. On May 12, 2017, we formally changed our name from "Capnia, Inc." to "Soleno Therapeutics, Inc."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38" w:right="239" w:bottom="1440" w:gutter="0" w:footer="0" w:header="0"/>
        </w:sectPr>
      </w:pPr>
    </w:p>
    <w:bookmarkStart w:id="89" w:name="page90"/>
    <w:bookmarkEnd w:id="89"/>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1440" w:right="1440"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DESCRIPTION OF PROPERTIES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principal facilities consist of office space in Redwood City, California, which also contains our final assembly and calibration facility for CoSense. We currently occupy approximately 13,436 square feet of office space under a non-cancelable operating lease that terminates in August 2019. NFI operates in a facility in Ivyland, Pennsylvania occupying approximately 2,880 square feet of space under a month to month lease.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796"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On February 28, 2017, we settled the Lawsuit by making certain supplemental disclosures in a Current Report on Form 8-K filed with the SEC on February 28, 2017 in connection with the plaintiff’s agreement to voluntarily dismiss plaintiff's claims in the Lawsuit. We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796"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31, 2017:</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706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Executive Officers: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Anish Bhatnagar, M.D.</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D. O’Toole</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Anthony Wondka</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Senior Vice President of Research and Development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Non-Employee Directors: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Ernest Mario, Ph.D.</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Chairman</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Edgar G. Engleman, M.D.</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Steinar J. Engelsen, M.D., M.Sc.(1)(2)(3)</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William G. Harris (1)(2)</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Stephen Kirnon, Ed.D.(1)(2)(3)</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Rajen Dalal (2)</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Mahendra Shah</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Stuart Collinson</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Jim Glasheen</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8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Anish Bhatnagar, M.D</w:t>
      </w:r>
      <w:r>
        <w:rPr>
          <w:rFonts w:ascii="Arial" w:cs="Arial" w:eastAsia="Arial" w:hAnsi="Arial"/>
          <w:sz w:val="17"/>
          <w:szCs w:val="17"/>
          <w:color w:val="auto"/>
        </w:rPr>
        <w:t>. Dr. Bhatnagar was appointed as our Chief Executive Officer in February 2014. Prior to that, he served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Operating Officer. Dr. Bhatnagar joined us in 2006, and has held positions of increasing responsibility since then. Dr. Bhatnagar is a physician with over 15 years of experience in the medical device and biopharmaceutical industries. His experience spans development of biologics, drugs, drug-device combinations and diagnostic as well as therapeutic medical devices. His prior experience includes working at Coulter Pharmaceuticals, Inc. from 1998 to 2000 and Titan Pharmaceuticals, Inc. from 2000 to 2006. He is the author of several peer-reviewed publications, abstracts and book chapters. He obtained his medical degree at SMS Medical College in Jaipur, India and completed his Residency and Fellowship training in the U.S. at various institutions, including Georgetown University Hospital and the University of Pennsylvania.</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believe Dr. Bhatnagar is able to make valuable contributions to our board of directors due to his service as an executive officer of our company, including as Chief Executive Officer, extensive knowledge of medical device and pharmaceutical company operations, and extensive experience working with companies, regulators and other stakeholders in the medical device and pharmaceutical industries.</w:t>
      </w:r>
    </w:p>
    <w:p>
      <w:pPr>
        <w:spacing w:after="0" w:line="18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i w:val="1"/>
          <w:iCs w:val="1"/>
          <w:color w:val="auto"/>
        </w:rPr>
        <w:t>David D. O’Toole</w:t>
      </w:r>
      <w:r>
        <w:rPr>
          <w:rFonts w:ascii="Arial" w:cs="Arial" w:eastAsia="Arial" w:hAnsi="Arial"/>
          <w:sz w:val="16"/>
          <w:szCs w:val="16"/>
          <w:color w:val="auto"/>
        </w:rPr>
        <w:t>. Mr. O’Toole was appointed as our Chief Financial Officer in July 2014. He has more than 30 years of experience in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sectors, and for the past 14 years has focused on the medical device, tools, and diagnostics industry. From September 2012 to June 2014</w:t>
      </w:r>
    </w:p>
    <w:p>
      <w:pPr>
        <w:spacing w:after="0" w:line="271" w:lineRule="auto"/>
        <w:rPr>
          <w:sz w:val="20"/>
          <w:szCs w:val="20"/>
          <w:color w:val="auto"/>
        </w:rPr>
      </w:pPr>
      <w:r>
        <w:rPr>
          <w:rFonts w:ascii="Arial" w:cs="Arial" w:eastAsia="Arial" w:hAnsi="Arial"/>
          <w:sz w:val="17"/>
          <w:szCs w:val="17"/>
          <w:color w:val="auto"/>
        </w:rPr>
        <w:t>Mr. O’Toole was Senior Vice President and Chief Financial Officer at Codexis, Inc., a public company focused on developing biocatalysts. From May 2010 to August 2012 Mr. O’Toole was Vice President and Chief Financial Officer at Response Genetics, Inc., and served from May 2008 to August 2010 as Executive Vice President and Chief Financial Officer of Abraxis Bioscience, Inc. From 1992 to 2008, Mr. O’Toole worked at Deloitte &amp; Touche LLP, where he served for 12 of those years as a partner. He worked at Arthur Anderson &amp; Co., from 1984 to 1992, as an international tax manager. Mr. O’Toole received his Bachelor of Science, Accounting from the University of Arizona and is a certified public accountant.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96" w:right="239" w:bottom="1440" w:gutter="0" w:footer="0" w:header="0"/>
        </w:sectPr>
      </w:pPr>
    </w:p>
    <w:bookmarkStart w:id="93" w:name="page94"/>
    <w:bookmarkEnd w:id="93"/>
    <w:p>
      <w:pPr>
        <w:ind w:right="480" w:firstLine="324"/>
        <w:spacing w:after="0" w:line="277" w:lineRule="auto"/>
        <w:rPr>
          <w:sz w:val="20"/>
          <w:szCs w:val="20"/>
          <w:color w:val="auto"/>
        </w:rPr>
      </w:pPr>
      <w:r>
        <w:rPr>
          <w:rFonts w:ascii="Arial" w:cs="Arial" w:eastAsia="Arial" w:hAnsi="Arial"/>
          <w:sz w:val="18"/>
          <w:szCs w:val="18"/>
          <w:color w:val="auto"/>
        </w:rPr>
        <w:t>We believe Mr. OToole is able to make valuable contributions as an executive officer of our company as a result of his prior financial experience in related industries that are applicable to us.</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i w:val="1"/>
          <w:iCs w:val="1"/>
          <w:color w:val="auto"/>
        </w:rPr>
        <w:t>Anthony Wondka</w:t>
      </w:r>
      <w:r>
        <w:rPr>
          <w:rFonts w:ascii="Arial" w:cs="Arial" w:eastAsia="Arial" w:hAnsi="Arial"/>
          <w:sz w:val="16"/>
          <w:szCs w:val="16"/>
          <w:color w:val="auto"/>
        </w:rPr>
        <w:t>. Mr. Wondka was appointed as our Vice President of Research and Development in June 2013. Prior to that, he was a consultant for us</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2011. He has held management and executive positions in the medical device industry for over 20 years, in large and small companies. From April 2006 to March 2011, Mr. Wondka served as VP of R&amp;D and then VP of Technology and Clinical Affairs for Breathe Technologies, where he invented and co-invented ventilation products that address large unmet needs in chronic obstructive pulmonary disease, or COPD, and obstructive sleep apnea. From July</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1997 to April 2006, Mr. Wondka was Director of R&amp;D and VP of Manufacturing at Pulmonx, where he co-invented and led the early development of the Chartis™ diagnostic system and procedure that is used to guide endobronchial lung volume reduction for the treatment of COPD, and is currently being sold in the E.U. Prior to Pulmonx, Mr. Wondka worked at Pfizer subsidiary Shiley (acquired by Covidien) and Bear Medical (acquired by Carefusion), where he held lead roles in engineering and quality assurance, supporting commercialization activities for market leading ear, nose and throat, or ENT, and respiratory products. He holds over 40 issued or pending patents and has a B.S. in Bioengineering from University of California San Diego.</w:t>
      </w:r>
    </w:p>
    <w:p>
      <w:pPr>
        <w:spacing w:after="0" w:line="16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Mr. Wondka is able to make valuable contributions as an executive officer of our company as a result of his prior technical experience in our industry and related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Ernest Mario, Ph.D</w:t>
      </w:r>
      <w:r>
        <w:rPr>
          <w:rFonts w:ascii="Arial" w:cs="Arial" w:eastAsia="Arial" w:hAnsi="Arial"/>
          <w:sz w:val="16"/>
          <w:szCs w:val="16"/>
          <w:color w:val="auto"/>
        </w:rPr>
        <w:t>. Dr. Mario joined our board of directors in August 2007 and served as Chairman and Chief Executive Officer until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when he was named Chairman. From April 2003 to August 2007, Dr. Mario served as Chief Executive Officer and Chairman of Reliant Pharmaceuticals, Inc., a privately held pharmaceutical company that was acquired by GSK for approximately $1.6 billion in 2007. Dr. Mario served as Chief Executive Officer and Chairman of ALZA Corporation, a research-based pharmaceutical company, from November 1997 to December 2001, when ALZA was acquired by Johnson &amp; Johnson for approximately $12 billion. Previously he served as Chief Executive Officer and Co-Chairman of ALZA from August 1993 to November 1997. From January 1992 until March 1993, Dr. Mario served as Deputy Chairman of Glaxo Holdings plc., a pharmaceutical company, and as Chief Executive from May 1989 to March 1993. Dr. Mario has current and past service on a number of corporate boards including Boston Scientific Corporation, Celgene Inc., Chimerix, Inc., Kindred Biosciences Inc., Tonix Pharmaceuticals Holding Corp. and XenoPort Inc. Dr. Mario is active in numerous educational and healthcare organizations. He is Chairman of the American Foundation for Pharmaceutical Education, a Director of the Gladstone Foundation, and past Chairman of the Duke University Health System. Dr. Mario earned his M.S. and Ph.D. in physical sciences at the University of Rhode Island and a B.S. in pharmacy at Rutgers. He holds honorary doctorates from the University of Rhode Island and Rutgers University. In 2007 he was awarded the Remington Medal by the American Pharmacists’ Association, pharmacy’s highest honor.</w:t>
      </w:r>
    </w:p>
    <w:p>
      <w:pPr>
        <w:spacing w:after="0" w:line="16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believe Dr. Mario is able to make valuable contributions to our board of directors due to his extensive knowledge of our company, the industry, and our competitors, his extensive experience in risk oversight, quality and business strategy as a result of serving in leadership roles at multiple companies, his status as a significant stockholder and his prior service as our Chief Executive Officer.</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Edgar G. Engleman, M.D</w:t>
      </w:r>
      <w:r>
        <w:rPr>
          <w:rFonts w:ascii="Arial" w:cs="Arial" w:eastAsia="Arial" w:hAnsi="Arial"/>
          <w:sz w:val="17"/>
          <w:szCs w:val="17"/>
          <w:color w:val="auto"/>
        </w:rPr>
        <w:t>. Dr. Engleman has been a member of our board of directors since June 2001. He is a founding member of Vivo Ventures, LLC</w:t>
      </w:r>
      <w:r>
        <w:rPr>
          <w:rFonts w:ascii="Arial" w:cs="Arial" w:eastAsia="Arial" w:hAnsi="Arial"/>
          <w:sz w:val="17"/>
          <w:szCs w:val="17"/>
          <w:i w:val="1"/>
          <w:iCs w:val="1"/>
          <w:color w:val="auto"/>
        </w:rPr>
        <w:t xml:space="preserve"> </w:t>
      </w:r>
      <w:r>
        <w:rPr>
          <w:rFonts w:ascii="Arial" w:cs="Arial" w:eastAsia="Arial" w:hAnsi="Arial"/>
          <w:sz w:val="17"/>
          <w:szCs w:val="17"/>
          <w:color w:val="auto"/>
        </w:rPr>
        <w:t>(formerly BioAsia Investments)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National Medical Audit, and Dendreon Corporation. He is the lead inventor of the technology underlying Provenge, Dendreon’s cancer vaccine, which was approved in 2010 to treat asymptomatic or minimally symptomatic metastatic hormone-refractory prostate cancer. Dr. Engleman currently serves on the boards of several private biotechnology companies, including Gryphon Therapeutics, Inc., Naryx Pharma, Inc., Eiger BioPharma, Inc., Nuveta, Inc. and Semnur Pharmaceuticals, Inc. He received his M.D. from Columbia University School of Medicine and his B.A. from Harvard University.</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Dr. Engleman is able to make valuable contributions to our board of directors due to his extensive knowledge of the healthcare industry, his medical expertise, his service on other company boards of directors, and his understanding of our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0" w:right="239" w:bottom="1440" w:gutter="0" w:footer="0" w:header="0"/>
        </w:sectPr>
      </w:pPr>
    </w:p>
    <w:bookmarkStart w:id="94" w:name="page95"/>
    <w:bookmarkEnd w:id="94"/>
    <w:p>
      <w:pPr>
        <w:ind w:left="340"/>
        <w:spacing w:after="0"/>
        <w:rPr>
          <w:sz w:val="20"/>
          <w:szCs w:val="20"/>
          <w:color w:val="auto"/>
        </w:rPr>
      </w:pPr>
      <w:r>
        <w:rPr>
          <w:rFonts w:ascii="Arial" w:cs="Arial" w:eastAsia="Arial" w:hAnsi="Arial"/>
          <w:sz w:val="17"/>
          <w:szCs w:val="17"/>
          <w:i w:val="1"/>
          <w:iCs w:val="1"/>
          <w:color w:val="auto"/>
        </w:rPr>
        <w:t>Steinar J. Engelsen, M.D., M.Sc., CEFA</w:t>
      </w:r>
      <w:r>
        <w:rPr>
          <w:rFonts w:ascii="Arial" w:cs="Arial" w:eastAsia="Arial" w:hAnsi="Arial"/>
          <w:sz w:val="17"/>
          <w:szCs w:val="17"/>
          <w:color w:val="auto"/>
        </w:rPr>
        <w:t>. Dr. Engelsen has been a member of our board of directors since April 2004. Since November 1996,</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Dr. Engelsen has been a partner of Teknoinvest AS, a venture capital firm based in Norway. From June 1989 until October 1996, Dr. Engelsen held various management positions within Hafslund Nycomed AS, a pharmaceutical company based in Europe, and affiliated companies. He was responsible for therapeutic research and development, most recently serving as Senior Vice President, Research and Development of Nycomed Pharma AS from January 1994 until October 1996. He currently serves on the board of directors of Insmed, Inc. In addition, from January to November 2000, Dr. Engelsen was acting Chief Executive Officer of Centaur Pharmaceuticals, Inc., a biopharmaceutical company. Dr. Engelsen also served as Chairman of the board of directors of Centaur. Dr. Engelsen received his M.Sc. in Nuclear Chemistry and his M.D. from the University of Oslo, and is a Certified European Financial Analyst from The Norwegian School of Economics.</w:t>
      </w:r>
    </w:p>
    <w:p>
      <w:pPr>
        <w:spacing w:after="0" w:line="19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believe Dr. Engelsen is able to make valuable contributions to our board of directors due to his extensive healthcare management experience, his financial and business leadership and expertise resulting from serving as a director or executive officer of multiple companies, and his understanding of our company.</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William G. Harris</w:t>
      </w:r>
      <w:r>
        <w:rPr>
          <w:rFonts w:ascii="Arial" w:cs="Arial" w:eastAsia="Arial" w:hAnsi="Arial"/>
          <w:sz w:val="18"/>
          <w:szCs w:val="18"/>
          <w:color w:val="auto"/>
        </w:rPr>
        <w:t>. Mr. Harris has been a member of our board of directors since June 2014. Since 2001, he has been the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and Chief Financial Officer of Xenoport, Inc. From 1996 to 2001, he held several positions with Coulter Pharmaceutical, Inc., a biotechnology company engaged in the development of novel therapies for the treatment of cancer and autoimmune diseases, the most recent of which was Senior Vice President and Chief Financial Officer, Corixa Corp., a developer of immunotherapeutic products, which was acquired by Coulter Pharmaceutical in 2000. Prior to Coulter Pharmaceutical, from 1990 to 1996, Mr. Harris held several positions at Gilead Sciences, Inc., the most recent of which was director of finance. Mr. Harris received a B.A. from the University of California, San Diego and an M.B.A. from Santa Clara University, Leavey School of Business and Administration.</w:t>
      </w:r>
    </w:p>
    <w:p>
      <w:pPr>
        <w:spacing w:after="0" w:line="18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Mr. Harris is able to make valuable contributions to our board of directors due to his vast experience as a finance professional in the biomedical and pharmaceutical industries.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Stephen Kirnon, Ed.D</w:t>
      </w:r>
      <w:r>
        <w:rPr>
          <w:rFonts w:ascii="Arial" w:cs="Arial" w:eastAsia="Arial" w:hAnsi="Arial"/>
          <w:sz w:val="16"/>
          <w:szCs w:val="16"/>
          <w:color w:val="auto"/>
        </w:rPr>
        <w:t>. Dr. Kirnon has been a member of our board of directors since July 2002. He has over 20 years of operational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organizations. Since January 2009, he has served as the Co-founder and CEO of PharmaPlan LLC. From January 2012 until July 2013 he served as Vice President, Co-Lead Life Science Practice at Witt/Kieffer, Ford, Hadelman, Lloyd Corp. Prior to that, Dr. Kirnon was the President and Chief Executive Officer of Pepgen Corporation, a biopharmaceutical company based in Alameda, California, specializing in autoimmune diseases. He was formerly the President and CEO of Target Protein Technologies, Inc., a pharmaceutical company based in San Diego and specializing in the development of pharmaceutical compounds targeted to specific tissues and organs of the human body. Prior to TPT, he was the President and COO and a member of the Board of Yamanouchi Pharma Technologies, Inc., which is responsible for developing and commercializing Yamanouchi’s proprietary drug delivery technologies as well as the U.S. development and manufacture of Yamanouchi’s pharmaceuticals. Previously, Dr. Kirnon was the President of the Drug Delivery Division of Cygnus, Inc., successfully leading that Division into profitability and subsequently through sale of its business. Dr. Kirnon has also held various business development, sales, and marketing positions at Cygnus, Biogenex Laboratories, Inc., and GlaxoSmithKline plc. Dr. Kirnon received his doctorate in organization change and transformational leadership from as well as his M.B.A. from Pepperdine University, where he is an Adjunct Professor. He received a B.A. degree in Biochemistry from Harvard University. He is also a trustee of the New England College of Optometry.</w:t>
      </w:r>
    </w:p>
    <w:p>
      <w:pPr>
        <w:spacing w:after="0" w:line="16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Dr. Kirnon is able to make valuable contributions to our board of directors due to his extensive operational experience in the biomedical and pharmaceutical industries, and his knowledge of our company.</w:t>
      </w:r>
    </w:p>
    <w:p>
      <w:pPr>
        <w:spacing w:after="0" w:line="17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i w:val="1"/>
          <w:iCs w:val="1"/>
          <w:color w:val="auto"/>
        </w:rPr>
        <w:t>Rajen Dalal</w:t>
      </w:r>
      <w:r>
        <w:rPr>
          <w:rFonts w:ascii="Arial" w:cs="Arial" w:eastAsia="Arial" w:hAnsi="Arial"/>
          <w:sz w:val="16"/>
          <w:szCs w:val="16"/>
          <w:color w:val="auto"/>
        </w:rPr>
        <w:t>. Mr. Dalal joined our board of directors in April 2016. Since 2011, Mr. Dalal has served as the CEO of ReLIA Diagnostic Systems, Inc., a</w:t>
      </w:r>
      <w:r>
        <w:rPr>
          <w:rFonts w:ascii="Arial" w:cs="Arial" w:eastAsia="Arial" w:hAnsi="Arial"/>
          <w:sz w:val="16"/>
          <w:szCs w:val="16"/>
          <w:i w:val="1"/>
          <w:iCs w:val="1"/>
          <w:color w:val="auto"/>
        </w:rPr>
        <w:t xml:space="preserve"> </w:t>
      </w:r>
      <w:r>
        <w:rPr>
          <w:rFonts w:ascii="Arial" w:cs="Arial" w:eastAsia="Arial" w:hAnsi="Arial"/>
          <w:sz w:val="16"/>
          <w:szCs w:val="16"/>
          <w:color w:val="auto"/>
        </w:rPr>
        <w:t>point-of-care diagnostics company selling blood tests used in emergency medicine. Mr. Dalal also served on ReLIA’s board from 2006 to 2015. Since 2011, Mr. Dalal has been a managing director of Synergenics LLC, a management company that operates a consortium of commonly-owned but independent biotech companies. Mr. Dalal also served from 2008 to 2010 on the board of Singapore based A-Bio Pharma and Dx Assays, from 2006 to 2008 as CEO and director of Aviir, a medical device company which commercialized multi-protein biomarker test for detecting risk of acute myocardial infarction, from 2003 to 2008 on the board of directors for Vermillion, a public ovarian cancer diagnostics company, from 2002 to 2005 as CEO and a director of Guava Technologies, which commercialized a low cost bench top flow cytometer for HIV/AIDS testing, and from 2000 to 2002 on the HHS Committee for Blood Safety and Availability. Mr. Dalal was previously with Chiron as President of its Blood Testing division as well as its Vice President, Corporate Development. Prior to working in biotech, Mr. Dalal was at McKinsey &amp; Co in New York and Cleveland. He is a graduate of the University of Chicago, Massachusetts Instituite of Technology and St. Xavier’s College, Bombay with degrees in business, biochemical engineering and chemistry, respectively.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800" w:right="259" w:bottom="1440" w:gutter="0" w:footer="0" w:header="0"/>
        </w:sectPr>
      </w:pPr>
    </w:p>
    <w:bookmarkStart w:id="95" w:name="page96"/>
    <w:bookmarkEnd w:id="95"/>
    <w:p>
      <w:pPr>
        <w:ind w:right="120" w:firstLine="324"/>
        <w:spacing w:after="0" w:line="277" w:lineRule="auto"/>
        <w:rPr>
          <w:sz w:val="20"/>
          <w:szCs w:val="20"/>
          <w:color w:val="auto"/>
        </w:rPr>
      </w:pPr>
      <w:r>
        <w:rPr>
          <w:rFonts w:ascii="Arial" w:cs="Arial" w:eastAsia="Arial" w:hAnsi="Arial"/>
          <w:sz w:val="18"/>
          <w:szCs w:val="18"/>
          <w:color w:val="auto"/>
        </w:rPr>
        <w:t>We believe Mr. Dalal is able to make a valuable contribution to our board of directors due to his extensive operational experience and board oversight in a diverse range of healthcare companies.</w:t>
      </w:r>
    </w:p>
    <w:p>
      <w:pPr>
        <w:spacing w:after="0" w:line="25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 xml:space="preserve">Stuart J.M Collinson, Ph.D. </w:t>
      </w:r>
      <w:r>
        <w:rPr>
          <w:rFonts w:ascii="Arial" w:cs="Arial" w:eastAsia="Arial" w:hAnsi="Arial"/>
          <w:sz w:val="16"/>
          <w:szCs w:val="16"/>
          <w:color w:val="auto"/>
        </w:rPr>
        <w:t>Dr. Collinson has been a member of our board of directors since March 2017. He currently serves as a partner at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venture capital firm. Previously he was Chairman and CEO of Aurora Biosciences. Dr. Collinson is currently a Board member of Tioga Pharmaceuticals from 2005 and Arcturus Therapeutics from 2014. He was a Board member for Affinium Pharmaceuticals from 2007 to 2014, Oxagen from 2001 to 2012 and VertexPharmaceuticals from 2002 to 2011. Dr. Collinson held senior management positions with Glaxo Wellcome from December 1994 to June 1998, most recently serving as Co-Chairman, Hospital and Critical Care Therapy Management Team and Director of Hospital and Critical Care. Dr. Collinson received his Ph.D. in physical chemistry from the University of Oxford, England and his M.B.A. from Harvard University.</w:t>
      </w:r>
    </w:p>
    <w:p>
      <w:pPr>
        <w:spacing w:after="0" w:line="2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believe Dr. Collinson is able to make valuable contributions to our board of directors due to his significant financial experience and his expertise in our industry.</w:t>
      </w:r>
    </w:p>
    <w:p>
      <w:pPr>
        <w:spacing w:after="0" w:line="3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Mahendra G. Shah, Ph.D. </w:t>
      </w:r>
      <w:r>
        <w:rPr>
          <w:rFonts w:ascii="Arial" w:cs="Arial" w:eastAsia="Arial" w:hAnsi="Arial"/>
          <w:sz w:val="16"/>
          <w:szCs w:val="16"/>
          <w:color w:val="auto"/>
        </w:rPr>
        <w:t>Dr. Shah has been a member of our board of directors since March 2017. Dr. Shah has been with at Vivo Capital, LLC, a</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focused investment firm, since March 2010, and is currently serving as its managing director. Dr. Shah is the founder and executive chairman of Semnur Pharmaceuticals. Dr. Shah previously served as chairman of the board of Essentialis, as a board member of Bolt Therapeutics, Impel Neuropharma, Fortis Inc., Crinetic Pharmaceuticals, Verona Pharma and a member of the board of trustees of St. John’s University. He is also a board member and charter member of EPPIC and a charter member of TIE. From September 2005 to December 2009, he was the founder, chairman and CEO of NextWave Pharmaceuticals, a pediatric focused specialty pharmaceutical company, which was acquired by Pfizer. From 1993 to May 2003, he was the chairman and CEO of First Horizon Pharmaceuticals, a publicly traded specialty pharmaceutical company before it was sold to Shionogi Pharmaceuticals. From 1991 to October 1999, he was vice president of E. J. Financial Enterprises, Inc., a healthcare fund management company. He previously served on the boards of Biotie therapies (BITI), Unimed Pharmaceuticals (UMED), Introgen Therapeutics (INGN), Inpharmakon, Protomed, Structural Bioinformatics, and Zarix. From 1987 to 1991 he was the senior director of new business development with Fujisawa USA (Astellas). Prior to that time he worked in various scientific and management positions with Schering-Plough and Bristol Myers-Squibb. Dr. Shah received his Ph.D. in industrial pharmacy from St. John’s University and his Bachelor’s and Master’s Degree in Pharmacy from L.M. College of Pharmacy in Gujarat, India.</w:t>
      </w:r>
    </w:p>
    <w:p>
      <w:pPr>
        <w:spacing w:after="0" w:line="11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We believe Dr. Shah is able to make a valuable contribution to our board of directors due to his vast experience as a finance professional in the biomedical and pharmaceutical industries.</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James Glasheen, Ph.D. </w:t>
      </w:r>
      <w:r>
        <w:rPr>
          <w:rFonts w:ascii="Arial" w:cs="Arial" w:eastAsia="Arial" w:hAnsi="Arial"/>
          <w:sz w:val="17"/>
          <w:szCs w:val="17"/>
          <w:color w:val="auto"/>
        </w:rPr>
        <w:t>Dr. Glasheen has been a member of our Board of Directors since March 2017. Since 2002, Dr. Glasheen has served as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with Technology Partners, a venture capital firm that focuses on clean tech and life science companies. Prior to his work at Technology Partners, he served as Managing Director of CIT Venture Capital. From 1996 to 2000, he was a leader within McKinsey &amp; Company’s Pharmaceutical and Medical Products Practice. Dr. Glasheen also serves as an advisor to the National Science Foundation’s (NSF) SBIR program in Washington D.C. Dr. Glasheen currently serves as a member of the board of directors of several privately-held biotechnology, consumer medical and medical device companies. Dr. Glasheen holds a B.S. from Duke University and an M.A. and Ph.D. from Harvard University.</w:t>
      </w:r>
    </w:p>
    <w:p>
      <w:pPr>
        <w:spacing w:after="0" w:line="4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believe Dr. Glasheen is able to make valuable contributions to our Board of DDirectors due to his experience facilitating the growth of venture-backed companies, his experiences with McKinsey &amp; Company and his consumer medical company expertise.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ten members. The members of our board of directors were elected in compliance with the provisions of our amended and restated certificate of incorporation and a voting agreement among certain of our stockholders, as amended. The voting agreement terminated upon the closing of our IPO, and none of our stockholders have any special rights regarding the election or designation of members of our board of directors.</w:t>
      </w:r>
    </w:p>
    <w:p>
      <w:pPr>
        <w:spacing w:after="0" w:line="18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accordance with our amended and restated certificate of incorporation, our board of directors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57" w:lineRule="exact"/>
        <w:rPr>
          <w:sz w:val="20"/>
          <w:szCs w:val="20"/>
          <w:color w:val="auto"/>
        </w:rPr>
      </w:pPr>
    </w:p>
    <w:p>
      <w:pPr>
        <w:ind w:left="1300" w:right="34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 directors are Drs. Engleman and Shah and Mr. Dalal, and their terms will expire at our annual meeting of stockholders to be held later in 2018;</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00" w:right="239" w:bottom="1440" w:gutter="0" w:footer="0" w:header="0"/>
        </w:sectPr>
      </w:pPr>
    </w:p>
    <w:bookmarkStart w:id="96" w:name="page97"/>
    <w:bookmarkEnd w:id="96"/>
    <w:p>
      <w:pPr>
        <w:ind w:left="1300" w:right="12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 directors are Drs. Kirnon, Glasheen and Engelsen, and their terms will expire at our annual meeting of stockholders to be held in 2019; and</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III directors are Drs. Bhatnagar, Collinson and Mario and Mr. Harris, and their terms will expire at our annual meeting of stockholders to be held in 2017.</w:t>
      </w:r>
    </w:p>
    <w:p>
      <w:pPr>
        <w:spacing w:after="0" w:line="27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could potentially delay or prevent a change of our management or a change in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Under the listing requirements and rules of The NASDAQ Capital Market, or NASDAQ, independent directors must comprise a majority of a listed company’s board of directors, subject to certain phase-ins.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board of directors performed a review of its composition, the composition of its committees, and the independence of each director. Based upon information requested from and provided by each director concerning such director’s background, employment and affiliations, including family relationships, our board of directors determined that Messrs. Dalal and Harris, and Drs. Engelsen, Kirnon, Glasheen and Collinson have no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any other transactional relationships a non-employee director may have with our company, and all other facts and circumstances our board of directors deemed relevant in determining their independence, including the beneficial ownership of our capital stock held by each non-employee director and any of his and our respective affiliates.</w:t>
      </w:r>
    </w:p>
    <w:p>
      <w:pPr>
        <w:spacing w:after="0" w:line="19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determining the independence of Drs. Glasheen and Collinson, our board of directors considered Drs. Glasheen’s and Collinson’s service as directors of Essentialis, Inc. prior to the effective date of the Merger with Essentialis. Our board of directors further considered Drs. Glasheen’s and Collinson’s relationships with Technology Partners and Forward Ventures, respectively, each of which were stockholders of Essentialis prior to the Merger and now own more than 10% of our common stock as more fully described below in the following sections: “Certain Relationships and Related Party Transactions” and “Security Ownership Of Certain Beneficial Owners And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board of directors has a Chairman, Dr. Mario, who has authority, among other things, to preside over board of directors meetings, and to call special meetings of the board of directors. Accordingly, the Chairman has substantial ability to shape the work of our board of directors. We currently believe that separation of the roles of Chairman and Chief Executive Officer reinforces the leadership role of our board of directors in its oversight of the business and affairs of our company. In addition, we currently believe that having a separate Chairman creates an environment that is more conducive to objective evaluation and oversight of management’s performance, increasing management accountability and improving the ability of our board of directors to monitor whether management’s actions are in the best interests of our company and its stockholders. However, no single leadership model is right for all companies and at all times. Our board of directors recognizes that depending on the circumstances, other leadership models, such as combining the role of Chairman with the role of Chief Executive Officer, might be appropriate. As a result, our board of directors may periodically review its leadership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board of directors has the authority to appoint committees to perform certain management and administration functions. Our board of directors has an audit committee, a compensation committee and a nominating and corporate governance committee. The composition and responsibilities of each committee are described below. Members will serve on these committees until their resignation or until otherwise determined by our board of directors. The inclusion of our website address in this prospectus does not incorporate by reference the information on or accessible through our website into this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7" w:name="page98"/>
    <w:bookmarkEnd w:id="97"/>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audit committee consists of Steinar J. Engelsen, William G. Harris, and Stephen Kirnon, each of whom satisfies the independence requirements under NASDAQ listing standards and Rule 10A-3(b)(1) of the Exchange Act. The chairperson of our audit committee is Mr. Harris. Each member of our audit committee can read and understand fundamental financial statements in accordance with audit committee requirements. In arriving at this determination, our board of directors has examined each audit committee member’s scope of experience and the nature of their employment in the corporate finance sector.</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Dr. Engelsen and Mr. Harris are audit committee financial experts, as defined by the rules promulgated by the Securities Exchange and Commission.</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charter of the audit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Our compensation committee consists of Steinar J. Engelsen, William G. Harris, Stephen Kirnon and James Glasheen, each of whom our board of directors has determined to be independent under NASDAQ listing standards, a “non-employee director” as defined in Rule 16b-3 promulgated under the Exchange Act, and an “outside director” as that term is defined in Section 162(m) of the Code. The chairperson of our compensation committee is Dr. Engelsen.</w:t>
      </w:r>
    </w:p>
    <w:p>
      <w:pPr>
        <w:spacing w:after="0" w:line="187"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The charter of the compensation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nominating and corporate governance committee consists of Steinar J. Engelsen, Stephen Kirnon, Rajen Dalal and Stuart Collinson, each of whom our board of directors has determined to be independent under NASDAQ listing standards. The chairperson of our nominating and corporate governance committee is Dr. Kirnon.</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 xml:space="preserve">The charter of the nominating and corporate governance committee is available on our website at </w:t>
      </w:r>
      <w:r>
        <w:rPr>
          <w:rFonts w:ascii="Arial" w:cs="Arial" w:eastAsia="Arial" w:hAnsi="Arial"/>
          <w:sz w:val="17"/>
          <w:szCs w:val="17"/>
          <w:i w:val="1"/>
          <w:iCs w:val="1"/>
          <w:color w:val="auto"/>
        </w:rPr>
        <w:t>www.soleno.life</w:t>
      </w:r>
      <w:r>
        <w:rPr>
          <w:rFonts w:ascii="Arial" w:cs="Arial" w:eastAsia="Arial" w:hAnsi="Arial"/>
          <w:sz w:val="17"/>
          <w:szCs w:val="17"/>
          <w:color w:val="auto"/>
        </w:rPr>
        <w:t>. The inclusion of our website address in this prospectus does not include or incorporate by reference into this prospectus the information on or accessible through our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our company. The participation of our board of directors in our risk oversight process includes receiving regular reports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0" w:right="239" w:bottom="1440" w:gutter="0" w:footer="0" w:header="0"/>
        </w:sectPr>
      </w:pPr>
    </w:p>
    <w:bookmarkStart w:id="98" w:name="page99"/>
    <w:bookmarkEnd w:id="98"/>
    <w:p>
      <w:pPr>
        <w:ind w:right="600"/>
        <w:spacing w:after="0" w:line="277" w:lineRule="auto"/>
        <w:rPr>
          <w:sz w:val="20"/>
          <w:szCs w:val="20"/>
          <w:color w:val="auto"/>
        </w:rPr>
      </w:pPr>
      <w:r>
        <w:rPr>
          <w:rFonts w:ascii="Arial" w:cs="Arial" w:eastAsia="Arial" w:hAnsi="Arial"/>
          <w:sz w:val="18"/>
          <w:szCs w:val="18"/>
          <w:color w:val="auto"/>
        </w:rPr>
        <w:t>from members of senior management on areas of material risk to our company, including operational, financial, legal and regulatory, and strategic and reputational risks.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170"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and reporting levels.</w:t>
      </w:r>
    </w:p>
    <w:p>
      <w:pPr>
        <w:spacing w:after="0" w:line="17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Our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 direction from the full board of directors regarding our risk management policies and guidelines, as well as the audit committee’s risk oversight activities.</w:t>
      </w:r>
    </w:p>
    <w:p>
      <w:pPr>
        <w:spacing w:after="0" w:line="14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addition, our compensation committee assesses our compensation policies to confirm that the compensation policies and practices do not encourage unnecessary risk taking. The compensation committee reviews and discusses the relationship between risk management policies and practices, corporate strategy and senior executive compensation and, when appropriate, report on the findings from the discussions to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None of the members of our compensation committee has ever been an officer or employee of our company. None of our executive officers serve, or have served during the last fiscal year, as a member of a board of directors, compensation committee or other board committee performing equivalent functions of any entity that has one or more executive officers serving on our board directors or on our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our non-employee directors during the fiscal year ended December 31,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ind w:left="760"/>
              <w:spacing w:after="0"/>
              <w:rPr>
                <w:sz w:val="20"/>
                <w:szCs w:val="20"/>
                <w:color w:val="auto"/>
              </w:rPr>
            </w:pPr>
            <w:r>
              <w:rPr>
                <w:rFonts w:ascii="Arial" w:cs="Arial" w:eastAsia="Arial" w:hAnsi="Arial"/>
                <w:sz w:val="16"/>
                <w:szCs w:val="16"/>
                <w:b w:val="1"/>
                <w:bCs w:val="1"/>
                <w:color w:val="auto"/>
              </w:rPr>
              <w:t>Cash</w:t>
            </w:r>
          </w:p>
        </w:tc>
        <w:tc>
          <w:tcPr>
            <w:tcW w:w="1920" w:type="dxa"/>
            <w:vAlign w:val="bottom"/>
            <w:gridSpan w:val="2"/>
          </w:tcPr>
          <w:p>
            <w:pPr>
              <w:ind w:left="660"/>
              <w:spacing w:after="0"/>
              <w:rPr>
                <w:sz w:val="20"/>
                <w:szCs w:val="20"/>
                <w:color w:val="auto"/>
              </w:rPr>
            </w:pPr>
            <w:r>
              <w:rPr>
                <w:rFonts w:ascii="Arial" w:cs="Arial" w:eastAsia="Arial" w:hAnsi="Arial"/>
                <w:sz w:val="16"/>
                <w:szCs w:val="16"/>
                <w:b w:val="1"/>
                <w:bCs w:val="1"/>
                <w:color w:val="auto"/>
              </w:rPr>
              <w:t>Option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Other</w:t>
            </w:r>
          </w:p>
        </w:tc>
        <w:tc>
          <w:tcPr>
            <w:tcW w:w="1820" w:type="dxa"/>
            <w:vAlign w:val="bottom"/>
          </w:tcPr>
          <w:p>
            <w:pPr>
              <w:spacing w:after="0"/>
              <w:rPr>
                <w:sz w:val="17"/>
                <w:szCs w:val="17"/>
                <w:color w:val="auto"/>
              </w:rPr>
            </w:pPr>
          </w:p>
        </w:tc>
      </w:tr>
      <w:tr>
        <w:trPr>
          <w:trHeight w:val="210"/>
        </w:trPr>
        <w:tc>
          <w:tcPr>
            <w:tcW w:w="3780" w:type="dxa"/>
            <w:vAlign w:val="bottom"/>
            <w:gridSpan w:val="3"/>
          </w:tcPr>
          <w:p>
            <w:pPr>
              <w:ind w:left="1640"/>
              <w:spacing w:after="0"/>
              <w:rPr>
                <w:sz w:val="20"/>
                <w:szCs w:val="20"/>
                <w:color w:val="auto"/>
              </w:rPr>
            </w:pPr>
            <w:r>
              <w:rPr>
                <w:rFonts w:ascii="Arial" w:cs="Arial" w:eastAsia="Arial" w:hAnsi="Arial"/>
                <w:sz w:val="16"/>
                <w:szCs w:val="16"/>
                <w:b w:val="1"/>
                <w:bCs w:val="1"/>
                <w:color w:val="auto"/>
              </w:rPr>
              <w:t>Name</w:t>
            </w:r>
          </w:p>
        </w:tc>
        <w:tc>
          <w:tcPr>
            <w:tcW w:w="1960" w:type="dxa"/>
            <w:vAlign w:val="bottom"/>
            <w:gridSpan w:val="2"/>
          </w:tcPr>
          <w:p>
            <w:pPr>
              <w:ind w:left="500"/>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Awards(1)</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1820" w:type="dxa"/>
            <w:vAlign w:val="bottom"/>
          </w:tcPr>
          <w:p>
            <w:pPr>
              <w:ind w:left="660"/>
              <w:spacing w:after="0"/>
              <w:rPr>
                <w:sz w:val="20"/>
                <w:szCs w:val="20"/>
                <w:color w:val="auto"/>
              </w:rPr>
            </w:pPr>
            <w:r>
              <w:rPr>
                <w:rFonts w:ascii="Arial" w:cs="Arial" w:eastAsia="Arial" w:hAnsi="Arial"/>
                <w:sz w:val="16"/>
                <w:szCs w:val="16"/>
                <w:b w:val="1"/>
                <w:bCs w:val="1"/>
                <w:color w:val="auto"/>
              </w:rPr>
              <w:t>Total</w:t>
            </w:r>
          </w:p>
        </w:tc>
      </w:tr>
      <w:tr>
        <w:trPr>
          <w:trHeight w:val="33"/>
        </w:trPr>
        <w:tc>
          <w:tcPr>
            <w:tcW w:w="2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Edgar G. Engleman(2)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$53,610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Ernie Mario(3)</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$60,000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$78,610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Steinar J. Engelsen(4)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$56,000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$74,610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Stephen Kirnon(5)</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$54,500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$73,110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William James Alexander(6)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$8,750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William G. Harris(7)</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$55,000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$73,610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Rajen Dalal(8)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$28,875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$32,865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$61,740</w:t>
            </w:r>
          </w:p>
        </w:tc>
      </w:tr>
      <w:tr>
        <w:trPr>
          <w:trHeight w:val="257"/>
        </w:trPr>
        <w:tc>
          <w:tcPr>
            <w:tcW w:w="2240" w:type="dxa"/>
            <w:vAlign w:val="bottom"/>
            <w:tcBorders>
              <w:bottom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0" w:right="239" w:bottom="1440" w:gutter="0" w:footer="0" w:header="0"/>
        </w:sectPr>
      </w:pPr>
    </w:p>
    <w:bookmarkStart w:id="99" w:name="page100"/>
    <w:bookmarkEnd w:id="99"/>
    <w:p>
      <w:pPr>
        <w:ind w:left="660" w:right="100" w:hanging="652"/>
        <w:spacing w:after="0" w:line="25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each option award granted during the fiscal year, computed in accordance with FASB ASC Topic 718. The valuation assumptions used in determining such amounts are described in Note 6 and Note 9 to our financial statements included in this prospectus. The table below lists the aggregate number of shares and additional information with respect to the outstanding option awards held by each of our non-employee directors.</w:t>
      </w:r>
    </w:p>
    <w:p>
      <w:pPr>
        <w:spacing w:after="0" w:line="79" w:lineRule="exact"/>
        <w:rPr>
          <w:rFonts w:ascii="Arial" w:cs="Arial" w:eastAsia="Arial" w:hAnsi="Arial"/>
          <w:sz w:val="16"/>
          <w:szCs w:val="16"/>
          <w:color w:val="auto"/>
        </w:rPr>
      </w:pPr>
    </w:p>
    <w:p>
      <w:pPr>
        <w:jc w:val="both"/>
        <w:ind w:left="660" w:right="300" w:hanging="652"/>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Engelman joined our Board in June 2001. During 2016, Dr. Engelman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right="100" w:hanging="652"/>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Mario joined our Board in August 2007. During 2016, Dr. Mario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Engelsen joined our Board in April 2004. During 2016, Dr. Engelsen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right="160" w:hanging="652"/>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Kirnon joined our Board in July 2002. During 2016, Dr. Kirnon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Alexander joined our Board in June 2008 and resigned from our Board on March 28, 2016.</w:t>
      </w:r>
    </w:p>
    <w:p>
      <w:pPr>
        <w:spacing w:after="0" w:line="113" w:lineRule="exact"/>
        <w:rPr>
          <w:rFonts w:ascii="Arial" w:cs="Arial" w:eastAsia="Arial" w:hAnsi="Arial"/>
          <w:sz w:val="16"/>
          <w:szCs w:val="16"/>
          <w:color w:val="auto"/>
        </w:rPr>
      </w:pPr>
    </w:p>
    <w:p>
      <w:pPr>
        <w:ind w:left="660" w:right="200" w:hanging="652"/>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Harris joined our Board in June 2014. During 2016, Mr. Harris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line="25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Dalal joined our Board in April 2016. During 2016, Mr. Dalal was granted two options to purchase an aggregate of 47,083 shares of our common stock outstanding, comprised of an option to purchase 27,083 shares, which vests as to 100% of the shares on the earlier of the 12 month anniversary of the date of grant or the day before the next annual meeting of stockholders, and an option to purchase 20,000 shares, which vests as to 1/48th of the shares each month, in each case subject to continued service through each such date in June 2001.</w:t>
      </w:r>
    </w:p>
    <w:p>
      <w:pPr>
        <w:spacing w:after="0" w:line="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board of directors has adopted a non-employee director compensation policy pursuant to which we will compensate our non-employee directors with a combination of cash and equity. Each such director will receive an annual base cash retainer of $35,000 for such service, to be paid quarterly in the form of shares of our common stock. Each non-employee director will receive an annual stock option grant to purchase that number of shares representing, as of the date of grant, $32,500 of value, which shall be granted effective as of the date of each annual stockholder meeting, and share vest as to 100% of the shares on the earlier of the 12 month anniversary of the date of grant or the day before the next annual stockholder meeting. New members elected to the board of directors shall receive a stock option grant to purchase 20,000 shares of common stock, which shall vest monthly over four years. The policy also provides that we compensate certain members of our Board of Directors for service on our committees as follows:</w:t>
      </w:r>
    </w:p>
    <w:p>
      <w:pPr>
        <w:spacing w:after="0" w:line="59"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chair or executive chair of our board of directors will receive an annual cash retainer of $25,000 for such service, paid quarterly;</w:t>
      </w:r>
    </w:p>
    <w:p>
      <w:pPr>
        <w:spacing w:after="0" w:line="128"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chairperson of our audit committee will receive an annual cash retainer of $15,000 for such service and each other member of the audit committee will receive an annual cash retainer of $7,500 for such service, paid quarterly;</w:t>
      </w:r>
    </w:p>
    <w:p>
      <w:pPr>
        <w:spacing w:after="0" w:line="62"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chairperson of our compensation committee will receive an annual cash retainer of $10,000 for such service and each other member of the compensation committee will receive an annual cash retainer of $5,000 for such service, paid quarterly; and</w:t>
      </w:r>
    </w:p>
    <w:p>
      <w:pPr>
        <w:spacing w:after="0" w:line="38" w:lineRule="exact"/>
        <w:rPr>
          <w:rFonts w:ascii="Arial" w:cs="Arial" w:eastAsia="Arial" w:hAnsi="Arial"/>
          <w:sz w:val="17"/>
          <w:szCs w:val="17"/>
          <w:color w:val="auto"/>
        </w:rPr>
      </w:pPr>
    </w:p>
    <w:p>
      <w:pPr>
        <w:ind w:left="1300" w:right="40" w:hanging="644"/>
        <w:spacing w:after="0" w:line="342"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chairperson of our nominating and corporate governance committee will receive an annual cash retainer of $7,000 for such service and each other member of the nominating and corporate governance committee will receive an annual cash retainer of $3,500, paid quarterly.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697" w:right="2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Our named executive officers for the year ended December 31, 2016 are:</w:t>
      </w:r>
    </w:p>
    <w:p>
      <w:pPr>
        <w:spacing w:after="0" w:line="79"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Anish Bhatnagar, M.D., our Chief Executive Officer, President and Chief Operating Officer;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David D. O’Toole, our Senior Vice President, Chief Financial Officer;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Anthony Wondka, our Senior Vice President, Research &amp; Development.</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Throughout this section, we refer to these three officers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Summary Compensation Table below sets forth information regarding the compensation awarded to or earned by our named executive officers during the years ended December 31, 2016, and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Nonqualified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Non-equity</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Deferred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Year Ended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Option</w:t>
            </w: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and Position</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3"/>
              </w:rPr>
              <w:t>Bonus</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Awards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9"/>
              </w:rPr>
              <w:t>Awards(1)</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Anish Bhatnagar</w:t>
            </w:r>
          </w:p>
        </w:tc>
        <w:tc>
          <w:tcPr>
            <w:tcW w:w="11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460,000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499,243</w:t>
            </w:r>
          </w:p>
        </w:tc>
        <w:tc>
          <w:tcPr>
            <w:tcW w:w="12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959,243</w:t>
            </w:r>
          </w:p>
        </w:tc>
        <w:tc>
          <w:tcPr>
            <w:tcW w:w="0" w:type="dxa"/>
            <w:vAlign w:val="bottom"/>
          </w:tcPr>
          <w:p>
            <w:pPr>
              <w:spacing w:after="0"/>
              <w:rPr>
                <w:sz w:val="1"/>
                <w:szCs w:val="1"/>
                <w:color w:val="auto"/>
              </w:rPr>
            </w:pPr>
          </w:p>
        </w:tc>
      </w:tr>
      <w:tr>
        <w:trPr>
          <w:trHeight w:val="54"/>
        </w:trPr>
        <w:tc>
          <w:tcPr>
            <w:tcW w:w="1840" w:type="dxa"/>
            <w:vAlign w:val="bottom"/>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4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Chief Executive Officer,</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435,156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185,000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570,100</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1,190,256</w:t>
            </w:r>
          </w:p>
        </w:tc>
        <w:tc>
          <w:tcPr>
            <w:tcW w:w="0" w:type="dxa"/>
            <w:vAlign w:val="bottom"/>
          </w:tcPr>
          <w:p>
            <w:pPr>
              <w:spacing w:after="0"/>
              <w:rPr>
                <w:sz w:val="1"/>
                <w:szCs w:val="1"/>
                <w:color w:val="auto"/>
              </w:rPr>
            </w:pPr>
          </w:p>
        </w:tc>
      </w:tr>
      <w:tr>
        <w:trPr>
          <w:trHeight w:val="137"/>
        </w:trPr>
        <w:tc>
          <w:tcPr>
            <w:tcW w:w="18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President and Chief</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Officer</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40"/>
              <w:spacing w:after="0"/>
              <w:rPr>
                <w:sz w:val="20"/>
                <w:szCs w:val="20"/>
                <w:color w:val="auto"/>
              </w:rPr>
            </w:pPr>
            <w:r>
              <w:rPr>
                <w:rFonts w:ascii="Arial" w:cs="Arial" w:eastAsia="Arial" w:hAnsi="Arial"/>
                <w:sz w:val="14"/>
                <w:szCs w:val="14"/>
                <w:color w:val="auto"/>
              </w:rPr>
              <w:t>David D. O’Toole</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125,133</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425,133</w:t>
            </w:r>
          </w:p>
        </w:tc>
        <w:tc>
          <w:tcPr>
            <w:tcW w:w="0" w:type="dxa"/>
            <w:vAlign w:val="bottom"/>
          </w:tcPr>
          <w:p>
            <w:pPr>
              <w:spacing w:after="0"/>
              <w:rPr>
                <w:sz w:val="1"/>
                <w:szCs w:val="1"/>
                <w:color w:val="auto"/>
              </w:rPr>
            </w:pPr>
          </w:p>
        </w:tc>
      </w:tr>
      <w:tr>
        <w:trPr>
          <w:trHeight w:val="236"/>
        </w:trPr>
        <w:tc>
          <w:tcPr>
            <w:tcW w:w="1840" w:type="dxa"/>
            <w:vAlign w:val="bottom"/>
          </w:tcPr>
          <w:p>
            <w:pPr>
              <w:ind w:left="180"/>
              <w:spacing w:after="0"/>
              <w:rPr>
                <w:sz w:val="20"/>
                <w:szCs w:val="20"/>
                <w:color w:val="auto"/>
              </w:rPr>
            </w:pPr>
            <w:r>
              <w:rPr>
                <w:rFonts w:ascii="Arial" w:cs="Arial" w:eastAsia="Arial" w:hAnsi="Arial"/>
                <w:sz w:val="14"/>
                <w:szCs w:val="14"/>
                <w:color w:val="auto"/>
                <w:w w:val="93"/>
              </w:rPr>
              <w:t>Senior Vice President, Chief</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265,000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47,950</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108,732</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421,682</w:t>
            </w:r>
          </w:p>
        </w:tc>
        <w:tc>
          <w:tcPr>
            <w:tcW w:w="0" w:type="dxa"/>
            <w:vAlign w:val="bottom"/>
          </w:tcPr>
          <w:p>
            <w:pPr>
              <w:spacing w:after="0"/>
              <w:rPr>
                <w:sz w:val="1"/>
                <w:szCs w:val="1"/>
                <w:color w:val="auto"/>
              </w:rPr>
            </w:pPr>
          </w:p>
        </w:tc>
      </w:tr>
      <w:tr>
        <w:trPr>
          <w:trHeight w:val="188"/>
        </w:trPr>
        <w:tc>
          <w:tcPr>
            <w:tcW w:w="1840" w:type="dxa"/>
            <w:vAlign w:val="bottom"/>
          </w:tcPr>
          <w:p>
            <w:pPr>
              <w:ind w:left="180"/>
              <w:spacing w:after="0"/>
              <w:rPr>
                <w:sz w:val="20"/>
                <w:szCs w:val="20"/>
                <w:color w:val="auto"/>
              </w:rPr>
            </w:pPr>
            <w:r>
              <w:rPr>
                <w:rFonts w:ascii="Arial" w:cs="Arial" w:eastAsia="Arial" w:hAnsi="Arial"/>
                <w:sz w:val="14"/>
                <w:szCs w:val="14"/>
                <w:color w:val="auto"/>
              </w:rPr>
              <w:t>Financial Officer</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Anthony Wondka</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266,500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73,346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339,846</w:t>
            </w:r>
          </w:p>
        </w:tc>
        <w:tc>
          <w:tcPr>
            <w:tcW w:w="0" w:type="dxa"/>
            <w:vAlign w:val="bottom"/>
          </w:tcPr>
          <w:p>
            <w:pPr>
              <w:spacing w:after="0"/>
              <w:rPr>
                <w:sz w:val="1"/>
                <w:szCs w:val="1"/>
                <w:color w:val="auto"/>
              </w:rPr>
            </w:pPr>
          </w:p>
        </w:tc>
      </w:tr>
      <w:tr>
        <w:trPr>
          <w:trHeight w:val="68"/>
        </w:trPr>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Vice President,</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262,375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45,500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111,476</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419,351</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&amp; Development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652"/>
        <w:spacing w:after="0" w:line="257"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each option award granted during the fiscal years ended December 31, 2016 and 2015, as applicable, computed in accordance with FASB ASC Topic 718. The valuation assumptions used in determining such amounts are described in the Notes to our audited financial statements for the year ended December 31, 2015 and December 31, 2016.</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offer letters and Employment Agreements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entered into employment agreements with our named executive officers. The employment agreements provide for “at-will” employment and set forth the terms and conditions of employment, including annual base salary, target bonus opportunity, equity compensation, severance benefits and eligibility to participate in our employee benefit plans and programs. In connection with their employment, our named executive officers were each also required to execute our standard proprietary information and inventions agreement. The material terms of these employment agreements are summarized below. These summaries are qualified in their entirety by reference to the actual text of the employment agreements, which were filed as exhibits to the Current Report on Form 8-K that was filed with the SEC on May 20,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with Anish Bhatnagar</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entered into an employment agreement with Dr. Bhatnagar, dated May 15, 2015, pursuant to which Dr. Bhatnagar serves as our President and Chief Executive Officer. The agreement provides for “at-will” employment and sets forth certain agreed upon terms and conditions of employment. Dr. Bhatnagar’s current annual base salary is $460,000.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with David D. O’Toole</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entered into an employment agreement with Mr. O’Toole, dated May 15, 2015, pursuant to which Mr. O’Toole serves as our Senior Vice President, Chief Financial Officer. The agreement provides for “at-will” employment and sets forth certain agreed upon terms and conditions of employment. Mr. O’Toole’s current annual base salary is $300,000.</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796" w:right="239" w:bottom="1440" w:gutter="0" w:footer="0" w:header="0"/>
          <w:type w:val="continuous"/>
        </w:sectPr>
      </w:pPr>
    </w:p>
    <w:bookmarkStart w:id="101" w:name="page102"/>
    <w:bookmarkEnd w:id="101"/>
    <w:p>
      <w:pPr>
        <w:ind w:left="340"/>
        <w:spacing w:after="0"/>
        <w:rPr>
          <w:sz w:val="20"/>
          <w:szCs w:val="20"/>
          <w:color w:val="auto"/>
        </w:rPr>
      </w:pPr>
      <w:r>
        <w:rPr>
          <w:rFonts w:ascii="Arial" w:cs="Arial" w:eastAsia="Arial" w:hAnsi="Arial"/>
          <w:sz w:val="18"/>
          <w:szCs w:val="18"/>
          <w:b w:val="1"/>
          <w:bCs w:val="1"/>
          <w:i w:val="1"/>
          <w:iCs w:val="1"/>
          <w:color w:val="auto"/>
        </w:rPr>
        <w:t>Agreement with Anthony Wondka</w:t>
      </w:r>
    </w:p>
    <w:p>
      <w:pPr>
        <w:spacing w:after="0" w:line="23" w:lineRule="exact"/>
        <w:rPr>
          <w:sz w:val="20"/>
          <w:szCs w:val="20"/>
          <w:color w:val="auto"/>
        </w:rPr>
      </w:pPr>
    </w:p>
    <w:p>
      <w:pPr>
        <w:jc w:val="both"/>
        <w:ind w:right="220" w:firstLine="324"/>
        <w:spacing w:after="0" w:line="255" w:lineRule="auto"/>
        <w:rPr>
          <w:sz w:val="20"/>
          <w:szCs w:val="20"/>
          <w:color w:val="auto"/>
        </w:rPr>
      </w:pPr>
      <w:r>
        <w:rPr>
          <w:rFonts w:ascii="Arial" w:cs="Arial" w:eastAsia="Arial" w:hAnsi="Arial"/>
          <w:sz w:val="18"/>
          <w:szCs w:val="18"/>
          <w:color w:val="auto"/>
        </w:rPr>
        <w:t>We entered into an employment agreement with Mr. Wondka, dated May 15, 2015, pursuant to which Mr. Wondka serves as our Senior Vice President, Research and Development. The agreement provides for “at-will” employment and sets forth certain agreed upon terms and conditions of employment. Mr. Wondka’s current annual base salary is $266,500.</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of control</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Dr. Bhatnagar</w:t>
      </w:r>
      <w:r>
        <w:rPr>
          <w:rFonts w:ascii="Arial" w:cs="Arial" w:eastAsia="Arial" w:hAnsi="Arial"/>
          <w:sz w:val="18"/>
          <w:szCs w:val="18"/>
          <w:color w:val="auto"/>
        </w:rPr>
        <w:t>. Pursuant to Dr. Bhatnagar’s employment agreement, if Dr. Bhatnagar’s employment is terminated without “Cause” (as defined in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Bhatnagar’s employment agreement) or resignation by the employee for “Good Reason” (as defined in Dr. Bhatnagar’s employment agreement), and subject to Dr. Bhatnagar signing and not revoking a separation agreement and release of claims, then Dr. Bhatnagar will be entitled to the following severance payments and benefits:</w:t>
      </w:r>
    </w:p>
    <w:p>
      <w:pPr>
        <w:spacing w:after="0" w:line="187" w:lineRule="exact"/>
        <w:rPr>
          <w:sz w:val="20"/>
          <w:szCs w:val="20"/>
          <w:color w:val="auto"/>
        </w:rPr>
      </w:pPr>
    </w:p>
    <w:p>
      <w:pPr>
        <w:ind w:left="660" w:right="20" w:hanging="328"/>
        <w:spacing w:after="0" w:line="25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Dr. Bhatnagar’s termination or resignation occurs prior to six (6) months before a Change in Control (as defined in Dr. Bhatnagar’s employment agreement) of the Company: (i) continuing payments of severance pay at a rate equal to Dr. Bhatnagar’s base salary rate for fifteen (15) months from the date of such termination without Cause or resignation for Good Reason; (ii) if Dr. Bhatnagar elects continuation coverage pursuant to the Consolidated Budget Reconciliation Act of 1985 (“COBRA”), then the Company will reimburse Dr. Bhatnagar on the last day of each month for a period ending fifteen (15) months after Dr. Bhatnagar’s termination date for the COBRA premiums paid during such period for such coverage (at the coverage levels in effect immediately prior to Dr. Bhatnagar’s termination); and (iii) twenty-five percent (25%) of any unvested equity awards held by Dr. Bhatnagar as of the date of such termination without Cause or resignation for Good Reason shall immediately vest and become fully exercisable;</w:t>
      </w:r>
    </w:p>
    <w:p>
      <w:pPr>
        <w:spacing w:after="0" w:line="19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such termination or resignation occurs within six (6) months prior to, or twelve (12) months following, a Change in Control of the Company: (i) continuing payments of severance pay at a rate equal to Dr. Bhatnagar’s base salary rate for eighteen (18) months from the date of such termination without Cause or resignation for Good Reason; (ii) if Dr. Bhatnagar elects continuation coverage pursuant to COBRA, then the Company will reimburse Dr. Bhatnagar on the last day of each month for a period ending eighteen (18) months after Dr. Bhatnagar’s termination date for the COBRA premiums paid during such period for such coverage (at the coverage levels in effect immediately prior to Dr. Bhatnagar’s termination); (iii) a payment equal to one hundred fifty percent (150%) the annual target bonus opportunity for the year in which Dr. Bhatnagar is terminated without Cause or resigns for Good Reason; and (iv) one hundred percent (100%) of any unvested equity awards held by Dr. Bhatnagar as of the date of such termination without Cause or resignation for Good Reason shall immediately vest and become fully exercisable; and</w:t>
      </w:r>
    </w:p>
    <w:p>
      <w:pPr>
        <w:spacing w:after="0" w:line="166" w:lineRule="exact"/>
        <w:rPr>
          <w:rFonts w:ascii="Arial" w:cs="Arial" w:eastAsia="Arial" w:hAnsi="Arial"/>
          <w:sz w:val="16"/>
          <w:szCs w:val="16"/>
          <w:color w:val="auto"/>
        </w:rPr>
      </w:pPr>
    </w:p>
    <w:p>
      <w:pPr>
        <w:ind w:left="660" w:right="440" w:hanging="328"/>
        <w:spacing w:after="0" w:line="34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Dr. Bhatnagar is terminated without Cause or resigns for Good Reason during the term of Dr. Bhatnagar’s employment agreement, then Dr. Bhatnagar’s shall have one y.ear following such termination without Cause or resignation for Good Reason to exercise any then vested options.</w:t>
      </w:r>
    </w:p>
    <w:p>
      <w:pPr>
        <w:spacing w:after="0" w:line="12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b w:val="1"/>
          <w:bCs w:val="1"/>
          <w:i w:val="1"/>
          <w:iCs w:val="1"/>
          <w:color w:val="auto"/>
        </w:rPr>
        <w:t>Mr. O’Toole</w:t>
      </w:r>
      <w:r>
        <w:rPr>
          <w:rFonts w:ascii="Arial" w:cs="Arial" w:eastAsia="Arial" w:hAnsi="Arial"/>
          <w:sz w:val="18"/>
          <w:szCs w:val="18"/>
          <w:color w:val="auto"/>
        </w:rPr>
        <w:t>. Pursuant to Mr. O’Toole’s employment agreement, if Mr. O’Toole’s employment is terminated without “Cause” (as defined in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O’Toole’s employment agreement) or resignation by the employee for “Good Reason” (as defined in Mr. O’Toole’s employment agreement), and subject to Mr. O’Toole signing and not revoking a separation agreement and release of claims, then Mr. O’Toole will be entitled to the following severance payments and benefits:</w:t>
      </w:r>
    </w:p>
    <w:p>
      <w:pPr>
        <w:spacing w:after="0" w:line="187" w:lineRule="exact"/>
        <w:rPr>
          <w:sz w:val="20"/>
          <w:szCs w:val="20"/>
          <w:color w:val="auto"/>
        </w:rPr>
      </w:pPr>
    </w:p>
    <w:p>
      <w:pPr>
        <w:ind w:left="660" w:right="8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Mr. O’Toole’s termination or resignation occurs prior to three (3) months before a Change in Control (as defined in Mr. O’Toole’s employment agreement) of the Company: (i) continuing payments of severance pay at a rate equal to Mr. O’Toole’s base salary rate for six (6) months from the date of such termination without Cause or resignation for Good Reason; and (ii) if Mr. O’Toole elects continuation coverage pursuant to COBRA, then the Company will reimburse Mr. O’Toole on the last day of each month for a period ending six (6) months after Mr. O’Toole’s termination date for the COBRA premiums paid during such period for such coverage (at the coverage levels in effect immediately prior to Mr. O’Toole’s termination); and</w:t>
      </w:r>
    </w:p>
    <w:p>
      <w:pPr>
        <w:spacing w:after="0" w:line="193"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Mr. O’Toole’s termination or resignation occurs within three (3) months prior to, or six (6) months following, a Change in Control of the Company: (i) continuing payments of severance pay at a rate equal to Mr. O’Toole’s base salary rate for twelve (12) months from the date of such termination without Cause or resignation for Good Reason; (ii) if Mr. O’Toole elects continuation coverage pursuant to COBRA, then the Company will reimburse Mr. O’Toole on the last day of each month for a period ending twelve (12) months after Mr. O’Toole’s termination date for the COBRA premiums paid during such period for such coverage (at the coverage levels in effect immediately prior to Mr. O’Toole’s termination); (iii) a payment equal to one hundred percent (100%) the annual target bonus opportunity for the year in which Mr. O’Toole is terminated without Cause or resigns for Good Reason; and (iv) one hundred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4" w:right="239" w:bottom="1440" w:gutter="0" w:footer="0" w:header="0"/>
        </w:sectPr>
      </w:pPr>
    </w:p>
    <w:bookmarkStart w:id="102" w:name="page103"/>
    <w:bookmarkEnd w:id="102"/>
    <w:p>
      <w:pPr>
        <w:ind w:left="660"/>
        <w:spacing w:after="0" w:line="324" w:lineRule="auto"/>
        <w:rPr>
          <w:sz w:val="20"/>
          <w:szCs w:val="20"/>
          <w:color w:val="auto"/>
        </w:rPr>
      </w:pPr>
      <w:r>
        <w:rPr>
          <w:rFonts w:ascii="Arial" w:cs="Arial" w:eastAsia="Arial" w:hAnsi="Arial"/>
          <w:sz w:val="18"/>
          <w:szCs w:val="18"/>
          <w:color w:val="auto"/>
        </w:rPr>
        <w:t>percent (100%) of any unvested equity awards held by Mr. O’Toole as of the date of such termination without Cause or resignation for Good Reason shall immediately vest and become fully exercisable.</w:t>
      </w:r>
    </w:p>
    <w:p>
      <w:pPr>
        <w:spacing w:after="0" w:line="143" w:lineRule="exact"/>
        <w:rPr>
          <w:sz w:val="20"/>
          <w:szCs w:val="20"/>
          <w:color w:val="auto"/>
        </w:rPr>
      </w:pPr>
    </w:p>
    <w:p>
      <w:pPr>
        <w:ind w:right="160" w:firstLine="369"/>
        <w:spacing w:after="0" w:line="259" w:lineRule="auto"/>
        <w:rPr>
          <w:sz w:val="20"/>
          <w:szCs w:val="20"/>
          <w:color w:val="auto"/>
        </w:rPr>
      </w:pPr>
      <w:r>
        <w:rPr>
          <w:rFonts w:ascii="Arial" w:cs="Arial" w:eastAsia="Arial" w:hAnsi="Arial"/>
          <w:sz w:val="18"/>
          <w:szCs w:val="18"/>
          <w:b w:val="1"/>
          <w:bCs w:val="1"/>
          <w:i w:val="1"/>
          <w:iCs w:val="1"/>
          <w:color w:val="auto"/>
        </w:rPr>
        <w:t>Mr. Wondka</w:t>
      </w:r>
      <w:r>
        <w:rPr>
          <w:rFonts w:ascii="Arial" w:cs="Arial" w:eastAsia="Arial" w:hAnsi="Arial"/>
          <w:sz w:val="18"/>
          <w:szCs w:val="18"/>
          <w:color w:val="auto"/>
        </w:rPr>
        <w:t>. Pursuant to Mr. Wondka’s employment agreement, if Mr. Wondka’s employment is terminated without “Cause” (as defined in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Wondka’s employment agreement) or resignation by the employee for “Good Reason” (as defined in Mr. Wondka’s employment agreement), and subject to Mr. Wondka signing and not revoking a separation agreement and release of claims, then Mr. Wondka will be entitled to the following severance payments and benefits:</w:t>
      </w:r>
    </w:p>
    <w:p>
      <w:pPr>
        <w:spacing w:after="0" w:line="187" w:lineRule="exact"/>
        <w:rPr>
          <w:sz w:val="20"/>
          <w:szCs w:val="20"/>
          <w:color w:val="auto"/>
        </w:rPr>
      </w:pPr>
    </w:p>
    <w:p>
      <w:pPr>
        <w:ind w:left="660" w:right="20" w:hanging="328"/>
        <w:spacing w:after="0" w:line="255"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Mr. Wondka’s termination or resignation occurs prior to three (3) months before a Change in Control (as defined in Mr. Wondka’s employment agreement) of the Company: (i) continuing payments of severance pay at a rate equal to Mr. Wondka’s base salary rate for six (6) months from the date of such termination without Cause or resignation for Good Reason; and (ii) if Mr. Wondka elects continuation coverage pursuant to COBRA, then the Company will reimburse Mr. Wondka on the last day of each month for a period ending six (6) months after Mr. Wondka’s termination date for the COBRA premiums paid during such period for such coverage (at the coverage levels in effect immediately prior to Mr. Wondka’s termination); and</w:t>
      </w:r>
    </w:p>
    <w:p>
      <w:pPr>
        <w:spacing w:after="0" w:line="193" w:lineRule="exact"/>
        <w:rPr>
          <w:rFonts w:ascii="Arial" w:cs="Arial" w:eastAsia="Arial" w:hAnsi="Arial"/>
          <w:sz w:val="18"/>
          <w:szCs w:val="18"/>
          <w:color w:val="auto"/>
        </w:rPr>
      </w:pPr>
    </w:p>
    <w:p>
      <w:pPr>
        <w:ind w:left="660" w:right="60" w:hanging="328"/>
        <w:spacing w:after="0" w:line="290"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Mr. Wondka’s termination or resignation occurs within three (3) months prior to, or six (6) months following, a Change in Control of the Company: (i) continuing payments of severance pay at a rate equal to Mr. Wondka’s base salary rate for twelve (12) months from the date of such termination without Cause or resignation for Good Reason; (ii) if Mr. Wondka elects continuation coverage pursuant to COBRA, then the Company will reimburse Mr. Wondka on the last day of each month for a period ending twelve (12) months after Mr. Wondka’s termination date for the COBRA premiums paid during such period for such coverage (at the coverage levels in effect immediately prior to Mr. Wondka’s termination); (iii) a payment equal to one hundred percent (100%) the annual target bonus opportunity for the year in which Mr. Wondka is terminated without Cause or resigns for Good Reason; and (iv) one hundred percent (100%) of any unvested equity awards held by Mr. Wondka as of the date of such termination without Cause or resignation for Good Reason shall immediately vest and become fully exercisable.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611" w:right="2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Outstanding Equity Awards at December 31, 2016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December 31,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Securities Underlying</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Unexercised Options</w:t>
            </w: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5"/>
                <w:szCs w:val="5"/>
                <w:color w:val="auto"/>
              </w:rPr>
            </w:pPr>
          </w:p>
        </w:tc>
        <w:tc>
          <w:tcPr>
            <w:tcW w:w="17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5"/>
                <w:szCs w:val="5"/>
                <w:color w:val="auto"/>
              </w:rPr>
            </w:pPr>
          </w:p>
        </w:tc>
        <w:tc>
          <w:tcPr>
            <w:tcW w:w="17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Exercisable</w:t>
            </w:r>
          </w:p>
        </w:tc>
        <w:tc>
          <w:tcPr>
            <w:tcW w:w="120" w:type="dxa"/>
            <w:vAlign w:val="bottom"/>
            <w:vMerge w:val="restart"/>
          </w:tcPr>
          <w:p>
            <w:pPr>
              <w:spacing w:after="0"/>
              <w:rPr>
                <w:sz w:val="5"/>
                <w:szCs w:val="5"/>
                <w:color w:val="auto"/>
              </w:rPr>
            </w:pPr>
          </w:p>
        </w:tc>
        <w:tc>
          <w:tcPr>
            <w:tcW w:w="17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Anish Bhatnagar</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3/14/2007</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4,166 (1)</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$10.56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3/14/2017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9/25/2007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1,041 (1)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9/25/2017</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6/27/2008</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11,666 (1)</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$3.48</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9/25/2018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10/15/2008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8,333 (1)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10/15/2018</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327,169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103,081</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159,103 (2)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56,022</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104,688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45,313</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68,750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231,250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169,411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131,764</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O’Toole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83,135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46,636</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19,770 (4)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12,673</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11,875 (3)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18,125</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13,750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46,250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31,226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59,614</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Anthony Wondka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6/3/2013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10,461 (5)</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455</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6/3/2023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30,335 (4)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30,608</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7,061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9,676</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5,396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31,604</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11,662 (3)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28,338</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11,715 (4)</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35,148</w:t>
            </w:r>
          </w:p>
        </w:tc>
        <w:tc>
          <w:tcPr>
            <w:tcW w:w="1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660" w:right="80" w:hanging="652"/>
        <w:spacing w:after="0" w:line="27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options listed are fully vested or are subject to an early exercise right and may be exercised in full prior to vesting of the shares underlying such options. Vesting of all options is subject to continued service on each vesting date.</w:t>
      </w:r>
    </w:p>
    <w:p>
      <w:pPr>
        <w:spacing w:after="0" w:line="64" w:lineRule="exact"/>
        <w:rPr>
          <w:rFonts w:ascii="Arial" w:cs="Arial" w:eastAsia="Arial" w:hAnsi="Arial"/>
          <w:sz w:val="16"/>
          <w:szCs w:val="16"/>
          <w:color w:val="auto"/>
        </w:rPr>
      </w:pPr>
    </w:p>
    <w:p>
      <w:pPr>
        <w:ind w:left="660" w:right="940" w:hanging="652"/>
        <w:spacing w:after="0" w:line="349"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shares subject to the stock option vest over a four-year period as follows: 50% of the shares underlying the options vest immediately on the vesting commencement date, and thereafter 1/48th of the shares vest each month, subject to the officer’s continued service to us through each vesting date.</w:t>
      </w:r>
    </w:p>
    <w:p>
      <w:pPr>
        <w:spacing w:after="0" w:line="17" w:lineRule="exact"/>
        <w:rPr>
          <w:rFonts w:ascii="Arial" w:cs="Arial" w:eastAsia="Arial" w:hAnsi="Arial"/>
          <w:sz w:val="14"/>
          <w:szCs w:val="14"/>
          <w:color w:val="auto"/>
        </w:rPr>
      </w:pPr>
    </w:p>
    <w:p>
      <w:pPr>
        <w:ind w:left="660" w:right="280" w:hanging="652"/>
        <w:spacing w:after="0" w:line="27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shares subject to the stock option vest over a four-year period as follows: 1/48th of the shares vest each month beginning on the vesting commencement date, subject to the officer’s continued service to us through each vesting date.</w:t>
      </w:r>
    </w:p>
    <w:p>
      <w:pPr>
        <w:spacing w:after="0" w:line="64" w:lineRule="exact"/>
        <w:rPr>
          <w:rFonts w:ascii="Arial" w:cs="Arial" w:eastAsia="Arial" w:hAnsi="Arial"/>
          <w:sz w:val="16"/>
          <w:szCs w:val="16"/>
          <w:color w:val="auto"/>
        </w:rPr>
      </w:pPr>
    </w:p>
    <w:p>
      <w:pPr>
        <w:ind w:left="660" w:right="1000" w:hanging="652"/>
        <w:spacing w:after="0" w:line="349"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shares subject to the stock option vest over a four-year period as follows: 25% of the shares underlying the option vest immediately on the vesting commencement date and thereafter 1/48th of the shares vest each month, subject to the officer’s continued service to us through each vesting date.</w:t>
      </w:r>
    </w:p>
    <w:p>
      <w:pPr>
        <w:spacing w:after="0" w:line="17" w:lineRule="exact"/>
        <w:rPr>
          <w:rFonts w:ascii="Arial" w:cs="Arial" w:eastAsia="Arial" w:hAnsi="Arial"/>
          <w:sz w:val="14"/>
          <w:szCs w:val="14"/>
          <w:color w:val="auto"/>
        </w:rPr>
      </w:pPr>
    </w:p>
    <w:p>
      <w:pPr>
        <w:ind w:left="660" w:right="40" w:hanging="652"/>
        <w:spacing w:after="0" w:line="310" w:lineRule="auto"/>
        <w:tabs>
          <w:tab w:leader="none" w:pos="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shares subject to the stock option vest over a four-year period as follows: 25% of the shares underlying the option vest on the one-year anniversary of the vesting commencement date, and thereafter 1/36th of the shares vest each month, subject to the officer’s continued service to us through each vesting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have adopted the 2014 Equity Incentive Plan, or the 2014 Plan. Our 2014 Plan provides for the grant of incentive stock options (within the meaning of Section 422 of the Code), or ISOs, to our employees and any of our parent and subsidiary corporations’ employees, and for the grant of nonstatutory stock options, or NSOs, restricted stock, restricted stock units,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96" w:right="239" w:bottom="1440" w:gutter="0" w:footer="0" w:header="0"/>
        </w:sectPr>
      </w:pPr>
    </w:p>
    <w:bookmarkStart w:id="104" w:name="page105"/>
    <w:bookmarkEnd w:id="104"/>
    <w:p>
      <w:pPr>
        <w:ind w:right="540"/>
        <w:spacing w:after="0" w:line="277" w:lineRule="auto"/>
        <w:rPr>
          <w:sz w:val="20"/>
          <w:szCs w:val="20"/>
          <w:color w:val="auto"/>
        </w:rPr>
      </w:pPr>
      <w:r>
        <w:rPr>
          <w:rFonts w:ascii="Arial" w:cs="Arial" w:eastAsia="Arial" w:hAnsi="Arial"/>
          <w:sz w:val="18"/>
          <w:szCs w:val="18"/>
          <w:color w:val="auto"/>
        </w:rPr>
        <w:t>appreciation rights, performance units and performance shares to our employees, directors and consultants, and our parent and subsidiary corporations’ employees and consultants.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A total of 2,908,430 shares of our common stock have been reserved for issuance pursuant to the 2014 Plan, of which awards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958,856 shares of common stock were outstanding as of December 31, 2016. In addition, the shares reserved for issuance under our 2014 Plan also include: (a) those shares reserved but unissued under our 2010 Plan (as defined below); and (b) shares returned to our 1999 Plan and 2010 Plan as the result of expiration or termination of options (provided that the maximum number of shares that may be added to the 2014 Plan pursuant to (a) and (b) is 240,906 shares). The number of shares available for issuance under the 2014 Plan also includes an annual increase on the first day of each year beginning in 2015, equal to the least of:</w:t>
      </w:r>
    </w:p>
    <w:p>
      <w:pPr>
        <w:spacing w:after="0" w:line="8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1,118,714 shares;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year;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33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Our compensation committee administers our 2014 Plan. In the case of options intended to qualify as “performance-based compensation” within the meaning of Section 162(m) of the Code, the committee will consist of two or more “outside directors” within the meaning of Section 162(m) of the Code.</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Subject to the provisions of our 2014 Plan, the administrator has the power to determine the terms of the awards,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88" w:lineRule="exact"/>
        <w:rPr>
          <w:sz w:val="20"/>
          <w:szCs w:val="20"/>
          <w:color w:val="auto"/>
        </w:rPr>
      </w:pPr>
    </w:p>
    <w:p>
      <w:pPr>
        <w:jc w:val="both"/>
        <w:ind w:right="300" w:firstLine="324"/>
        <w:spacing w:after="0" w:line="30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exercise price of options granted under our 2014 Plan must at least be equal to the fair market value of our common stock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grant. The term of an incentive stock option may not exceed ten years, except that with respect to any participant who owns more than 10% of the voting power of all classes of our outstanding stock, the term must not exceed five years and the exercise price must equal at least 110% of the fair market value on the grant date. Subject to the provisions of our 2014 Plan, the administrator will determine the term of all other options.</w:t>
      </w:r>
    </w:p>
    <w:p>
      <w:pPr>
        <w:spacing w:after="0" w:line="15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After the termination of service of an employee, director or consultant, he or she may exercise his or her option or stock appreciation right for the period of time stated in his or her award agreement. Generally, if termination is due to death or disability, the option or stock appreciation right will remain exercisable for twelve months. In all other cases, the option or stock appreciation right will generally remain exercisable for three months following the termination of service. However, in no event may an option be exercised later than the expiration of its term.</w:t>
      </w:r>
    </w:p>
    <w:p>
      <w:pPr>
        <w:spacing w:after="0" w:line="17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may be granted under our 2014 Plan. Stock appreciation rights allow the recipient to receive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in the fair market value of our common stock between the exercise date and the date of grant. Subject to the provisions of our 2014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Restricted stock may be granted under our 2014 Plan. Restricted stock awards are grants of shares of our common stock that vest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terms and conditions established by the administrator. The administrator determines the number of shares of restricted stock granted and may impose whatever conditions to vesting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our right of repurchase or forfeiture.</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Restricted stock units may be granted under our 2014 Plan. Restricted stock units are bookkeeping entries representing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equal to the fair market value of one share of our common stock. The administrator will determine the terms and conditions of restricted stock units, including the number of units granted, the vesting criteria (which may include accomplishing specified performance criteria or continued service to us), and the form and timing of payment. The administrator, in its sole discretion, may accelerate the time at which any restrictions will lapse or be removed.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00" w:right="239" w:bottom="1440" w:gutter="0" w:footer="0" w:header="0"/>
        </w:sectPr>
      </w:pPr>
    </w:p>
    <w:bookmarkStart w:id="105" w:name="page106"/>
    <w:bookmarkEnd w:id="105"/>
    <w:p>
      <w:pPr>
        <w:ind w:right="160" w:firstLine="324"/>
        <w:spacing w:after="0" w:line="272" w:lineRule="auto"/>
        <w:rPr>
          <w:sz w:val="20"/>
          <w:szCs w:val="20"/>
          <w:color w:val="auto"/>
        </w:rPr>
      </w:pPr>
      <w:r>
        <w:rPr>
          <w:rFonts w:ascii="Arial" w:cs="Arial" w:eastAsia="Arial" w:hAnsi="Arial"/>
          <w:sz w:val="17"/>
          <w:szCs w:val="17"/>
          <w:b w:val="1"/>
          <w:bCs w:val="1"/>
          <w:i w:val="1"/>
          <w:iCs w:val="1"/>
          <w:color w:val="auto"/>
        </w:rPr>
        <w:t>Performance Units and Performance Shares</w:t>
      </w:r>
      <w:r>
        <w:rPr>
          <w:rFonts w:ascii="Arial" w:cs="Arial" w:eastAsia="Arial" w:hAnsi="Arial"/>
          <w:sz w:val="17"/>
          <w:szCs w:val="17"/>
          <w:color w:val="auto"/>
        </w:rPr>
        <w:t>. Performance units and performance shares may be granted under our 2014 Plan. Performance units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The administrator, in its sole discretion, may pay earned performance units or performance shares in the form of cash, in shares, or in some combination thereof.</w:t>
      </w:r>
    </w:p>
    <w:p>
      <w:pPr>
        <w:spacing w:after="0" w:line="178"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b w:val="1"/>
          <w:bCs w:val="1"/>
          <w:i w:val="1"/>
          <w:iCs w:val="1"/>
          <w:color w:val="auto"/>
        </w:rPr>
        <w:t>Non-Employee Directors</w:t>
      </w:r>
      <w:r>
        <w:rPr>
          <w:rFonts w:ascii="Arial" w:cs="Arial" w:eastAsia="Arial" w:hAnsi="Arial"/>
          <w:sz w:val="16"/>
          <w:szCs w:val="16"/>
          <w:color w:val="auto"/>
        </w:rPr>
        <w:t>. Our 2014 Plan provides that all non-employee directors will be eligible to receive all types of awards (except for ISOs)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2014 Plan. Please see the description of our non-employee director compensation above under “Management — Non-Employee Director Compensation.”</w:t>
      </w:r>
    </w:p>
    <w:p>
      <w:pPr>
        <w:spacing w:after="0" w:line="1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provides otherwise, our 2014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2014 Plan, the administrator will adjust the number and class of shares that may be delivered under the 2014 Plan or the number, class and price of shares covered by each outstanding award, and the numerical share limits set forth in the 2014 Plan.</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Our 2014 Plan provides that in the event of a merger or change in control, as defined in the 2014 Plan,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treated as the administrator determines, including that the successor corporation or its parent or subsidiary will assume or substitute an equivalent award for each outstanding award. The administrator will not be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the 2014 Employee Stock Purchase Plan, or the ESPP.</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A total of 280,018 shares of our common stock are reserved for sale under the ESPP as of December 31, 2016. In addition,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73"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279,680 shares;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33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compensation committee administers the ESPP, and has full and exclusive authority to interpret the terms of the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eligibility to participate, subject to the conditions of the plan as described below.</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Generally, all of our employees are eligible to participate if they are employed by us, or any participating subsidiary, for at least 20 hours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and more than five months in any calendar year. However, an employee may not be granted rights to purchase stock under the ESPP if such employee:</w:t>
      </w:r>
    </w:p>
    <w:p>
      <w:pPr>
        <w:spacing w:after="0" w:line="16" w:lineRule="exact"/>
        <w:rPr>
          <w:sz w:val="20"/>
          <w:szCs w:val="20"/>
          <w:color w:val="auto"/>
        </w:rPr>
      </w:pPr>
    </w:p>
    <w:p>
      <w:pPr>
        <w:ind w:left="1300" w:right="52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the grant would own stock possessing 5% or more of the total combined voting power or value of all classes of our capital stock; or</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 rights to purchase stock under all of our employee stock purchase plans that accrue at a rate that exceeds $25,000 worth of stock for each calendar year.</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Our ESPP is intended to qualify under Section 423 of the Code. Each offering period includes purchase periods, which will be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six months commencing with one exercise date and ending with the next exercise date. The offering periods are scheduled to start on the first trading day on or after and of each year, except for the first offering period, which will commence on such future date as our board of directors may determine.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00" w:right="239" w:bottom="1440" w:gutter="0" w:footer="0" w:header="0"/>
        </w:sectPr>
      </w:pPr>
    </w:p>
    <w:bookmarkStart w:id="106" w:name="page107"/>
    <w:bookmarkEnd w:id="106"/>
    <w:p>
      <w:pPr>
        <w:ind w:right="680" w:firstLine="324"/>
        <w:spacing w:after="0" w:line="277" w:lineRule="auto"/>
        <w:rPr>
          <w:sz w:val="20"/>
          <w:szCs w:val="20"/>
          <w:color w:val="auto"/>
        </w:rPr>
      </w:pPr>
      <w:r>
        <w:rPr>
          <w:rFonts w:ascii="Arial" w:cs="Arial" w:eastAsia="Arial" w:hAnsi="Arial"/>
          <w:sz w:val="18"/>
          <w:szCs w:val="18"/>
          <w:color w:val="auto"/>
        </w:rPr>
        <w:t>Our ESPP permits participants to purchase shares of common stock through payroll deductions of up to 15.0% of their eligible compensation. A participant may purchase a maximum of shares during a six-month period.</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Exercise of Purchase Right</w:t>
      </w:r>
      <w:r>
        <w:rPr>
          <w:rFonts w:ascii="Arial" w:cs="Arial" w:eastAsia="Arial" w:hAnsi="Arial"/>
          <w:sz w:val="18"/>
          <w:szCs w:val="18"/>
          <w:color w:val="auto"/>
        </w:rPr>
        <w:t>. Amounts deducted and accumulated by the participant will be used to purchase shares of our common stock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six month purchase period. The purchase price of the shares will be 85.0% of the lower of the fair market value of our common stock on the first trading day of each offering period or on the exercise date. If the fair market value of our common stock on the exercise date is less than the fair market value on the first trading day of the offering period, participants will be withdrawn from the current offering period following their purchase of shares on the purchase date and will be automatically re-enrolled in a new offering period. Participants may end their participation at any time during an offering period and will be paid their accrued contributions that have not yet been used to purchase shares of common stock. Participation ends automatically upon termination of employment with us.</w:t>
      </w:r>
    </w:p>
    <w:p>
      <w:pPr>
        <w:spacing w:after="0" w:line="1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w:t>
      </w:r>
      <w:r>
        <w:rPr>
          <w:rFonts w:ascii="Arial" w:cs="Arial" w:eastAsia="Arial" w:hAnsi="Arial"/>
          <w:sz w:val="18"/>
          <w:szCs w:val="18"/>
          <w:color w:val="auto"/>
        </w:rPr>
        <w:t>. A participant may not transfer rights granted under the ESPP. If the compensation committee permits the transfer of rights, it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be done by will, the laws of descent and distribution, or as otherwise provided under the ESPP.</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In the event of our merger or change in control, as defined under the ESPP, a successor corporation may assume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substitute each outstanding purchase right. If the successor corporation refuses to assume or substitute for the outstanding purchase right, the offering period then in progress will be shortened, and a new exercise date will be set.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dilution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ESPP, the administrator will adjust the number and class of shares that may be delivered under the ESPP, the purchase price per share and the number of shares covered by each option and the numerical share limits set forth in the ESPP.</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b w:val="1"/>
          <w:bCs w:val="1"/>
          <w:i w:val="1"/>
          <w:iCs w:val="1"/>
          <w:color w:val="auto"/>
        </w:rPr>
        <w:t>Amendment; Termination</w:t>
      </w:r>
      <w:r>
        <w:rPr>
          <w:rFonts w:ascii="Arial" w:cs="Arial" w:eastAsia="Arial" w:hAnsi="Arial"/>
          <w:sz w:val="18"/>
          <w:szCs w:val="18"/>
          <w:color w:val="auto"/>
        </w:rPr>
        <w:t>. Our ESPP will automatically terminate in 2034, unless we terminate it sooner. Our board of directors has the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suspend, or terminate our ESPP, except that, subject to certain exceptions described in the ESPP, no such action may adversely affect any outstanding rights to purchase stock under our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Our named executive officers are eligible to participate in our employee benefit plans, including our medical, dental, vision, group life, and accidental death and dismemberment insurance plans, in each case, on the same basis as all of our other employees. We maintain a 401(k) plan for the benefit of our eligible employees, including our named executive officers, as discussed in the section below entitled “Employee benefit plans — 401(k)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1999 Stock Plan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board of directors and stockholders adopted our 1999 Incentive Stock Plan, or the 1999 Plan, in October 1999. Our 1999 Plan provided for the grant of nonstatutory stock options, or NSOs, and stock purchase rights to employees and consultants of ours or any parent or subsidiary of ours and to our directors. Our 1999 Plan also provided for the grant of incentive stock options, or ISOs (within the meaning of Section 422 of the Code), to employees of ours or any parent or subsidiary of ours. Our 1999 Stock Plan expired by its terms on October 5, 2009 and, accordingly, no further grants will be made under our 1999 Stock Plan. However, any outstanding awards granted under our 1999 Plan will remain outstanding, subject to the terms of our 1999 Plan and the applicable award agreements, until such awards are exercised or otherwise terminate or expire by their terms.</w:t>
      </w:r>
    </w:p>
    <w:p>
      <w:pPr>
        <w:spacing w:after="0" w:line="17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b w:val="1"/>
          <w:bCs w:val="1"/>
          <w:i w:val="1"/>
          <w:iCs w:val="1"/>
          <w:color w:val="auto"/>
        </w:rPr>
        <w:t>Authorized shares</w:t>
      </w:r>
      <w:r>
        <w:rPr>
          <w:rFonts w:ascii="Arial" w:cs="Arial" w:eastAsia="Arial" w:hAnsi="Arial"/>
          <w:sz w:val="16"/>
          <w:szCs w:val="16"/>
          <w:color w:val="auto"/>
        </w:rPr>
        <w:t>. Prior to the expiration of the 1999 Plan, the maximum number of shares of our common stock reserved for issuance under our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was 154,154 shares. As of December 31, 2015, options to purchase 154,154 shares of our common stock remained outstanding under the 1999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1999 Plan included any authorized but unissued or reacquired shares of our common stock.</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board of directors, or a duly authorized committee of our board of directors, may administer our 1999 Plan.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our 1999 Plan, the administrator has the authority to determine the terms of awards, including recipients, the exercise or purchase price of the awards (if any), the number of shares subject to awards, the vesting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800" w:right="259" w:bottom="1440" w:gutter="0" w:footer="0" w:header="0"/>
        </w:sectPr>
      </w:pPr>
    </w:p>
    <w:bookmarkStart w:id="107" w:name="page108"/>
    <w:bookmarkEnd w:id="107"/>
    <w:p>
      <w:pPr>
        <w:ind w:right="20"/>
        <w:spacing w:after="0" w:line="255" w:lineRule="auto"/>
        <w:rPr>
          <w:sz w:val="20"/>
          <w:szCs w:val="20"/>
          <w:color w:val="auto"/>
        </w:rPr>
      </w:pPr>
      <w:r>
        <w:rPr>
          <w:rFonts w:ascii="Arial" w:cs="Arial" w:eastAsia="Arial" w:hAnsi="Arial"/>
          <w:sz w:val="18"/>
          <w:szCs w:val="18"/>
          <w:color w:val="auto"/>
        </w:rPr>
        <w:t>schedule applicable to the awards, and any transfer restrictions or rights of repurchase. Additionally, the administrator has the authority to determine the fair market value of our common stock, to determine whether and under what circumstances an option may be settled in cash instead of common stock, to reduce the exercise price of an option to the then-current fair market value of our common stock, to initiate an option exchange program whereby outstanding options are exchanged for options with a lower exercise price, and to allow optionees to satisfy withholding tax obligations by electing to have us withhold otherwise deliverable shares. The administrator also has the authority to prescribe, amend, and rescind rules and regulations relating to the 1999 Plan and to construe and interpret the terms of the 1999 Plan and awards granted pursuant to the 1999 Plan. All decisions, interpretations and other actions of our board of directors will be final and binding.</w:t>
      </w:r>
    </w:p>
    <w:p>
      <w:pPr>
        <w:spacing w:after="0" w:line="18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1999 Plan. The exercise price of nonstatutory stock options granted under our 1999 Plan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least be equal to 85% of the fair market value of our common stock on the date of grant, and the exercise price of incentive stock options granted under our 1999 Plan must at least be equal to the fair market value of our common stock on the date of grant, except that with respect to any participant who owns more than 10% of the voting power of all classes of our outstanding stock, the exercise price of any option must equal to at least 110% of the fair market value on the grant date. The term of a stock option may not exceed 10 years, except that with respect to any participant who owns more than 10% of the voting power of all classes of our outstanding stock, the term of an incentive stock option must not exceed 5 years.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Subject to the provisions of our 1999 Plan, the administrator determined the other terms of options.</w:t>
      </w:r>
    </w:p>
    <w:p>
      <w:pPr>
        <w:spacing w:after="0" w:line="17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Stock Purchase Rights</w:t>
      </w:r>
      <w:r>
        <w:rPr>
          <w:rFonts w:ascii="Arial" w:cs="Arial" w:eastAsia="Arial" w:hAnsi="Arial"/>
          <w:sz w:val="17"/>
          <w:szCs w:val="17"/>
          <w:color w:val="auto"/>
        </w:rPr>
        <w:t>. Restricted stock could be issued pursuant to the exercise or stock purchase rights granted under our 1999 Plan.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shares of our common stock that vest in accordance with terms and conditions established by the administrator. The administrator determined the number of shares of restricted stock granted to any employee, director or consultant and, subject to the provisions of our 1999 Plan, determined the terms and conditions of such awards. The administrator could impose whatever conditions to vesting it determined to be appropriate (for example, the administrator may have set restrictions based on the achievement of specific performance goals or continued service to us); provided, however, that the administrator, in its sole discretion, may accelerate the time at which any restrictions will lapse or be removed. Holders of restricted stock generally have voting and dividend rights with respect to such shares upon issuance without regard to vesting, unless the administrator provided otherwise. Shares of restricted stock that do not vest are subject to our right of repurchase or forfeiture.</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Our 1999 Plan does not allow for the transfer of awards, and only the recipient of an award may exercise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or her lifetime.</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1999 Plan, the administrator will adjust the number and class of shares that may be delivered under the 1999 Plan or the number, class and price of shares covered by each outstanding award.</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may allow for awards to be exercised until 15 days prior to such transaction as to all of the shares subject to such awards, including shares which would not otherwise be exercisable. In addition, the administrator may provide that any repurchase option of ours will lapse, so long as the proposed dissolution or liquidation takes place at the time and in the manner contemplated. All awards will terminate immediately prior to the consummation of such proposed transaction.</w:t>
      </w:r>
    </w:p>
    <w:p>
      <w:pPr>
        <w:spacing w:after="0" w:line="18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b w:val="1"/>
          <w:bCs w:val="1"/>
          <w:i w:val="1"/>
          <w:iCs w:val="1"/>
          <w:color w:val="auto"/>
        </w:rPr>
        <w:t>Merger or Asset Sale</w:t>
      </w:r>
      <w:r>
        <w:rPr>
          <w:rFonts w:ascii="Arial" w:cs="Arial" w:eastAsia="Arial" w:hAnsi="Arial"/>
          <w:sz w:val="18"/>
          <w:szCs w:val="18"/>
          <w:color w:val="auto"/>
        </w:rPr>
        <w:t>. Our 1999 Plan provides that in the event of a merger or sale of substantially all of the assets of our company,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assumed or an equivalent award will be substituted by the successor corporation or its parent or subsidiary. If the successor corporation or its parent or subsidiary does not assume or substitute an equivalent award for any outstanding award, then such award will fully vest, and the administrator will notify the holder of the award that such award will be fully exercisable for a period of 15 days from the date of such notice. The award will then terminate upon the expiration of the specified period of time.</w:t>
      </w:r>
    </w:p>
    <w:p>
      <w:pPr>
        <w:spacing w:after="0" w:line="18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1999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00" w:right="239" w:bottom="1440" w:gutter="0" w:footer="0" w:header="0"/>
        </w:sectPr>
      </w:pPr>
    </w:p>
    <w:bookmarkStart w:id="108" w:name="page109"/>
    <w:bookmarkEnd w:id="108"/>
    <w:p>
      <w:pPr>
        <w:ind w:left="340"/>
        <w:spacing w:after="0"/>
        <w:rPr>
          <w:sz w:val="20"/>
          <w:szCs w:val="20"/>
          <w:color w:val="auto"/>
        </w:rPr>
      </w:pPr>
      <w:r>
        <w:rPr>
          <w:rFonts w:ascii="Arial" w:cs="Arial" w:eastAsia="Arial" w:hAnsi="Arial"/>
          <w:sz w:val="18"/>
          <w:szCs w:val="18"/>
          <w:b w:val="1"/>
          <w:bCs w:val="1"/>
          <w:i w:val="1"/>
          <w:iCs w:val="1"/>
          <w:color w:val="auto"/>
        </w:rPr>
        <w:t>2010 Stock Plan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and stockholders adopted our 2010 Plan in May 2010. Our 2010 Plan provided for the grant of NSOs, stock appreciation rights, restricted stock, and restricted stock units to employees and consultants of ours or any parent or subsidiary of ours and to our directors. Our 2010 Plan also provides for the grant of ISOs (within the meaning of Section 422 of the Code) to employees of ours or any parent or subsidiary of ours. Our 2010 Stock Plan was terminated in connection with our IPO, and accordingly, no further grants will be made under our 2010 Plan. However, any outstanding awards granted under our 2010 Plan will remain outstanding, subject to the terms of our 2010 Plan and the applicable award agreements, until such awards are exercised or otherwise terminate or expire by their terms.</w:t>
      </w:r>
    </w:p>
    <w:p>
      <w:pPr>
        <w:spacing w:after="0" w:line="193"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b w:val="1"/>
          <w:bCs w:val="1"/>
          <w:i w:val="1"/>
          <w:iCs w:val="1"/>
          <w:color w:val="auto"/>
        </w:rPr>
        <w:t>Authorized shares</w:t>
      </w:r>
      <w:r>
        <w:rPr>
          <w:rFonts w:ascii="Arial" w:cs="Arial" w:eastAsia="Arial" w:hAnsi="Arial"/>
          <w:sz w:val="17"/>
          <w:szCs w:val="17"/>
          <w:color w:val="auto"/>
        </w:rPr>
        <w:t>. Prior to the termination of the 2010 Plan, the maximum number of shares of our common stock reserved for issuance under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Plan is 210,314 shares. As of December 31, 2015, options to purchase 82,433 shares of our common stock remain outstanding.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2010 Plan include any authorized but unissued or reacquired shares of our common stock.</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Our board of directors, or a duly authorized committee of our board of directors, may administer our 2010 Plan.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our 2010 Plan, the administrator will have the power to administer the 2010 Plan, including but not limited to the power to interpret the terms of the 2010 Plan and awards granted under it; to create, amend, and revoke rules relating to the 2010 Plan, including creating sub-plans; and to determine the terms of the awards, including the exercise price, the number of shares subject to each such award, the exercisability of the awards, and the form of consideration, if any, payable upon exercise. The administrator will also have the authority to amend existing awards to reduce or increase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of the same type which may have a higher or lower exercise price or different terms, awards of a different type, or cash.</w:t>
      </w:r>
    </w:p>
    <w:p>
      <w:pPr>
        <w:spacing w:after="0" w:line="1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2010 Plan. The exercise price of options granted under our 2010 Plan must at least be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of our common stock on the date of grant. The term of a stock option may not exceed 10 years, except that with respect to an ISO granted to a participant who owns more than 10% of the voting power of all classes of our outstanding stock, the term must not exceed 5 years and the exercise price must equal at least 110% of the fair market value on the grant date. The administrator determined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30 days (or 6 months in the case of a termination due to death or disability) or such longer period of time stated in his or her option agreement. However, in no event may an option be exercised later than the expiration of its term. Subject to the provisions of our 2010 Plan, the administrator determines the other terms of options.</w:t>
      </w:r>
    </w:p>
    <w:p>
      <w:pPr>
        <w:spacing w:after="0" w:line="16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Stock appreciation rights could be granted under our 2010 Plan. Stock appreciation rights allow the recipient to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our 2010 Plan, the administrator determined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Restricted stock could be granted under our 2010 Plan. Restricted stock awards are grants of shares of our common stock that 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terms and conditions established by the administrator. The administrator determines the number of shares of restricted stock granted to any employee, director or consultant and, subject to the provisions of our 2010 Plan, determined the terms and conditions of such awards. The administrator could impose whatever conditions to vesting it determined to be appropriate (for example, the administrator may have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provided otherwise. Shares of restricted stock that do not vest are subject to our right of repurchase or forfeiture.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800" w:right="259" w:bottom="1440" w:gutter="0" w:footer="0" w:header="0"/>
        </w:sectPr>
      </w:pPr>
    </w:p>
    <w:bookmarkStart w:id="109" w:name="page110"/>
    <w:bookmarkEnd w:id="109"/>
    <w:p>
      <w:pPr>
        <w:ind w:firstLine="324"/>
        <w:spacing w:after="0" w:line="257"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units could be granted under our 2010 Plan. Restricted stock units are bookkeeping entries representing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equal to the fair market value of one share of our common stock. Subject to the provisions of our 2010 Plan, the administrator determined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provided otherwise, our 2010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2010 Plan, the administrator will adjust the number and class of shares that may be delivered under the Plan or the number, class, and price of shares covered by each outstanding award, and the numerical share limits set forth in the 2010 Plan. In the event of our proposed liquidation or dissolution, the administrator will notify participants as soon as practicable and all awards will terminate immediately prior to the consummation of such proposed transaction.</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Our 2010 Plan provides that in the event of a change in control, as defined under our 2010 Plan, each outstanding award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2010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maintain a retirement savings plan, or 401(k) plan, that provides eligible U.S. employees with an opportunity to save for retirement on a tax advantaged basis. Under our 401(k) plan, eligible employees may defer eligible compensation subject to applicable annual contribution limits imposed by the Code. Employees’ pre-tax contributions are allocated to each participant’s individual account. Participants are immediately and fully vested in their contributions. We do not currently provide an employer match on employee contributions.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800" w:right="2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describe below transactions and series of similar transactions that we were or will be a party to in which (i) an executive officer, director, nominee for election as a director, beneficial owner of more than 5% of any class of our common stock or any member of the immediate family of any of the foregoing persons and (ii) the amount involved exceeds $120,000.</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with Essentialis, Inc. and Common Stock Financing</w:t>
      </w:r>
    </w:p>
    <w:p>
      <w:pPr>
        <w:spacing w:after="0" w:line="225"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On March 7, 2017, we entered into common stock purchase agreements, or the Common Stock Purchase Agreements, with certain new and existing investors who previously delivered non-binding indications of interest to us to participate in a financing of up to $8 million in connection with the pending Merger with Essentialis. Under the terms of the Common Stock Purchase Agreements, we agreed to sell to the purchasers, in a private placement, an aggregate of 8,333,333 shares of common stock, par value $0.001 per share, at a purchase price of $0.96 per share for gross proceeds of approximately $8 million, or the Concurrent Financing. The Concurrent Financing closed concurrently with the closing of the Merger on March 7, 2017.</w:t>
      </w:r>
    </w:p>
    <w:p>
      <w:pPr>
        <w:spacing w:after="0" w:line="15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7, 2017, we completed the Merger pursuant to the Merger Agreement . In accordance with the Merger Agreement, Company E Merger Sub, Inc. was merged with and into Essentialis, with Essentialis as the surviving corporation and wholly-owned subsidiary of us.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terms of the Merger Agreement, in connection with the closing of the transactions contemplated by the Merger Agreement, the former holders of Essentialis stock received an aggregate of 18,916,952 shares of our common stock. We held back an 913,392 shares of common stock as partial recourse to satisfy indemnification claims made by us under the Merger Agreement, and such shares of common stock will be issued to Essentialis stockholders on the one year anniversary of the closing (subject to the limitations set forth in the Merger Agreement). We are also obligated to issue an additional 4,566,961 shares of our common stock to Essentialis stockholders upon the achievement of a development milestone associated with Essentialis’ product. Assuming that we issue all of the shares of common stock held back by us and the development milestone is achieved, we would issue a total of 24,397,306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$35 million to Essentialis stockholders. The merger consideration described above will be reduced by any such shares of our common stock issuable, or cash earnout payments payable, to Essentialis’ management carve-out plan participants and other service providers of Essentialis, in each case, in accordance with the terms of the Merger Agreement.</w:t>
      </w:r>
    </w:p>
    <w:p>
      <w:pPr>
        <w:spacing w:after="0" w:line="18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Certain members of our board of directors, including Drs. Engleman, Shah, Glasheen and Collinson, were affiliates to investors in the Concurrent Financing and stockholders of Essentialis entitled to a portion of the Merger consideration:</w:t>
      </w:r>
    </w:p>
    <w:p>
      <w:pPr>
        <w:spacing w:after="0" w:line="62" w:lineRule="exact"/>
        <w:rPr>
          <w:sz w:val="20"/>
          <w:szCs w:val="20"/>
          <w:color w:val="auto"/>
        </w:rPr>
      </w:pPr>
    </w:p>
    <w:p>
      <w:pPr>
        <w:ind w:left="660" w:right="4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Entities affiliated with Vivo Ventures, which are affiliated with Drs. Engleman and Shah, purchased 1,410,461 shares of common stock in the Concurrent Financing (approximately 16.9% of the shares of common stock issued in the Concurrent Financing) and received 5,827,818 shares (approximately 30.81% of the shares of common stock issued to Essentialis stockholders in the Merger). Additionally, Dr. Shah received a portion of the Merger consideration as a participant in Essentialis’ management carve-out plan.</w:t>
      </w:r>
    </w:p>
    <w:p>
      <w:pPr>
        <w:spacing w:after="0" w:line="78"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Entities affiliated with Technology Partners, which is affiliated with Dr. Glasheen purchased 1,332,898 shares of common stock in the Concurrent Financing (approximately 16.0 % of the shares of common stock issued in the Concurrent Financing) and received 5,717,793 shares (approximately 30.23% of the shares of common stock issued to Essentialis stockholders in the Merger).</w:t>
      </w:r>
    </w:p>
    <w:p>
      <w:pPr>
        <w:spacing w:after="0" w:line="73"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Entities affiliated with Forward Ventures, which is affiliated with Dr. Collinson purchased 1,423,306 shares of common stock in the Concurrent Financing (approximately 17.08 % of the shares of common stock issued in the Financing) and received 5,828,422 shares (approximately 30.81% of the shares of common stock issued to Essentialis stockholders in the Merger).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to Executive Officers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have granted, and will in the future grant, stock options and other equity awards to our named executive officers, other executive officers and certain of our directors. See the sections of this prospectus entitled “Management — Non-Employee Director Compensation” and “Executive Compensation.”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96"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consent of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75"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OF SOLENO THERAPEUTICS, INC. (FORMERLY KNOWN AS CAPNIA, INC.)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12, 2017, for:</w:t>
      </w:r>
    </w:p>
    <w:p>
      <w:pPr>
        <w:spacing w:after="0" w:line="117"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Soleno Therapeutics, Inc. common stock.</w:t>
      </w:r>
    </w:p>
    <w:p>
      <w:pPr>
        <w:spacing w:after="0" w:line="33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common stock that they beneficially owned, subject to applicable community property laws.</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Applicable percentage ownership is based on 47,479,879 shares of our common stock outstanding as of March 10, 2017, as reported on our Annual Report on Form 10-K for the annual period ended December 31, 2016, filed with the SEC on March 15, 2017.</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Unless otherwise indicated below, the address of each beneficial owner listed in the table below is c/o Soleno Therapeutics, Inc. (f/k/a Capnia, Inc.), 1235 Radio Road, Suite 110, Redwood City, California 94065. Beneficial ownership representing less than 1% is denoted with an asterisk (*).</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800" w:right="259" w:bottom="1440" w:gutter="0" w:footer="0" w:header="0"/>
        </w:sectPr>
      </w:pPr>
    </w:p>
    <w:bookmarkStart w:id="112" w:name="page113"/>
    <w:bookmarkEnd w:id="112"/>
    <w:tbl>
      <w:tblPr>
        <w:tblLayout w:type="fixed"/>
        <w:tblInd w:w="1130" w:type="dxa"/>
        <w:tblCellMar>
          <w:top w:w="0" w:type="dxa"/>
          <w:left w:w="0" w:type="dxa"/>
          <w:bottom w:w="0" w:type="dxa"/>
          <w:right w:w="0" w:type="dxa"/>
        </w:tblCellMar>
      </w:tblPr>
      <w:tr>
        <w:trPr>
          <w:trHeight w:val="278"/>
        </w:trPr>
        <w:tc>
          <w:tcPr>
            <w:tcW w:w="61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080" w:type="dxa"/>
            <w:vAlign w:val="bottom"/>
            <w:tcBorders>
              <w:top w:val="single" w:sz="8" w:color="auto"/>
              <w:bottom w:val="single" w:sz="8" w:color="auto"/>
              <w:right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Shares Beneficially Owned</w:t>
            </w:r>
          </w:p>
        </w:tc>
      </w:tr>
      <w:tr>
        <w:trPr>
          <w:trHeight w:val="196"/>
        </w:trPr>
        <w:tc>
          <w:tcPr>
            <w:tcW w:w="6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52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43"/>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5% Stockholders</w:t>
            </w:r>
          </w:p>
        </w:tc>
        <w:tc>
          <w:tcPr>
            <w:tcW w:w="15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Entities Associated with Vivo Ventures Fund V, L.P. (1)</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17,272,657</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34.39%</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Forward Ventures V, L.P. (2)</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8,610,835</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Entities Associated with Technology Partners (3)</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8,383,652</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Aspire Capital (4)</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2,791,666</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15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Ernest Mario (5)</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2,165,751</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Anish Bhatnagar (6)</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1,025,811</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Anthony Wondka (7)</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125,788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Edgar G. Engleman (1) (8)</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17,315,739</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34.45%</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Steinar J. Engelsen (9)</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160,693</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Stephen Kirnon (10)</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57,875</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G. Harris (11)</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75,758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D. O’Toole (12)</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239,980</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Rajen Dalal (13)</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23,598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Mahendra Shah (14)</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Stuart Collinson (2) (15)</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8,614,630</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James Glasheen (3) (16)</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8,387,480</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current directors and executive officers as a group (13 Persons) (17)</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38,314,304</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70.01%</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one percent (1%).</w:t>
      </w:r>
    </w:p>
    <w:p>
      <w:pPr>
        <w:spacing w:after="0" w:line="23" w:lineRule="exact"/>
        <w:rPr>
          <w:sz w:val="20"/>
          <w:szCs w:val="20"/>
          <w:color w:val="auto"/>
        </w:rPr>
      </w:pPr>
    </w:p>
    <w:p>
      <w:pPr>
        <w:ind w:left="660" w:hanging="652"/>
        <w:spacing w:after="0" w:line="28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consisting of: (a) 16,674,428 shares of common stock held by Vivo Ventures Fund, V, L.P., consisting of (W) 14,076,263 shares of outstanding Common Stock, of which 7,154,140 shares of Common Stock are being registered as part of this offering, (X) zero shares of common stock subject to outstanding options that are vested and exercisable within sixty days of April 12, 2017, (Y) 1,255,019 shares of common stock issuable upon the exercise of warrants (assuming an exercise date of April 12, 2017), and (Z) 1,343,146 shares of Common Stock are potentially issuable upon the achievement of certain milestones within sixty days of April 12, 2017 and are being registered as part of this offering; (b) 195,918 shares of common stock held by Vivo Ventures V Affiliates Fund, LP., consisting of (W) 165,373 shares of outstanding Common Stock, of which 84,140 shares of Common Stock are being registered as part of this offering, (X) zero shares of common stock subject to outstanding options that are vested and exercisable within sixty days of April 12, 2017, (Y) 14,726 shares of common stock issuable upon the exercise of warrants (assuming an exercise date of April 12, 2017), and (Z) 15,819 shares of Common Stockare potentially issuable upon the achievement of certain milestones within sixty days of April 12, 2017 and are being registered as part of this offering; (c) 231,273 shares of common stock held by BDF IV Annex Fund, L.P., consisting of (W) 227,068 shares of outstanding common stock, (X) zero shares of common stock subject to outstanding options that are vested and exercisable within sixty days of April 12, 2017, and (Y) 4,205 shares of common stock issuable upon the exercise of warrants (assuming an exercise date of April 12, 2017); (d) 167,945 shares of common stock held by Biotechnology Development Fund IV, L.P., consisting of (W) 166,943 shares of outstanding common stock, (X) zero shares of common stock subject to outstanding options that are vested and exercisable within sixty days of April 12, 2017, and (Y) 1,002 shares of common stock issuable upon the exercise of warrants (assuming an exercise date of April 12, 2017); and (e) 3,093 shares of common stock held by Biotechnology Development Fund IV Affiliates, L.P., consisting of (W) 3,076 shares of outstanding common stock, (X) zero shares of common stock subject to outstanding options that are vested and exercisable within sixty days of April 12, 2017, and (Y) 17 shares of common stock issuable upon the exercise of warrants (assuming an exercise date of April 12, 2017). Vivo Ventures V LLC (Vivo V LLC), is the sole general partner of both of Vivo Ventures Fund V, L.P. and Vivo Ventures V Affiliates Fund, L.P. (Vivo V Funds), and may be deemed to beneficially own the common stock of Soleno Therapeutics owned by the Vivo V Funds.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930" w:right="279" w:bottom="1440" w:gutter="0" w:footer="0" w:header="0"/>
        </w:sectPr>
      </w:pPr>
    </w:p>
    <w:bookmarkStart w:id="113" w:name="page114"/>
    <w:bookmarkEnd w:id="113"/>
    <w:p>
      <w:pPr>
        <w:ind w:left="660"/>
        <w:spacing w:after="0" w:line="329" w:lineRule="auto"/>
        <w:rPr>
          <w:sz w:val="20"/>
          <w:szCs w:val="20"/>
          <w:color w:val="auto"/>
        </w:rPr>
      </w:pPr>
      <w:r>
        <w:rPr>
          <w:rFonts w:ascii="Arial" w:cs="Arial" w:eastAsia="Arial" w:hAnsi="Arial"/>
          <w:sz w:val="17"/>
          <w:szCs w:val="17"/>
          <w:color w:val="auto"/>
        </w:rPr>
        <w:t>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w:t>
      </w:r>
    </w:p>
    <w:p>
      <w:pPr>
        <w:spacing w:after="0" w:line="36" w:lineRule="exact"/>
        <w:rPr>
          <w:sz w:val="20"/>
          <w:szCs w:val="20"/>
          <w:color w:val="auto"/>
        </w:rPr>
      </w:pPr>
    </w:p>
    <w:p>
      <w:pPr>
        <w:jc w:val="both"/>
        <w:ind w:left="660" w:right="60" w:hanging="652"/>
        <w:spacing w:after="0" w:line="31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an aggregate of 8,610,835 shares of Common Stock, consisting of (i) 7,251,728 shares of outstanding Common Stock, and (ii) 1,359,107 shares of Common Stock that are potentially issuable within 60 days of April 12, 2017 upon the achievement of certain milestones. Stuart Collinson is a managing member of Forward Ventures and has shared voting power over the shares of common stock beneficially owned by Forward Ventures.</w:t>
      </w:r>
    </w:p>
    <w:p>
      <w:pPr>
        <w:spacing w:after="0" w:line="65" w:lineRule="exact"/>
        <w:rPr>
          <w:rFonts w:ascii="Arial" w:cs="Arial" w:eastAsia="Arial" w:hAnsi="Arial"/>
          <w:sz w:val="16"/>
          <w:szCs w:val="16"/>
          <w:color w:val="auto"/>
        </w:rPr>
      </w:pPr>
    </w:p>
    <w:p>
      <w:pPr>
        <w:ind w:left="660" w:right="80" w:hanging="652"/>
        <w:spacing w:after="0" w:line="29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an aggregate of 8,383,652 shares of Common Stock, consisting of (i) 7,050,691 shares of outstanding Common Stock, and (ii) 1,332,961 shares of Common Stock that are potentially issuable within 60 days of April 12, 2017 upon the achievement of certain m</w:t>
      </w:r>
      <w:r>
        <w:rPr>
          <w:rFonts w:ascii="Arial" w:cs="Arial" w:eastAsia="Arial" w:hAnsi="Arial"/>
          <w:sz w:val="21"/>
          <w:szCs w:val="21"/>
          <w:color w:val="auto"/>
        </w:rPr>
        <w:t>ilestones</w:t>
      </w:r>
      <w:r>
        <w:rPr>
          <w:rFonts w:ascii="Arial" w:cs="Arial" w:eastAsia="Arial" w:hAnsi="Arial"/>
          <w:sz w:val="18"/>
          <w:szCs w:val="18"/>
          <w:color w:val="auto"/>
        </w:rPr>
        <w:t>. James Glasheen is one of the managing members of Technology Partners and Technology Affiliates and has shared voting power over the shares of common stock beneficially owned by Technology Partners and Technology Affiliates.</w:t>
      </w:r>
    </w:p>
    <w:p>
      <w:pPr>
        <w:spacing w:after="0" w:line="50" w:lineRule="exact"/>
        <w:rPr>
          <w:rFonts w:ascii="Arial" w:cs="Arial" w:eastAsia="Arial" w:hAnsi="Arial"/>
          <w:sz w:val="18"/>
          <w:szCs w:val="18"/>
          <w:color w:val="auto"/>
        </w:rPr>
      </w:pPr>
    </w:p>
    <w:p>
      <w:pPr>
        <w:ind w:left="660" w:right="440" w:hanging="652"/>
        <w:spacing w:after="0" w:line="28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shares of common stock outstanding, issuable within 60 days of April 12, 2017, upon the exercise of options or warrants: 2,791,666 shares of common stock held by Aspire Capital LLC consisting of (W) 2,791,666 shares of outstanding common stock, and (Y) no shares of common stock subject to outstanding options that are vested and exercisable within 60 days of April 12, 2017.</w:t>
      </w:r>
    </w:p>
    <w:p>
      <w:pPr>
        <w:spacing w:after="0" w:line="57"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2,165,751 shares of common stock held by Dr. Mario, consisting of (W) 1,819,739 shares of outstanding common stock, (X) 77,134 shares of common stock subject to outstanding options that are vested and exercisable within sixty days of April 12, 2017, (Y) 268,878 shares of common stock issuable upon the exercise of warrants (assuming an exercise date of April 12, 2017).</w:t>
      </w:r>
    </w:p>
    <w:p>
      <w:pPr>
        <w:spacing w:after="0" w:line="78"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options or warrants: 1,025,811 shares of common stock held by Dr. Bhatnagar, consisting of (W) 83,419 shares of outstanding common stock, (X) 942,392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125,788 shares of common stock held by Mr. Wondka, all of which are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20" w:hanging="652"/>
        <w:spacing w:after="0" w:line="28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an aggregate of 17,315,739 shares of common stock held by Dr. Engleman, consisting of (Y) the shares held by the Vivo V Funds, the BDF IV Funds and BDF II as set forth above in footnote 1, and (Z) 43,082 shares of common stock subject to outstanding options that are vested and exercisable within sixty days of April 12, 2017.</w:t>
      </w:r>
    </w:p>
    <w:p>
      <w:pPr>
        <w:spacing w:after="0" w:line="57" w:lineRule="exact"/>
        <w:rPr>
          <w:rFonts w:ascii="Arial" w:cs="Arial" w:eastAsia="Arial" w:hAnsi="Arial"/>
          <w:sz w:val="17"/>
          <w:szCs w:val="17"/>
          <w:color w:val="auto"/>
        </w:rPr>
      </w:pPr>
    </w:p>
    <w:p>
      <w:pPr>
        <w:ind w:left="660" w:right="140" w:hanging="652"/>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 or warrants: 160,693 shares of common stock held by Dr. Engelsen, consisting of (W) 118,738 shares of outstanding common stock, (X) 40,583 shares of common stock subject to outstanding options that are vested and exercisable within sixty days of April 12, 2017, and (Y) 1,372 shares of common stock issuable upon the exercise of warrants (assuming an exercise date of April 12, 2017).</w:t>
      </w:r>
    </w:p>
    <w:p>
      <w:pPr>
        <w:spacing w:after="0" w:line="78"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57,875 shares of common stock held by Dr. Kirnon, consisting of (W) 14,793 shares of outstanding common stock, and (X) 43,082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75,758 shares of common stock held by Mr. Harris, consisting of (W) 35,175 shares of outstanding common stock and (X) 40,583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340" w:hanging="652"/>
        <w:spacing w:after="0" w:line="28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upon the exercise of options or warrants: 239,980 shares of common stock held by Mr. O’Toole, consisting of (W) 45,250 shares of outstanding common stock and (X) 194,730 shares of common stock subject to outstanding options that are vested and exercisable within sixty days of April 12,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11" w:right="239" w:bottom="1440" w:gutter="0" w:footer="0" w:header="0"/>
        </w:sectPr>
      </w:pPr>
    </w:p>
    <w:bookmarkStart w:id="114" w:name="page115"/>
    <w:bookmarkEnd w:id="114"/>
    <w:p>
      <w:pPr>
        <w:jc w:val="both"/>
        <w:ind w:left="652" w:hanging="652"/>
        <w:spacing w:after="0" w:line="259"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23,598 shares of common stock held by Mr. Dalal, consisting of (W) 17,765 shares of outstanding common stock and (X) 5,833 shares of common stock subject to outstanding options that are vested and exercisable within sixty days of April 12, 2017. Rajen Dalal joined our Board on April 15, 2016 and received his initial Board option grant on this date.</w:t>
      </w:r>
    </w:p>
    <w:p>
      <w:pPr>
        <w:spacing w:after="0" w:line="78" w:lineRule="exact"/>
        <w:rPr>
          <w:rFonts w:ascii="Arial" w:cs="Arial" w:eastAsia="Arial" w:hAnsi="Arial"/>
          <w:sz w:val="18"/>
          <w:szCs w:val="18"/>
          <w:color w:val="auto"/>
        </w:rPr>
      </w:pPr>
    </w:p>
    <w:p>
      <w:pPr>
        <w:ind w:left="652" w:right="60" w:hanging="652"/>
        <w:spacing w:after="0" w:line="279" w:lineRule="auto"/>
        <w:tabs>
          <w:tab w:leader="none" w:pos="652"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upon the exercise of option or warrants: 121,201 shares of common stock held by Dr. Shah, consisting of (W) 97,117 shares outstanding of common stock, (Y) 1,250 shares of common stock subject to outstanding options that are vested and exercisable within sixty days of April 12, 2017, and (Z) and (iii) 1,358,965 shares of Common Stock that are potentially issuable upon the achievement of certain milestones within sixty days of April 12, 2017.</w:t>
      </w:r>
    </w:p>
    <w:p>
      <w:pPr>
        <w:spacing w:after="0" w:line="63" w:lineRule="exact"/>
        <w:rPr>
          <w:rFonts w:ascii="Arial" w:cs="Arial" w:eastAsia="Arial" w:hAnsi="Arial"/>
          <w:sz w:val="17"/>
          <w:szCs w:val="17"/>
          <w:color w:val="auto"/>
        </w:rPr>
      </w:pPr>
    </w:p>
    <w:p>
      <w:pPr>
        <w:ind w:left="652" w:right="80" w:hanging="652"/>
        <w:spacing w:after="0" w:line="302" w:lineRule="auto"/>
        <w:tabs>
          <w:tab w:leader="none" w:pos="6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upon the exercise of option or warrants: 8,614,630 shares of common stock held by Dr. Collinson, consisting of (W) 2,545 shares outstanding of common stock, (Y) the shares held by Forward Ventures V, LP as set forth above in footnote 3, and (Z) 1,250 shares of common stock subject to outstanding options that are vested and exercisable within sixty days of April 12, 2017. Dr. Collinson joined our Board on March 7, 2017 and received his initial Board option grant on this date.</w:t>
      </w:r>
    </w:p>
    <w:p>
      <w:pPr>
        <w:spacing w:after="0" w:line="46" w:lineRule="exact"/>
        <w:rPr>
          <w:rFonts w:ascii="Arial" w:cs="Arial" w:eastAsia="Arial" w:hAnsi="Arial"/>
          <w:sz w:val="16"/>
          <w:szCs w:val="16"/>
          <w:color w:val="auto"/>
        </w:rPr>
      </w:pPr>
    </w:p>
    <w:p>
      <w:pPr>
        <w:ind w:left="652" w:right="60" w:hanging="652"/>
        <w:spacing w:after="0" w:line="302" w:lineRule="auto"/>
        <w:tabs>
          <w:tab w:leader="none" w:pos="6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upon the exercise of option or warrants: 8,387,480 shares of common stock held by Dr. Glasheen, consisting of (W) 2,578 shares outstanding of common stock, (Y) the shares held by Technology Partners as set forth above in footnote 2, and (Z) 1,250 shares of common stock subject to outstanding options that are vested and exercisable within sixty days of April 12, 2017. Dr. Glasheen joined our Board on March 7, 2017 and received his initial Board option grant on this date.</w:t>
      </w:r>
    </w:p>
    <w:p>
      <w:pPr>
        <w:spacing w:after="0" w:line="46" w:lineRule="exact"/>
        <w:rPr>
          <w:rFonts w:ascii="Arial" w:cs="Arial" w:eastAsia="Arial" w:hAnsi="Arial"/>
          <w:sz w:val="16"/>
          <w:szCs w:val="16"/>
          <w:color w:val="auto"/>
        </w:rPr>
      </w:pPr>
    </w:p>
    <w:p>
      <w:pPr>
        <w:ind w:left="652" w:right="460" w:hanging="652"/>
        <w:spacing w:after="0" w:line="27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total, 7,136,043 of these shares are attributable to options and warrants currently exercisable or potentially issuable upon the achievement of milestones within 60 days of April 12, 2017.</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92"/>
          </w:cols>
          <w:pgMar w:left="248" w:top="584" w:right="2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authorized capital stock consists of 110,000,000 shares, all with a par value of $0.001 per share, 100,000,000 of which are designated as common stock and 10,000,000 of which are designated Convertible Preferred Stock.</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 Copies of these documents were filed with the SEC as exhibits to our registration statement in connection with our IPO.</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March 10, 2017, as reported on our Annual Report on Form 10-K for the annual period ended December 31, 2016, filed with the SEC on March 15, 2017. we had 12,179 outstanding shares of Series B Convertible Preferred Stock, convertible into 12,179,000 shares of our common stock, and 47,479,879 outstanding shares of our common stock. As of March 10, 2017 we also had outstanding 2,908,430 options to acquire shares of our common stock, having a weighted-average exercise price of $3.42 per share. As of March 10,, 2017, we had outstanding 6,029,331 warrants to purchase common stock and 519,609 warrants to purchase common stock issued prior to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were 47,479,879 shares of common stock issued and outstanding as of March 10, 2017, as reported on our Annual Report on Form 10-K for the annual period ended December 31, 2016, filed with the SEC on March 15, 2017.</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will be fully-paid and non-assessable.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 Issued as Part of the Units in our IPO</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Series A Warrants entitle the registered holder to purchase one share of our common stock at an expected exercise price equal to $6.50 per share, subject to adjustment as discussed below, at any time up to 5:00 p.m., New York City time, on the five-year anniversary of the date of issuance.</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Series A Warrants have been issued in registered form under a warrant agreement between us and our warrant agent. The material provisions of the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Series A Warrants may be adjusted in certain circumstances, including in the event of a stock split, stock dividend, extraordinary dividend, or recapitalization, reorganization, merger or consolidation. However, the Series A Warrants will not be adjusted for issuances of common stock at a price below their respective exercise prices.</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Series A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 Under the terms of each of the warrant agreements, we have agreed to use our best efforts to maintain the effectiveness of the registration statement and current prospectus relating to common stock issuable upon exercise of the Series A Warrants until the expiration of the Series A Warrants.</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any period we fail to have maintained an effective registration statement covering the shares underlying the Series A Warrants, the warrant holder may exercise the Series A Warrants on a cashless basis. The warrant holders do not have the rights or privileges of holders of common stock, nor any voting rights, until they exercise their Series A Warrants and receive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96" w:right="239" w:bottom="1440" w:gutter="0" w:footer="0" w:header="0"/>
        </w:sectPr>
      </w:pPr>
    </w:p>
    <w:bookmarkStart w:id="116" w:name="page117"/>
    <w:bookmarkEnd w:id="116"/>
    <w:p>
      <w:pPr>
        <w:ind w:right="300"/>
        <w:spacing w:after="0" w:line="277" w:lineRule="auto"/>
        <w:rPr>
          <w:sz w:val="20"/>
          <w:szCs w:val="20"/>
          <w:color w:val="auto"/>
        </w:rPr>
      </w:pPr>
      <w:r>
        <w:rPr>
          <w:rFonts w:ascii="Arial" w:cs="Arial" w:eastAsia="Arial" w:hAnsi="Arial"/>
          <w:sz w:val="18"/>
          <w:szCs w:val="18"/>
          <w:color w:val="auto"/>
        </w:rPr>
        <w:t>shares of common stock. After the issuance of shares of common stock upon exercise of the Series A Warrants, each holder will be entitled to one vote for each share held of record on all matters to be voted on by stockholders.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Series A Warrants. If, upon exercise of the Series A Warrants, a holder would be entitled to receive a fractional interest in a share, we will, upon exercise, round up to the nearest whole number of shares of common stock to be issued to the warrant holder. If multiple Series A Warrants are exercised by the holder at the same time, we will aggregate the number of whole shares issuable upon exercise of all the Series A Warrants.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Series A Warrants are listed on the NASDAQ Capital Market under the symbol “SLNOW”.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Series A Warrants will not be exercisable to the extent that, after exercise, a holder and/or its affiliates would beneficially own more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4.99% of the common stock outstanding immediately after giving effect to such exercise; provided, however, that if a holder and/or its affiliates already own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4.99% on the date of the exercise, then such limitation will not apply.</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will use our reasonable best efforts to maintain an effective registration statement and prospectus covering the number of shares of common stock issuable upon exercise of the Series A Warrants at any time that these Series A Warrants are exercisable.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Warrants</w:t>
      </w:r>
    </w:p>
    <w:p>
      <w:pPr>
        <w:spacing w:after="0" w:line="229"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The Series C Warrants were issued on March 5, 2015 pursuant to a private transaction, or the Private Transaction, pursuant to a Warrant Exercise Agreement, or the Warrant Exercise Agreement, with certain holders of our Series B Warrants, and pursuant to an exchange offer, or the Exchange Offer, entitle the registered holder to purchase one share of our common stock at an expected exercise price equal to $6.25 per share, subject to adjustment as discussed below, at any time commencing upon issuance of the Series C Warrants and terminating at 5:00 p.m., New York City time, on March 4, 2020.</w:t>
      </w:r>
    </w:p>
    <w:p>
      <w:pPr>
        <w:spacing w:after="0" w:line="15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Series C Warrants have been issued in registered form under a warrant agreement between us and our warrant agent. The material provisions of the Series C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Series C Warrants may be adjusted in certain circumstances, including in the event of a stock split, stock dividend, extraordinary dividend, or recapitalization, reorganization, merger or consolidation. However, the Series C Warrants will not be adjusted for issuances of common stock at a price below its exercise price.</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Series 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7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 registration statement on Form S-1 relating to the resale of the shares of common stock issuable upon exercise of the Series C Warrants issued in the Private Transaction was declared effective on May 19, 2015. In connection with the Private Transaction, we relied on the exemption from registration provided by Section 4(a)(2) of the Securities Act for transactions not involving a public offering, and Rule 506 of Regulation D thereunder as a private offering, without general solicitation, made only to and with accredited investors. We filed a Notice of Exempt Offering on Form D on March 11, 2015 covering the Private Transaction and the Series C Warrants. The resale of the shares of common stock issuable upon exercise of the Series C Warrants issued in the Exchange Offer are covered by a registration statement on Form S-4, which was declared effective on June 25, 2015.</w:t>
      </w:r>
    </w:p>
    <w:p>
      <w:pPr>
        <w:spacing w:after="0" w:line="178"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 holders of the Series C Warrants do not have the rights or privileges of holders of common stock, nor any voting rights, until they exercise their Series C Warrants and receive shares of common stock. After the issuance of shares of common stock upon exercise of the Series C Warrants, each such holder will be entitled to one vote for each share held of record on all matters to be voted on by stockholders.</w:t>
      </w:r>
    </w:p>
    <w:p>
      <w:pPr>
        <w:spacing w:after="0" w:line="16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No fractional shares of common stock will be issued upon exercise of the Series C Warrants. If, upon exercise of the Series C Warrants, a holder would be entitled to receive a fractional interest in a share, we will, upon exercise, round up to the nearest whole number of shares of common stock to be issued to such warrant holder. If multiple Series C Warrants are exercised by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0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Series C Warrant holder at the same time, we will aggregate the number of whole shares issuable upon exercise of all Series C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Series C Warrants are not listed on the NASDAQ Capital Market or any other securities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Common Stock Purchase Warrants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Series D Common Stock Purchase Warrants were originally issued in the private placement entered into on October 12, 2015, pursuant to the 2015 Sabby Purchase Agreement. In connection with the purchase of Series B Convertible Preferred Stock pursuant to the Sabby Purchase Agreement, we amended the Series D Common Stock Purchase Warrants and reduced the per share exercise price from $2.46 per share to $1.75 per share. Following amendment, the amended Series D Common Stock Purchase Warrants entitle the holders thereof to purchase one share of our common stock underlying each Series D Common Stock Purchase Warrant, at an exercise price equal to $1.75 per share, subject to adjustment as discussed below, at any time commencing upon April 15, 2016 through October 15, 2021.</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Series D Common Stock Purchase Warrants have been issued in certificated form under a warrant agreement between us and our warrant agent. The material provisions of the Series D Common Stock Purchase Warrants are set forth herein but are only a summary and are qualified in their entirety by the provisions of each of the form of Series D Common Stock Purchase Warrant that have been filed as exhibits to the registration statement, of which this prospectus forms a part.</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D Common Stock Purchase Warrants may be adjusted in certain circumstances, including in the event of a stock split, stock dividend, extraordinary dividend, or recapitalization, reorganization, merger or consolidation. However, the Series D Common Stock Purchase Warrants will not be adjusted for issuances of common stock at a price below its exercise price.</w:t>
      </w:r>
    </w:p>
    <w:p>
      <w:pPr>
        <w:spacing w:after="0" w:line="18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Series D Common Stock Purchase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holders of the Series D Common Stock Purchase Warrants do not have the rights or privileges of holders of common stock, nor any voting rights, until they exercise their Series D Common Stock Purchase Warrants and receive shares of common stock. After the issuance of shares of common stock upon exercise of the Series D Common Stock Purchase Warrants, each such holder will be entitled to one vote for each share held of record on all matters to be voted on by stockholders.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fractional shares of common stock will be issued upon exercise of the Series D Common Stock Purchase Warrants. If, upon exercise of the Series D Common Stock Purchase Warrants, a holder would be entitled to receive a fractional interest in a share, we will, upon exercise, round up to the nearest whole number of shares of common stock to be issued to such warrant holder. If multiple Series D Common Stock Purchase Warrants are exercised by a Series D Common Stock Purchase Warrants holder at the same time, we will aggregate the number of whole shares issuable upon exercise of all Series D Common Stock Purchase Warrants.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Series D Common Stock Purchase Warrants are not, and will not be, listed on the NASDAQ Capital Market or any other securities exchange.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800" w:right="279" w:bottom="1440" w:gutter="0" w:footer="0" w:header="0"/>
        </w:sectPr>
      </w:pPr>
    </w:p>
    <w:bookmarkStart w:id="118" w:name="page119"/>
    <w:bookmarkEnd w:id="118"/>
    <w:p>
      <w:pPr>
        <w:ind w:right="180"/>
        <w:spacing w:after="0" w:line="277" w:lineRule="auto"/>
        <w:rPr>
          <w:sz w:val="20"/>
          <w:szCs w:val="20"/>
          <w:color w:val="auto"/>
        </w:rPr>
      </w:pPr>
      <w:r>
        <w:rPr>
          <w:rFonts w:ascii="Arial" w:cs="Arial" w:eastAsia="Arial" w:hAnsi="Arial"/>
          <w:sz w:val="18"/>
          <w:szCs w:val="18"/>
          <w:color w:val="auto"/>
        </w:rPr>
        <w:t>Convertible Preferred Stock on the rights of holders of common stock until the board of directors determines the specific rights attached to that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Designation and Series B Convertible Preferred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under the Series B Convertible Preferred Stock Purchase Agreement</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July 5, 2016, in connection with the initial sale of Series B Convertible Preferred Stock pursuant to the Sabby Purchase Agreement, we redeemed 1,779 shares of Series A Convertible Preferred Stock, representing approximately 961,622 shares of common stock on an as-converted basis, for an aggregate price of $1,799,012.</w:t>
      </w:r>
    </w:p>
    <w:p>
      <w:pPr>
        <w:spacing w:after="0" w:line="18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Following the second closing under the Sabby Purchase Agreement, we plan to redeem the remaining 6,001 shares of Series A Convertible Preferred Stock held by Sabby, representing approximately 3,243,783 shares of common stock on an as-converted basis, for an aggregate price of $6,000,988.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Designation and Series B Convertible Preferred Stock.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June 29, 2016, we filed a Certificate of Designation of Preferences, Rights and Limitations of Series B Convertible Preferred Stock, or the Certificate of Designation, with the Secretary of State of the State of Delaware. The number of shares of Series B Convertible Preferred Stock designated is 13,780, and each share of our Series B Convertible Preferred Stock has a stated value equal to $1,000. Under the terms of the Series B Convertible Preferred Stock, we cannot issue any shares of common stock to Sabby, and Sabby cannot convert the Series B Convertible Preferred Stock into common stock, to the extent it would result in ownership in excess of 4.99%.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Except as otherwise provided herein or as otherwise required by law, the Series B Convertible Preferred Stock shall have no voting rights. However, as long as any shares of Series B Convertible Preferred Stock are outstanding, we shall not, without the affirmative vote of the holders of a majority of the then outstanding shares of the Series B Convertible Preferred Stock, (a) alter or change adversely the powers, preferences or rights given to the Series B Convertible Preferred Stock or alter or amend the Certificate of Designation, (b) amend our certificate of incorporation or other charter documents in any manner that adversely affects any rights of the holders of Series B Convertible Preferred Stock, (c) increase the number of authorized shares of Series B Convertible Preferred Stock, or (d) enter into any agreement with respect to any of the foregoing.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Upon any liquidation, dissolution or winding-up of our company, whether voluntary or involuntary that is not a Fundamental Transaction (as defined in our Certificate of Designation), the holders of Series B Convertible Preferred Stock shall be entitled to receive out of the assets, whether capital or surplus, of our company the same amount that a holder of common stock would receive if the Series B Convertible Preferred Stock were fully converted (disregarding for such purposes any conversion limitations hereunder) to common stock which amounts shall be paid on a pari passu basis with all holders of common stock.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Price.</w:t>
      </w:r>
    </w:p>
    <w:p>
      <w:pPr>
        <w:spacing w:after="0" w:line="225"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conversion price for the Series B Convertible Preferred Stock shall equal $1.00, subject to certain terms as described in the Certificate of Designation.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Outstanding Options and Warrants</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 of September 30, 2016, we had outstanding options to purchase 2,938,161 shares of our common stock and additional outstanding warrants to purchase an aggregate of 571,906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party to an investor rights agreement which provides that holders of shares of our convertible preferred stock have certain registration rights, as set forth below. The investor rights agreement has been amended or restated from time to time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800" w:right="279" w:bottom="1440" w:gutter="0" w:footer="0" w:header="0"/>
        </w:sectPr>
      </w:pPr>
    </w:p>
    <w:bookmarkStart w:id="119" w:name="page120"/>
    <w:bookmarkEnd w:id="119"/>
    <w:p>
      <w:pPr>
        <w:ind w:right="20"/>
        <w:spacing w:after="0" w:line="259" w:lineRule="auto"/>
        <w:rPr>
          <w:sz w:val="20"/>
          <w:szCs w:val="20"/>
          <w:color w:val="auto"/>
        </w:rPr>
      </w:pPr>
      <w:r>
        <w:rPr>
          <w:rFonts w:ascii="Arial" w:cs="Arial" w:eastAsia="Arial" w:hAnsi="Arial"/>
          <w:sz w:val="18"/>
          <w:szCs w:val="18"/>
          <w:color w:val="auto"/>
        </w:rPr>
        <w:t>connection with our preferred stock financings, most recently as of March 20, 2008.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pursuant to the demand, piggyback and Form S-3 registrations described below.</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or exclude entirely, the number of shares such holders may include. The demand, piggyback and Form S-3 registration rights described below terminate upon the earliest to occur of:</w:t>
      </w:r>
    </w:p>
    <w:p>
      <w:pPr>
        <w:ind w:right="120" w:firstLine="8"/>
        <w:spacing w:after="0" w:line="277" w:lineRule="auto"/>
        <w:tabs>
          <w:tab w:leader="none" w:pos="2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date that is four years after the closing of our IPO; (ii) with respect to each holder of convertible preferred stock, at such time as all such shares can be sold in a three-month period without registration in compliance with Rule 144; (iii) with respect to each stockholder, the date that the stockholder no longer holds any shares that carry these registration rights; or (iv) following termination of the investor rights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demand registration rights. The holders of a majority of these shares may, on not more than two occasions, request that we file a registration statement having an aggregate offering price to the public of not less than $7,500,000 (net of underwriting discounts and commissions) to register all or a portion of their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Certain holders of our common stock, which was issued upon the conversion of outstanding convertible preferred stock in connection with our IPO, are entitled to, and the necessary percentage of holders waived, their rights to include their shares of registrable securities in our IPO. In the event that we propose to register any of our securities under the Securities Act,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the holders of these shares are entitled to notice of the registration and have the right, subject to limitations that the underwriters may impose on the number of shares included in the registration, to include their shares in the registration. However, in no event shall the amount of securities of the selling stockholders included in the offering be reduced below thirty percent of the total amount of securities included in such offering, unless the offering is the initial public offering of our securities, in which case all shares may be excluded entirely.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Form S-3 registration rights, provided that we have not already effected one such registration within the twelve-month period preceding the date of such request. Such holders may make a request that we register their shares on Form S-3 if we are qualified to file a registration statement on Form S-3. Such request for registration on Form S-3 must cover securities the aggregate offering price of which, net of underwriting discounts and commissions, is at least $1,000,000.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Aspire Capital Registration Rights on Form S-1</w:t>
      </w:r>
    </w:p>
    <w:p>
      <w:pPr>
        <w:spacing w:after="0" w:line="225"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Concurrently with entering into a Common Stock Purchase Agreement on January 27, 2017, or the 2017 Aspire Purchase Agreement, with Aspire Capital, LLC, or Aspire Capital, we also entered into a Registration Rights Agreement with Aspire, in which we agreed to file one or more registration statements as permissible and necessary to register under the Securities Act, the sale of the shares of our common stock that have been and may be issued under the 2017 Aspire Purchase Agreement. The corresponding registration statement on Form S-1 became effective on February 14, 2017.</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Aspire Capital Registration Rights on Form S-1</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Concurrently with entering into a Common Stock Purchase Agreement on July 24, 2015, or the 2015 Aspire Purchase Agreement, with Aspire Capital, we also entered into a Registration Rights Agreement with Aspire, in which we agreed to file one or more registration statements as permissible and necessary to register under the Securities Act, the sale of the shares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800" w:right="239" w:bottom="1440" w:gutter="0" w:footer="0" w:header="0"/>
        </w:sectPr>
      </w:pPr>
    </w:p>
    <w:bookmarkStart w:id="120" w:name="page121"/>
    <w:bookmarkEnd w:id="120"/>
    <w:p>
      <w:pPr>
        <w:ind w:right="400"/>
        <w:spacing w:after="0" w:line="277" w:lineRule="auto"/>
        <w:rPr>
          <w:sz w:val="20"/>
          <w:szCs w:val="20"/>
          <w:color w:val="auto"/>
        </w:rPr>
      </w:pPr>
      <w:r>
        <w:rPr>
          <w:rFonts w:ascii="Arial" w:cs="Arial" w:eastAsia="Arial" w:hAnsi="Arial"/>
          <w:sz w:val="18"/>
          <w:szCs w:val="18"/>
          <w:color w:val="auto"/>
        </w:rPr>
        <w:t>our common stock that have been and may be issued under the 2015 Aspire Purchase Agreement. The corresponding registration statement on Form S-1 became effective on August 11,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Sabby Registration Rights on Form S-1</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Concurrently with entering into the 2015 Securities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2015 Sabby Purchase Agreement, including upon the conversion of Series A Convertible Preferred Stock, or the exercise of Series D Common Stock Purchase Warrants or 2015 Placement Agent Warrants. The corresponding registration statement on Form S-1 became effective on January 4,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2016 Sabby Registration Rights on Form S-1</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Concurrently with entering into a Securities Purchase Agreement on June 29, 2016, or the Sabby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Sabby Purchase Agreement, including upon the conversion of Series B Convertible Preferred Stock or Placement Agent Warrants. This registration statement on Form S-1 is part of the subject matter of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800" w:right="259" w:bottom="1440" w:gutter="0" w:footer="0" w:header="0"/>
        </w:sectPr>
      </w:pPr>
    </w:p>
    <w:bookmarkStart w:id="121" w:name="page122"/>
    <w:bookmarkEnd w:id="121"/>
    <w:p>
      <w:pPr>
        <w:ind w:right="60"/>
        <w:spacing w:after="0" w:line="279" w:lineRule="auto"/>
        <w:rPr>
          <w:sz w:val="20"/>
          <w:szCs w:val="20"/>
          <w:color w:val="auto"/>
        </w:rPr>
      </w:pPr>
      <w:r>
        <w:rPr>
          <w:rFonts w:ascii="Arial" w:cs="Arial" w:eastAsia="Arial" w:hAnsi="Arial"/>
          <w:sz w:val="17"/>
          <w:szCs w:val="17"/>
          <w:color w:val="auto"/>
        </w:rPr>
        <w:t>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73" w:lineRule="exact"/>
        <w:rPr>
          <w:sz w:val="20"/>
          <w:szCs w:val="20"/>
          <w:color w:val="auto"/>
        </w:rPr>
      </w:pPr>
    </w:p>
    <w:p>
      <w:pPr>
        <w:ind w:left="1300" w:right="66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300" w:hanging="644"/>
        <w:spacing w:after="0" w:line="276" w:lineRule="auto"/>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4"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17"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300" w:right="72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ten percent (10%) or more of the assets of the corporation involving the interested stockholder;</w:t>
      </w:r>
    </w:p>
    <w:p>
      <w:pPr>
        <w:spacing w:after="0" w:line="62"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27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corresponding registration statement on Form S-1 became effective. We list our common stock and the Series A Warrants on the NASDAQ Capital Market under the trading symbols “SLNO” and “SLNOW,” respectively. The Series B Warrants, Series C Warrants, Series D Common Stock Purchase Warrants, 2015 Placement Agent Warrants, the Series A Convertible Preferred Stock, the Series B Convertible Preferred Stock, and the Placement Agent Warrants are not listed on any trading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73"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800" w:right="259" w:bottom="1440" w:gutter="0" w:footer="0" w:header="0"/>
        </w:sectPr>
      </w:pPr>
    </w:p>
    <w:bookmarkStart w:id="122" w:name="page123"/>
    <w:bookmarkEnd w:id="122"/>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3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6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transfer agent and registrar for our common stock, Series A Warrants, Series B Warrants, Series C Warrants, Series D Common Stock Purchase Warrants, 2015 Placement Agent Warrants, Series B Convertible Preferred Stock, and Placement Agent Warrants, is American Stock Transfer &amp; Trust Company, LLC.</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584" w:right="29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own an interest representing less than 0.5% of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consolidated financial statements of Soleno Therapeutics, Inc. (formerly known as Capnia, Inc.) as of December 31, 2015 and 2016, and for the years then ended, included in this Prospectus have been so included in reliance on the report of Marcum LLP, an independent registered public accounting firm, given on the authority of said firm as experts in auditing and accounting.</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financial statements of Essentialis, Inc. as of December 31, 2015 and 2016, and for the years then ended, included in this Prospectus have been so included in reliance on the report of PKF,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in connection with this offering of our common stock by our selling stockholders.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referenced for the complete contents of these contracts and documents. A copy of the Registration Statement and the exhibits filed therewith may be inspected without charge at the public reference room of the SEC, located at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i w:val="1"/>
          <w:iCs w:val="1"/>
          <w:color w:val="auto"/>
        </w:rPr>
        <w:t>www.sec.gov.</w:t>
      </w:r>
    </w:p>
    <w:p>
      <w:pPr>
        <w:spacing w:after="0" w:line="180"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we file periodic reports, proxy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other information with the SEC. These periodic reports, proxy statements, and other information are available for inspection and copying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SEC’s public reference facilities and the website of the SEC referred to above. We also maintain a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You may access our annual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on Form 10-K, quarterly reports on Form 10-Q, current reports on Form 8-K, and amendments to those reports filed or furnished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Exchange Act with the SEC free of charge at our website (</w:t>
      </w:r>
      <w:r>
        <w:rPr>
          <w:rFonts w:ascii="Arial" w:cs="Arial" w:eastAsia="Arial" w:hAnsi="Arial"/>
          <w:sz w:val="16"/>
          <w:szCs w:val="16"/>
          <w:i w:val="1"/>
          <w:iCs w:val="1"/>
          <w:color w:val="auto"/>
        </w:rPr>
        <w:t>www.soleno.life</w:t>
      </w:r>
      <w:r>
        <w:rPr>
          <w:rFonts w:ascii="Arial" w:cs="Arial" w:eastAsia="Arial" w:hAnsi="Arial"/>
          <w:sz w:val="16"/>
          <w:szCs w:val="16"/>
          <w:color w:val="auto"/>
        </w:rPr>
        <w:t>) as soon as reasonably practicable after such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electronically filed with, or furnished to, the SEC. The information contained in, or that can be accessed through, our website is not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reference into this Prospectus.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796" w:right="2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1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Section 145 of the Delaware General Corporation Law, or the Delaware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Under Section 145 of the Delaware Law, a corporation shall indemnify an agent of the corporation for expenses actually and reasonably incurred if and to the extent such person was successful on the merits in a proceeding or in defense of any claim, issue or matter therein.</w:t>
      </w:r>
    </w:p>
    <w:p>
      <w:pPr>
        <w:spacing w:after="0" w:line="5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145 of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amended and restated certificate of incorporation and bylaws provide for indemnification of our directors, officers, employees and other agents to the maximum extent permitted by the Delaware Law. We have also entered into agreements with its directors and officers that will require us, among other things, to indemnify them against certain liabilities that may arise by reason of their status or service as directors or officers to the fullest extent not prohibited by law. Insofar as indemnification for liabilities arising under the Securities Act may be permitted to our directors, officers or persons controlling our company pursuant to such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is no litigation pending or, to the best of our knowledge, threatened which might or could result in a claim for indemnification by a director or officer.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796" w:right="2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common stock offered by this prospectus is being offered by 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 selling stockholders. The common stock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may be effected in one or more of the following methods:</w:t>
      </w:r>
    </w:p>
    <w:p>
      <w:pPr>
        <w:spacing w:after="0" w:line="5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selling stockholders may also sell shares of common stock under Rule 144 promulgated under the Securities Act, if available, rather than under this prospectus. In addition, the selling stockholder may transfer the shares of common stock by other means not described in this prospectus. Brokers, dealers, underwriters, or agents participating in the distribution of the shares as agents may receive compensation in the form of commissions, discounts, or concessions from the selling stockholder and/or purchasers of the common stock for whom the broker-dealers may act as agent.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stockholders are considered “underwriters” within the meaning of the Securities Act.</w:t>
      </w:r>
    </w:p>
    <w:p>
      <w:pPr>
        <w:spacing w:after="0" w:line="22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Neither we nor the selling stockholders can presently estimate the amount of compensation that any agent will receive. We know of no existing arrangements between the selling stockholders,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stockholder, and any other required information.</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pay all of the expenses incident to the registration, offering, and sale of the shares to the public other than commissions or discounts of underwriters, broker-dealers, or agents. We have agreed to indemnify the selling stockholders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The selling stockholders have agreed to indemnify us against liabilities under the Securities Act that may arise from certain written information furnished to us the selling stockholders specifically for use in this prospectus or, if such indemnity is unavailable, to contribute amounts required to be paid in respect of such liabilities.</w:t>
      </w:r>
    </w:p>
    <w:p>
      <w:pPr>
        <w:spacing w:after="0" w:line="193"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Securities Exchange Act of 1934, as amended. With certain exceptions, Regulation M precludes the selling stockholder, any affiliated purchasers, and any broker-dealer or other person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96" w:right="239" w:bottom="1440" w:gutter="0" w:footer="0" w:header="0"/>
        </w:sectPr>
      </w:pPr>
    </w:p>
    <w:bookmarkStart w:id="126" w:name="page127"/>
    <w:bookmarkEnd w:id="126"/>
    <w:p>
      <w:pPr>
        <w:jc w:val="both"/>
        <w:spacing w:after="0" w:line="312" w:lineRule="auto"/>
        <w:rPr>
          <w:sz w:val="20"/>
          <w:szCs w:val="20"/>
          <w:color w:val="auto"/>
        </w:rPr>
      </w:pPr>
      <w:r>
        <w:rPr>
          <w:rFonts w:ascii="Arial" w:cs="Arial" w:eastAsia="Arial" w:hAnsi="Arial"/>
          <w:sz w:val="16"/>
          <w:szCs w:val="16"/>
          <w:color w:val="auto"/>
        </w:rPr>
        <w:t>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the selling stockholders.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selling stockholders may from time to time offer and sell any or all of the shares of our common stock set forth below pursuant to this prospectus. When we refer to the “selling stockholders” in this prospectus, we mean the entities listed in the table below, and its respective pledgees, donees, permitted transferees, assignees, successors and others who later come to hold any of the selling stockholder’s interests in shares of our common stock other than through a public sale.</w:t>
      </w:r>
    </w:p>
    <w:p>
      <w:pPr>
        <w:spacing w:after="0" w:line="187"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following table sets forth, as of the date of this prospectus, the name of the selling stockholders for whom we are registering shares for sale to the public, the number of shares of common stock beneficially owned by the selling stockholders prior to this offering, the total number of shares of common stock that the selling stockholders may offer pursuant to this prospectus and the number of shares of common stock that the selling stockholders will beneficially own after this offering. Except as noted below, the selling stockholders do not have, or within the past three years has not had, any material relationship with us or any of our predecessors or affiliates and the selling stockholders are not or were not affiliated with registered broker-dealers.</w:t>
      </w:r>
    </w:p>
    <w:p>
      <w:pPr>
        <w:spacing w:after="0" w:line="15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Based on the information provided to us by the selling stockholders, assuming that the selling stockholders sells all of the shares of our common stock beneficially owned by it that have been registered by us and does not acquire any additional shares during the offering, the selling stockholder will not own any shares other than those appearing in the column entitled “Beneficial Ownership After This Offering.” We cannot advise you as to whether the selling stockholders will in fact sell any or all of such shares of common stock. In addition, the selling stockholders may have sold, transferred or otherwise disposed of, or may sell, transfer or otherwise dispose of, at any time and from time to time, the shares of our common stock in transactions exempt from the registration requirements of the Securities Act of 1933 after the date on which it provided the information set forth in the table below.</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800" w:right="279" w:bottom="1440" w:gutter="0" w:footer="0" w:header="0"/>
        </w:sectPr>
      </w:pPr>
    </w:p>
    <w:bookmarkStart w:id="127" w:name="page128"/>
    <w:bookmarkEnd w:id="127"/>
    <w:tbl>
      <w:tblPr>
        <w:tblLayout w:type="fixed"/>
        <w:tblInd w:w="173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color w:val="auto"/>
                <w:w w:val="99"/>
              </w:rPr>
              <w:t>Following the</w:t>
            </w:r>
          </w:p>
        </w:tc>
      </w:tr>
      <w:tr>
        <w:trPr>
          <w:trHeight w:val="129"/>
        </w:trPr>
        <w:tc>
          <w:tcPr>
            <w:tcW w:w="4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color w:val="auto"/>
                <w:w w:val="98"/>
              </w:rPr>
              <w:t>Offering (1)</w:t>
            </w:r>
          </w:p>
        </w:tc>
        <w:tc>
          <w:tcPr>
            <w:tcW w:w="420" w:type="dxa"/>
            <w:vAlign w:val="bottom"/>
          </w:tcPr>
          <w:p>
            <w:pPr>
              <w:spacing w:after="0"/>
              <w:rPr>
                <w:sz w:val="11"/>
                <w:szCs w:val="1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50"/>
        </w:trPr>
        <w:tc>
          <w:tcPr>
            <w:tcW w:w="458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Shares of</w:t>
            </w:r>
          </w:p>
        </w:tc>
        <w:tc>
          <w:tcPr>
            <w:tcW w:w="1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Common</w:t>
            </w:r>
          </w:p>
        </w:tc>
        <w:tc>
          <w:tcPr>
            <w:tcW w:w="1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w:t>
            </w:r>
          </w:p>
        </w:tc>
        <w:tc>
          <w:tcPr>
            <w:tcW w:w="1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Beneficially</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Shares of</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Beneficially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Owned</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Owned</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Prior to this</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Being Offered</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After this</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Ownership</w:t>
            </w:r>
          </w:p>
        </w:tc>
      </w:tr>
      <w:tr>
        <w:trPr>
          <w:trHeight w:val="188"/>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Offering (2)</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Offering (3)</w:t>
            </w:r>
          </w:p>
        </w:tc>
        <w:tc>
          <w:tcPr>
            <w:tcW w:w="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Percent (4)</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Funds affiliated with Vivo Ventures (5) (6)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17,272,657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8,869,037</w:t>
            </w: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3"/>
              </w:rPr>
              <w:t>8,675,412</w:t>
            </w:r>
          </w:p>
        </w:tc>
        <w:tc>
          <w:tcPr>
            <w:tcW w:w="78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2"/>
              </w:rPr>
              <w:t>40.14%</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Forward Ventures V, L.P. (7)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8,610,835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8,882,656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Funds affiliated with Technology Partners (8)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8,383,652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8,650,244</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Palo Alto Healthcare Master Fund, L.P. (9)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261,941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271,955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Palo Alto Fund II, L.P. (10)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261,941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271,955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Genovate Biotechnology Co. Ltd. (11)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Uni Pharma Co. Ltd. (12)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Giddi Pharma Co. Ltd. (13)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 Taiwan XI Venture Capital Co. Ltd. (14)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 Taiwan VIII Venture Capital Co. Ltd. (15)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Mahendra Shah (16)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121,201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121,984</w:t>
            </w:r>
          </w:p>
        </w:tc>
        <w:tc>
          <w:tcPr>
            <w:tcW w:w="78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1"/>
              </w:rPr>
              <w:t>3,783</w:t>
            </w: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Aquilo Capital (17)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91,339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109,606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DLA Piper (18)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78,100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81,085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Neil M. Cowen (19)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730,502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767,892</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Glaze Family Revocable Trust dtd 6/17/04 (20)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118,131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122,647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Richard A. Glaze (21)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1,984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2,059</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56"/>
        </w:trPr>
        <w:tc>
          <w:tcPr>
            <w:tcW w:w="458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w w:val="99"/>
              </w:rPr>
              <w:t>Jeffrey A. Staffa and Jo-Ann Staffa Trustees, or their successors, in trust,</w:t>
            </w:r>
          </w:p>
        </w:tc>
        <w:tc>
          <w:tcPr>
            <w:tcW w:w="7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r>
      <w:tr>
        <w:trPr>
          <w:trHeight w:val="149"/>
        </w:trPr>
        <w:tc>
          <w:tcPr>
            <w:tcW w:w="45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under the Jeffrey and Jo-Ann Staffa Living Trust, dated December 10, 2015,</w:t>
            </w:r>
          </w:p>
        </w:tc>
        <w:tc>
          <w:tcPr>
            <w:tcW w:w="7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88"/>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and any amendments thereto (22)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10,274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10,666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Khaled Yamout (23)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68,573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71,194</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Debra L. Robertson (24)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4,505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4,677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Richard Pasternak (25)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139,949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145,376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Alain Baron (26)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131,838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136,955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Aaron Berg (27)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35,183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36,528</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Gloria Lin (28)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6,749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7,007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Joy Becker (29)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395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410</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bl>
    <w:p>
      <w:pPr>
        <w:ind w:left="460" w:hanging="128"/>
        <w:spacing w:after="0"/>
        <w:tabs>
          <w:tab w:leader="none" w:pos="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w:t>
      </w:r>
    </w:p>
    <w:p>
      <w:pPr>
        <w:spacing w:after="0" w:line="372"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Assumes the sale of all shares of common stock registered pursuant to this prospectus, although the selling stockholder is under no obligation known to us to sell any shares of common stock at this time. An aggregate of 32,730,600 shares are being registered in this offering, consisting of (i) 27,250,273 shares that are issued and outstanding, (ii) 4,566,948 shares of Common Stock that are potentially issuable upon the achievement of certain milestones within sixty days of April 12, 2017, and (iii) 913,379 shares of Common Stock that are designated holdback shares that are not potentially issuable within sixty days of April 12, 2017.</w:t>
      </w:r>
    </w:p>
    <w:p>
      <w:pPr>
        <w:spacing w:after="0" w:line="80" w:lineRule="exact"/>
        <w:rPr>
          <w:rFonts w:ascii="Arial" w:cs="Arial" w:eastAsia="Arial" w:hAnsi="Arial"/>
          <w:sz w:val="18"/>
          <w:szCs w:val="18"/>
          <w:color w:val="auto"/>
        </w:rPr>
      </w:pPr>
    </w:p>
    <w:p>
      <w:pPr>
        <w:ind w:left="660" w:hanging="652"/>
        <w:spacing w:after="0" w:line="297"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an aggregate of 5,843,167 shares of Common Stock issuable within sixty days of April 12, 2017, consisting of (i) 1,276,219 shares of Common Stock that are potentially issuable upon the exercise of outstanding warrants and the vested portion of outstanding options within sixty days of April 12, 2017 and (ii) 4,566,948 shares of Common Stock that are potentially issuable upon the achievement of certain milestones within sixty days of April 12, 2017 and which are being registered as part of this offering. The shares excludes 913,379 shares of Common Stock that are designated holdback shares and are being registered as a part of this offering, but are not potentially issuable within sixty days of April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-1544955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35" w:right="239" w:bottom="1440" w:gutter="0" w:footer="0" w:header="0"/>
        </w:sectPr>
      </w:pPr>
    </w:p>
    <w:bookmarkStart w:id="128" w:name="page129"/>
    <w:bookmarkEnd w:id="128"/>
    <w:p>
      <w:pPr>
        <w:ind w:left="652" w:right="60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1,276,219 shares of Common Stock that are potentially issuable upon the exercise of outstanding warrants and the vested portion of outstanding options within sixty days of April 12, 2017.</w:t>
      </w:r>
    </w:p>
    <w:p>
      <w:pPr>
        <w:spacing w:after="0" w:line="62"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Calculated based on 20,337,374 shares outstanding following the offering, based on (i) 47,587,647 shares of common stock outstanding on April 12, 2017, less (ii) 27,250,273 shares that are issued and outstanding and being offered by the Selling Stockholders as part of this offering.</w:t>
      </w:r>
    </w:p>
    <w:p>
      <w:pPr>
        <w:spacing w:after="0" w:line="15" w:lineRule="exact"/>
        <w:rPr>
          <w:rFonts w:ascii="Arial" w:cs="Arial" w:eastAsia="Arial" w:hAnsi="Arial"/>
          <w:sz w:val="16"/>
          <w:szCs w:val="16"/>
          <w:color w:val="auto"/>
        </w:rPr>
      </w:pPr>
    </w:p>
    <w:p>
      <w:pPr>
        <w:ind w:left="652" w:hanging="652"/>
        <w:spacing w:after="0" w:line="284"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consisting of: (a) 16,674,428 shares of common stock held by Vivo Ventures Fund, V, L.P., consisting of (W) 14,076,263 shares of outstanding Common Stock, of which 7,154,140 shares of Common Stock are being registered as part of this offering, (X) zero shares of common stock subject to outstanding options that are vested and exercisable within sixty days of April 12, 2017, (Y) 1,255,019 shares of common stock issuable upon the exercise of warrants (assuming an exercise date of April 12, 2017), and (Z) 1,343,146 shares of Common Stock are potentially issuable upon the achievement of certain milestones within sixty days of April 12, 2017 and are being registered as part of this offering; (b) 195,918 shares of common stock held by Vivo Ventures V Affiliates Fund, LP., consisting of (W) 165,373 shares of outstanding Common Stock, of which 84,140 shares of Common Stock are being registered as part of this offering, (X) zero shares of common stock subject to outstanding options that are vested and exercisable within sixty days of April 12, 2017, (Y) 14,726 shares of common stock issuable upon the exercise of warrants (assuming an exercise date of April 12, 2017), and (Z) 15,819 shares of Common Stockare potentially issuable upon the achievement of certain milestones within sixty days of April 12, 2017 and are being registered as part of this offering; (c) 231,273 shares of common stock held by BDF IV Annex Fund, L.P., consisting of (W) 227,068 shares of outstanding common stock, (X) zero shares of common stock subject to outstanding options that are vested and exercisable within sixty days of April 12, 2017, and (Y) 4,205 shares of common stock issuable upon the exercise of warrants (assuming an exercise date of April 12, 2017); (d) 167,945 shares of common stock held by Biotechnology Development Fund IV, L.P., consisting of (W) 166,943 shares of outstanding common stock, (X) zero shares of common stock subject to outstanding options that are vested and exercisable within sixty days of April 12, 2017, and (Y) 1,002 shares of common stock issuable upon the exercise of warrants (assuming an exercise date of April 12, 2017); and (e) 3,093 shares of common stock held by Biotechnology Development Fund IV Affiliates, L.P., consisting of (W) 3,076 shares of outstanding common stock, (X) zero shares of common stock subject to outstanding options that are vested and exercisable within sixty days of April 12, 2017, and (Y) 17 shares of common stock issuable upon the exercise of warrants (assuming an exercise date of April 12, 2017). Vivo Ventures V LLC (Vivo V LLC), is the sole general partner of both of Vivo Ventures Fund V, L.P. and Vivo Ventures V Affiliates Fund, L.P. (Vivo V Funds), and may be deemed to beneficially own the common stock of Soleno Therapeutics owned by the Vivo V Funds.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 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w:t>
      </w:r>
    </w:p>
    <w:p>
      <w:pPr>
        <w:spacing w:after="0" w:line="280" w:lineRule="exact"/>
        <w:rPr>
          <w:rFonts w:ascii="Arial" w:cs="Arial" w:eastAsia="Arial" w:hAnsi="Arial"/>
          <w:sz w:val="16"/>
          <w:szCs w:val="16"/>
          <w:color w:val="auto"/>
        </w:rPr>
      </w:pPr>
    </w:p>
    <w:p>
      <w:pPr>
        <w:ind w:left="652" w:right="60" w:hanging="652"/>
        <w:spacing w:after="0" w:line="31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being offered by funds affiliated with Vivo Ventures in this offering represents an aggregate of 8,869,037 shares of Common Stock, consisting of (i) 7,238,280 shares of outstanding Common Stock, (ii) 271,792 shares of Common Stock that are potentially issuable upon the release date of the holdback shares, and (iii) 1,358,965 shares of Common Stock that are potentially issuable upon the achievement of certain milestones.</w:t>
      </w:r>
    </w:p>
    <w:p>
      <w:pPr>
        <w:spacing w:after="0" w:line="38" w:lineRule="exact"/>
        <w:rPr>
          <w:rFonts w:ascii="Arial" w:cs="Arial" w:eastAsia="Arial" w:hAnsi="Arial"/>
          <w:sz w:val="16"/>
          <w:szCs w:val="16"/>
          <w:color w:val="auto"/>
        </w:rPr>
      </w:pPr>
    </w:p>
    <w:p>
      <w:pPr>
        <w:ind w:left="652" w:hanging="652"/>
        <w:spacing w:after="0" w:line="259"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Forward Ventures V, L.P. in this offering represents an aggregate of 8,882,656 shares of Common Stock, consisting of (i) 7,251,728 shares of outstanding Common Stock, (ii) 271,821 shares of Common Stock that are potentially issuable upon the release date of the holdback shares, and (iii) 1,359,107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hanging="652"/>
        <w:spacing w:after="0" w:line="259"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funds affiliated with Technology Partners in this offering represents an aggregate of 8,650,244 shares of Common Stock, consisting of (i) 7,050,691 shares of outstanding Common Stock, (ii) 266,592 shares of Common Stock that are potentially issuable upon the release date of the holdback shares, and (iii) 1,332,961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jc w:val="both"/>
        <w:ind w:left="652" w:right="280" w:hanging="652"/>
        <w:spacing w:after="0" w:line="264"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Palo Alto Healthcare Master Fund, L.P. in this offering represents an aggregate of 271,955 shares of Common Stock, consisting of (i) 211,869 shares of outstanding Common Stock, (ii) 10,014 shares of Common Stock that are potentially issuable upon the release date of the holdback shares, and (iii) 50,072 shares of</w:t>
      </w: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92"/>
          </w:cols>
          <w:pgMar w:left="248" w:top="584" w:right="259" w:bottom="1440" w:gutter="0" w:footer="0" w:header="0"/>
        </w:sectPr>
      </w:pPr>
    </w:p>
    <w:bookmarkStart w:id="129" w:name="page130"/>
    <w:bookmarkEnd w:id="129"/>
    <w:p>
      <w:pPr>
        <w:ind w:left="652"/>
        <w:spacing w:after="0"/>
        <w:rPr>
          <w:sz w:val="20"/>
          <w:szCs w:val="20"/>
          <w:color w:val="auto"/>
        </w:rPr>
      </w:pPr>
      <w:r>
        <w:rPr>
          <w:rFonts w:ascii="Arial" w:cs="Arial" w:eastAsia="Arial" w:hAnsi="Arial"/>
          <w:sz w:val="18"/>
          <w:szCs w:val="18"/>
          <w:color w:val="auto"/>
        </w:rPr>
        <w:t>Common Stock that are potentially issuable within 60 days of April 12, 2017 upon the achievement of certain milestones.</w:t>
      </w:r>
    </w:p>
    <w:p>
      <w:pPr>
        <w:spacing w:after="0" w:line="131" w:lineRule="exact"/>
        <w:rPr>
          <w:sz w:val="20"/>
          <w:szCs w:val="20"/>
          <w:color w:val="auto"/>
        </w:rPr>
      </w:pPr>
    </w:p>
    <w:p>
      <w:pPr>
        <w:ind w:left="652" w:right="280" w:hanging="652"/>
        <w:spacing w:after="0" w:line="259"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Palo Alto Fund II, L.P. in this offering represents an aggregate of 271,955 shares of Common Stock, consisting of (i) 211,869 shares of outstanding Common Stock, (ii) 10,014 shares of Common Stock that are potentially issuable upon the release date of the holdback shares, and (iii) 50,072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Genovate Biotechnology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right="300"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Uni Pharma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right="160"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Giddi Pharma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Top Taiwan XI Venture Capital Co. Ltd. in this offering represents an aggregate of 520,833 shares of Common Stock, all of which are issued and outstanding.</w:t>
      </w:r>
    </w:p>
    <w:p>
      <w:pPr>
        <w:spacing w:after="0" w:line="62"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Top Taiwan VIII Venture Capital Co. Ltd. in this offering represents an aggregate of 520,833 shares of Common Stock, all of which are issued and outstanding.</w:t>
      </w:r>
    </w:p>
    <w:p>
      <w:pPr>
        <w:spacing w:after="0" w:line="62" w:lineRule="exact"/>
        <w:rPr>
          <w:rFonts w:ascii="Arial" w:cs="Arial" w:eastAsia="Arial" w:hAnsi="Arial"/>
          <w:sz w:val="18"/>
          <w:szCs w:val="18"/>
          <w:color w:val="auto"/>
        </w:rPr>
      </w:pPr>
    </w:p>
    <w:p>
      <w:pPr>
        <w:ind w:left="652" w:right="140" w:hanging="652"/>
        <w:spacing w:after="0" w:line="276" w:lineRule="auto"/>
        <w:tabs>
          <w:tab w:leader="none" w:pos="65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shares being offered by Mahendra Shah in this offering represents an aggregate of 121,984 shares of Common Stock, consisting of (i) 94,584 shares of outstanding Common Stock, (ii) 4,566 shares of Common Stock that are potentially issuable upon the release date of the holdback shares, and (iii) 22,834 shares of Common Stock that are potentially issuable within 60 days of April 12, 2017 upon the achievement of certain milestones. In addition to the shares being offered, Dr. Shah also beneficially holds 3,783 shares of Common Stock, of which (i) 2,533 shares are issued and outstanding, and (ii) 1,250 shares are issuable upon the exercise of vested options.</w:t>
      </w:r>
    </w:p>
    <w:p>
      <w:pPr>
        <w:spacing w:after="0" w:line="64" w:lineRule="exact"/>
        <w:rPr>
          <w:rFonts w:ascii="Arial" w:cs="Arial" w:eastAsia="Arial" w:hAnsi="Arial"/>
          <w:sz w:val="17"/>
          <w:szCs w:val="17"/>
          <w:color w:val="auto"/>
        </w:rPr>
      </w:pPr>
    </w:p>
    <w:p>
      <w:pPr>
        <w:ind w:left="652" w:right="4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Aquilo Capital in this offering represents an aggregate of 109,606 shares of Common Stock, consisting of (i) 0 shares of outstanding Common Stock, (ii) 18,267 shares of Common Stock that are potentially issuable upon the release date of the holdback shares, and (iii) 91,339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DLA Piper in this offering represents an aggregate of 81,085 shares of Common Stock, consisting of (i) 63,171 shares of outstanding Common Stock, (ii) 2,985 shares of Common Stock that are potentially issuable upon the release date of the holdback shares, and (iii) 14,929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4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Neil M. Cowen in this offering represents an aggregate of 767,892 shares of Common Stock, consisting of (i) 543,548 shares of outstanding Common Stock, (ii) 37,390 shares of Common Stock that are potentially issuable upon the release date of the holdback shares, and (iii) 186,954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259"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Glaze Family Revocable Trust dtd 6/17/04 in this offering represents an aggregate of 122,647 shares of Common Stock, consisting of (i) 95,549 shares of outstanding Common Stock, (ii) 4,516 shares of Common Stock that are potentially issuable upon the release date of the holdback shares, and (iii) 22,582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right="6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Richard A. Glaze in this offering represents an aggregate of 2,059 shares of Common Stock, consisting of (i) 1,605 shares of outstanding Common Stock, (ii) 75 shares of Common Stock that are potentially issuable upon the release date of the holdback shares, and (iii) 379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25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Jeffrey A. Staffa and Jo-Ann Staffa Trustees, or their successors, in trust, under the Jeffrey and Jo-Ann Staffa Living Trust, dated December 10, 2015, and any amendments thereto in this offering represents an aggregate of 10,666 shares of Common Stock, consisting of (i) 8,310 shares of outstanding Common Stock, (ii) 392 shares of Common Stock that are potentially issuable upon the release date of the holdback shares, and (iii) 1,964 shares of Common Stock that are potentially issuable within 60 days of April 12, 2017 upon the achievement of certain milestones.</w:t>
      </w:r>
    </w:p>
    <w:p>
      <w:pPr>
        <w:spacing w:after="0" w:line="80"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being offered by Khaled Yamout in this offering represents an aggregate of 71,194 shares of Common Stock, consisting of (i) 55,465 shares of outstanding Common Stock, (ii) 2,621 shares of Common Stock that are</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92"/>
          </w:cols>
          <w:pgMar w:left="248" w:top="611" w:right="259" w:bottom="1440" w:gutter="0" w:footer="0" w:header="0"/>
        </w:sectPr>
      </w:pPr>
    </w:p>
    <w:bookmarkStart w:id="130" w:name="page131"/>
    <w:bookmarkEnd w:id="130"/>
    <w:p>
      <w:pPr>
        <w:ind w:left="652" w:right="320"/>
        <w:spacing w:after="0" w:line="324" w:lineRule="auto"/>
        <w:rPr>
          <w:sz w:val="20"/>
          <w:szCs w:val="20"/>
          <w:color w:val="auto"/>
        </w:rPr>
      </w:pPr>
      <w:r>
        <w:rPr>
          <w:rFonts w:ascii="Arial" w:cs="Arial" w:eastAsia="Arial" w:hAnsi="Arial"/>
          <w:sz w:val="18"/>
          <w:szCs w:val="18"/>
          <w:color w:val="auto"/>
        </w:rPr>
        <w:t>potentially issuable upon the release date of the holdback shares, and (iii) 13,108 shares of Common Stock that are potentially issuable within 60 days of April 12, 2017 upon the achievement of certain milestones.</w:t>
      </w:r>
    </w:p>
    <w:p>
      <w:pPr>
        <w:spacing w:after="0" w:line="35" w:lineRule="exact"/>
        <w:rPr>
          <w:sz w:val="20"/>
          <w:szCs w:val="20"/>
          <w:color w:val="auto"/>
        </w:rPr>
      </w:pPr>
    </w:p>
    <w:p>
      <w:pPr>
        <w:jc w:val="both"/>
        <w:ind w:left="652" w:right="240"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Debra L. Robertson in this offering represents an aggregate of 4,677 shares of Common Stock, consisting of (i) 3,644 shares of outstanding Common Stock, (ii) 172 shares of Common Stock that are potentially issuable upon the release date of the holdback shares, and (iii) 861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Richard Pasternak in this offering represents an aggregate of 145,376 shares of Common Stock, consisting of (i) 112,808 shares of outstanding Common Stock, (ii) 5,427 shares of Common Stock that are potentially issuable upon the release date of the holdback shares, and (iii) 27,141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140"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Alain Baron in this offering represents an aggregate of 136,955 shares of Common Stock, consisting of (i) 106,248 shares of outstanding Common Stock, (ii) 5,117 shares of Common Stock that are potentially issuable upon the release date of the holdback shares, and (iii) 25,590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Aaron Berg in this offering represents an aggregate of 36,528 shares of Common Stock, consisting of (i) 28,458 shares of outstanding Common Stock, (ii) 1,345 shares of Common Stock that are potentially issuable upon the release date of the holdback shares, and (iii) 6,725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Aaron Berg in this offering represents an aggregate of 36,528 shares of Common Stock, consisting of (i) 28,458 shares of outstanding Common Stock, (ii) 1,345 shares of Common Stock that are potentially issuable upon the release date of the holdback shares, and (iii) 6,725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20" w:hanging="652"/>
        <w:spacing w:after="0" w:line="312" w:lineRule="auto"/>
        <w:tabs>
          <w:tab w:leader="none" w:pos="6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being offered by Joy Becker in this offering represents an aggregate of 410 shares of Common Stock, consisting of (i) 320 shares of outstanding Common Stock, (ii) 15 shares of Common Stock that are potentially issuable upon the release date of the holdback shares, and (iii) 75 shares of Common Stock that are potentially issuable within 60 days of April 12, 2017 upon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92"/>
          </w:cols>
          <w:pgMar w:left="248" w:top="611" w:right="259" w:bottom="1440" w:gutter="0" w:footer="0" w:header="0"/>
        </w:sectPr>
      </w:pPr>
    </w:p>
    <w:bookmarkStart w:id="131" w:name="page132"/>
    <w:bookmarkEnd w:id="131"/>
    <w:p>
      <w:pPr>
        <w:ind w:right="580" w:firstLine="590"/>
        <w:spacing w:after="0" w:line="472" w:lineRule="auto"/>
        <w:rPr>
          <w:sz w:val="20"/>
          <w:szCs w:val="20"/>
          <w:color w:val="auto"/>
        </w:rPr>
      </w:pPr>
      <w:r>
        <w:rPr>
          <w:rFonts w:ascii="Arial" w:cs="Arial" w:eastAsia="Arial" w:hAnsi="Arial"/>
          <w:sz w:val="18"/>
          <w:szCs w:val="18"/>
          <w:b w:val="1"/>
          <w:bCs w:val="1"/>
          <w:color w:val="auto"/>
        </w:rPr>
        <w:t>INDEX TO SOLENO THERAPEUTICS (FORMRLY KNOWN AS CAPNIA, INC) CONSOLIDATED FINANCIAL STATEMENTS SOLENO THERAPEUTICS, INC. (FORMERLY KNOWN AS CAPNIA, INC) AS OF DECMEBER 31, 2016</w:t>
      </w: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22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Report of Independent Registered Public Accounting Firm</w:t>
              </w:r>
            </w:hyperlink>
          </w:p>
        </w:tc>
        <w:tc>
          <w:tcPr>
            <w:tcW w:w="5260" w:type="dxa"/>
            <w:vAlign w:val="bottom"/>
          </w:tcPr>
          <w:p>
            <w:pPr>
              <w:spacing w:after="0"/>
              <w:rPr>
                <w:sz w:val="16"/>
                <w:szCs w:val="16"/>
                <w:color w:val="auto"/>
              </w:rPr>
            </w:pPr>
          </w:p>
        </w:tc>
        <w:tc>
          <w:tcPr>
            <w:tcW w:w="1880" w:type="dxa"/>
            <w:vAlign w:val="bottom"/>
          </w:tcPr>
          <w:p>
            <w:pPr>
              <w:jc w:val="right"/>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 - </w:t>
            </w:r>
            <w:hyperlink w:anchor="page133">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4">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4">
              <w:r>
                <w:rPr>
                  <w:rFonts w:ascii="Arial" w:cs="Arial" w:eastAsia="Arial" w:hAnsi="Arial"/>
                  <w:sz w:val="18"/>
                  <w:szCs w:val="18"/>
                  <w:color w:val="auto"/>
                </w:rPr>
                <w:t>3</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5">
              <w:r>
                <w:rPr>
                  <w:rFonts w:ascii="Arial" w:cs="Arial" w:eastAsia="Arial" w:hAnsi="Arial"/>
                  <w:sz w:val="18"/>
                  <w:szCs w:val="18"/>
                  <w:color w:val="0000EE"/>
                </w:rPr>
                <w:t>Statements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5">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6">
              <w:r>
                <w:rPr>
                  <w:rFonts w:ascii="Arial" w:cs="Arial" w:eastAsia="Arial" w:hAnsi="Arial"/>
                  <w:sz w:val="18"/>
                  <w:szCs w:val="18"/>
                  <w:color w:val="0000EE"/>
                </w:rPr>
                <w:t>Statements of Stockholders' (Deficit) Equity</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6">
              <w:r>
                <w:rPr>
                  <w:rFonts w:ascii="Arial" w:cs="Arial" w:eastAsia="Arial" w:hAnsi="Arial"/>
                  <w:sz w:val="18"/>
                  <w:szCs w:val="18"/>
                  <w:color w:val="auto"/>
                </w:rPr>
                <w:t>5</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7">
              <w:r>
                <w:rPr>
                  <w:rFonts w:ascii="Arial" w:cs="Arial" w:eastAsia="Arial" w:hAnsi="Arial"/>
                  <w:sz w:val="18"/>
                  <w:szCs w:val="18"/>
                  <w:color w:val="0000EE"/>
                </w:rPr>
                <w:t>Statements of Cash Flows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7">
              <w:r>
                <w:rPr>
                  <w:rFonts w:ascii="Arial" w:cs="Arial" w:eastAsia="Arial" w:hAnsi="Arial"/>
                  <w:sz w:val="18"/>
                  <w:szCs w:val="18"/>
                  <w:color w:val="auto"/>
                </w:rPr>
                <w:t>6</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Notes to </w:t>
            </w:r>
            <w:hyperlink w:anchor="page139">
              <w:r>
                <w:rPr>
                  <w:rFonts w:ascii="Arial" w:cs="Arial" w:eastAsia="Arial" w:hAnsi="Arial"/>
                  <w:sz w:val="18"/>
                  <w:szCs w:val="18"/>
                  <w:color w:val="0000EE"/>
                </w:rPr>
                <w:t>Consolidated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9">
              <w:r>
                <w:rPr>
                  <w:rFonts w:ascii="Arial" w:cs="Arial" w:eastAsia="Arial" w:hAnsi="Arial"/>
                  <w:sz w:val="18"/>
                  <w:szCs w:val="18"/>
                  <w:color w:val="auto"/>
                </w:rPr>
                <w:t>7</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80"/>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(FORMERLY KNOWN AS CAPNIA, INC) AS OF MARCH 31, 2017</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61">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1">
              <w:r>
                <w:rPr>
                  <w:rFonts w:ascii="Arial" w:cs="Arial" w:eastAsia="Arial" w:hAnsi="Arial"/>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62">
              <w:r>
                <w:rPr>
                  <w:rFonts w:ascii="Arial" w:cs="Arial" w:eastAsia="Arial" w:hAnsi="Arial"/>
                  <w:sz w:val="18"/>
                  <w:szCs w:val="18"/>
                  <w:color w:val="0000EE"/>
                </w:rPr>
                <w:t>Statements of Operations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2">
              <w:r>
                <w:rPr>
                  <w:rFonts w:ascii="Arial" w:cs="Arial" w:eastAsia="Arial" w:hAnsi="Arial"/>
                  <w:sz w:val="18"/>
                  <w:szCs w:val="18"/>
                  <w:color w:val="auto"/>
                </w:rPr>
                <w:t>30</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63">
              <w:r>
                <w:rPr>
                  <w:rFonts w:ascii="Arial" w:cs="Arial" w:eastAsia="Arial" w:hAnsi="Arial"/>
                  <w:sz w:val="18"/>
                  <w:szCs w:val="18"/>
                  <w:color w:val="0000EE"/>
                </w:rPr>
                <w:t>Statements of Cash Flows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3">
              <w:r>
                <w:rPr>
                  <w:rFonts w:ascii="Arial" w:cs="Arial" w:eastAsia="Arial" w:hAnsi="Arial"/>
                  <w:sz w:val="18"/>
                  <w:szCs w:val="18"/>
                  <w:color w:val="auto"/>
                </w:rPr>
                <w:t>31</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Notes to Condensed </w:t>
            </w:r>
            <w:hyperlink w:anchor="page164">
              <w:r>
                <w:rPr>
                  <w:rFonts w:ascii="Arial" w:cs="Arial" w:eastAsia="Arial" w:hAnsi="Arial"/>
                  <w:sz w:val="18"/>
                  <w:szCs w:val="18"/>
                  <w:color w:val="0000EE"/>
                </w:rPr>
                <w:t>Consolidated Financial Statements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4">
              <w:r>
                <w:rPr>
                  <w:rFonts w:ascii="Arial" w:cs="Arial" w:eastAsia="Arial" w:hAnsi="Arial"/>
                  <w:sz w:val="18"/>
                  <w:szCs w:val="18"/>
                  <w:color w:val="auto"/>
                </w:rPr>
                <w:t>32</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ESSENTIALIS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ESSENTIALIS, INC.</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42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80">
              <w:r>
                <w:rPr>
                  <w:rFonts w:ascii="Arial" w:cs="Arial" w:eastAsia="Arial" w:hAnsi="Arial"/>
                  <w:sz w:val="18"/>
                  <w:szCs w:val="18"/>
                  <w:color w:val="0000EE"/>
                  <w:w w:val="91"/>
                </w:rPr>
                <w:t>Report of Independent Registered Public Accounting Firm</w:t>
              </w:r>
            </w:hyperlink>
          </w:p>
        </w:tc>
        <w:tc>
          <w:tcPr>
            <w:tcW w:w="5260" w:type="dxa"/>
            <w:vAlign w:val="bottom"/>
          </w:tcPr>
          <w:p>
            <w:pPr>
              <w:spacing w:after="0"/>
              <w:rPr>
                <w:sz w:val="24"/>
                <w:szCs w:val="24"/>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0">
              <w:r>
                <w:rPr>
                  <w:rFonts w:ascii="Arial" w:cs="Arial" w:eastAsia="Arial" w:hAnsi="Arial"/>
                  <w:sz w:val="18"/>
                  <w:szCs w:val="18"/>
                  <w:color w:val="auto"/>
                </w:rPr>
                <w:t>48</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2">
              <w:r>
                <w:rPr>
                  <w:rFonts w:ascii="Arial" w:cs="Arial" w:eastAsia="Arial" w:hAnsi="Arial"/>
                  <w:sz w:val="18"/>
                  <w:szCs w:val="18"/>
                  <w:color w:val="auto"/>
                </w:rPr>
                <w:t>50</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Statements of Operations</w:t>
              </w:r>
            </w:hyperlink>
          </w:p>
        </w:tc>
        <w:tc>
          <w:tcPr>
            <w:tcW w:w="7660" w:type="dxa"/>
            <w:vAlign w:val="bottom"/>
            <w:gridSpan w:val="15"/>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3">
              <w:r>
                <w:rPr>
                  <w:rFonts w:ascii="Arial" w:cs="Arial" w:eastAsia="Arial" w:hAnsi="Arial"/>
                  <w:sz w:val="18"/>
                  <w:szCs w:val="18"/>
                  <w:color w:val="auto"/>
                </w:rPr>
                <w:t>51</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Statements of Stockholders' Deficit</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4">
              <w:r>
                <w:rPr>
                  <w:rFonts w:ascii="Arial" w:cs="Arial" w:eastAsia="Arial" w:hAnsi="Arial"/>
                  <w:sz w:val="18"/>
                  <w:szCs w:val="18"/>
                  <w:color w:val="auto"/>
                </w:rPr>
                <w:t>52</w:t>
              </w:r>
            </w:hyperlink>
          </w:p>
        </w:tc>
      </w:tr>
      <w:tr>
        <w:trPr>
          <w:trHeight w:val="250"/>
        </w:trPr>
        <w:tc>
          <w:tcPr>
            <w:tcW w:w="4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85">
              <w:r>
                <w:rPr>
                  <w:rFonts w:ascii="Arial" w:cs="Arial" w:eastAsia="Arial" w:hAnsi="Arial"/>
                  <w:sz w:val="18"/>
                  <w:szCs w:val="18"/>
                  <w:color w:val="0000EE"/>
                  <w:w w:val="87"/>
                </w:rPr>
                <w:t>Statements of Cash Flows</w:t>
              </w:r>
            </w:hyperlink>
          </w:p>
        </w:tc>
        <w:tc>
          <w:tcPr>
            <w:tcW w:w="660" w:type="dxa"/>
            <w:vAlign w:val="bottom"/>
            <w:tcBorders>
              <w:top w:val="single" w:sz="8" w:color="0000EE"/>
            </w:tcBorders>
            <w:gridSpan w:val="3"/>
          </w:tcPr>
          <w:p>
            <w:pPr>
              <w:spacing w:after="0"/>
              <w:rPr>
                <w:sz w:val="21"/>
                <w:szCs w:val="21"/>
                <w:color w:val="auto"/>
              </w:rPr>
            </w:pPr>
          </w:p>
        </w:tc>
        <w:tc>
          <w:tcPr>
            <w:tcW w:w="6940" w:type="dxa"/>
            <w:vAlign w:val="bottom"/>
            <w:gridSpan w:val="11"/>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5">
              <w:r>
                <w:rPr>
                  <w:rFonts w:ascii="Arial" w:cs="Arial" w:eastAsia="Arial" w:hAnsi="Arial"/>
                  <w:sz w:val="18"/>
                  <w:szCs w:val="18"/>
                  <w:color w:val="auto"/>
                </w:rPr>
                <w:t>53</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Notes to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6">
              <w:r>
                <w:rPr>
                  <w:rFonts w:ascii="Arial" w:cs="Arial" w:eastAsia="Arial" w:hAnsi="Arial"/>
                  <w:sz w:val="18"/>
                  <w:szCs w:val="18"/>
                  <w:color w:val="auto"/>
                </w:rPr>
                <w:t>54</w:t>
              </w:r>
            </w:hyperlink>
          </w:p>
        </w:tc>
      </w:tr>
      <w:tr>
        <w:trPr>
          <w:trHeight w:val="480"/>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PROFORMA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AND ESSENTIALIS PROFORMA</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4">
              <w:r>
                <w:rPr>
                  <w:rFonts w:ascii="Arial" w:cs="Arial" w:eastAsia="Arial" w:hAnsi="Arial"/>
                  <w:sz w:val="18"/>
                  <w:szCs w:val="18"/>
                  <w:color w:val="0000EE"/>
                  <w:w w:val="93"/>
                </w:rPr>
                <w:t>Introduction</w:t>
              </w:r>
            </w:hyperlink>
          </w:p>
        </w:tc>
        <w:tc>
          <w:tcPr>
            <w:tcW w:w="8580" w:type="dxa"/>
            <w:vAlign w:val="bottom"/>
            <w:gridSpan w:val="19"/>
          </w:tcPr>
          <w:p>
            <w:pPr>
              <w:spacing w:after="0"/>
              <w:rPr>
                <w:sz w:val="24"/>
                <w:szCs w:val="24"/>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4">
              <w:r>
                <w:rPr>
                  <w:rFonts w:ascii="Arial" w:cs="Arial" w:eastAsia="Arial" w:hAnsi="Arial"/>
                  <w:sz w:val="18"/>
                  <w:szCs w:val="18"/>
                  <w:color w:val="auto"/>
                </w:rPr>
                <w:t>62</w:t>
              </w:r>
            </w:hyperlink>
          </w:p>
        </w:tc>
      </w:tr>
      <w:tr>
        <w:trPr>
          <w:trHeight w:val="250"/>
        </w:trPr>
        <w:tc>
          <w:tcPr>
            <w:tcW w:w="40" w:type="dxa"/>
            <w:vAlign w:val="bottom"/>
          </w:tcPr>
          <w:p>
            <w:pPr>
              <w:spacing w:after="0"/>
              <w:rPr>
                <w:sz w:val="21"/>
                <w:szCs w:val="21"/>
                <w:color w:val="auto"/>
              </w:rPr>
            </w:pPr>
          </w:p>
        </w:tc>
        <w:tc>
          <w:tcPr>
            <w:tcW w:w="36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95">
              <w:r>
                <w:rPr>
                  <w:rFonts w:ascii="Arial" w:cs="Arial" w:eastAsia="Arial" w:hAnsi="Arial"/>
                  <w:sz w:val="18"/>
                  <w:szCs w:val="18"/>
                  <w:color w:val="0000EE"/>
                  <w:w w:val="88"/>
                </w:rPr>
                <w:t>December 2016 Proforma Statement of Operations</w:t>
              </w:r>
            </w:hyperlink>
          </w:p>
        </w:tc>
        <w:tc>
          <w:tcPr>
            <w:tcW w:w="5820" w:type="dxa"/>
            <w:vAlign w:val="bottom"/>
            <w:gridSpan w:val="4"/>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5">
              <w:r>
                <w:rPr>
                  <w:rFonts w:ascii="Arial" w:cs="Arial" w:eastAsia="Arial" w:hAnsi="Arial"/>
                  <w:sz w:val="18"/>
                  <w:szCs w:val="18"/>
                  <w:color w:val="auto"/>
                </w:rPr>
                <w:t>63</w:t>
              </w:r>
            </w:hyperlink>
          </w:p>
        </w:tc>
      </w:tr>
      <w:tr>
        <w:trPr>
          <w:trHeight w:val="250"/>
        </w:trPr>
        <w:tc>
          <w:tcPr>
            <w:tcW w:w="40" w:type="dxa"/>
            <w:vAlign w:val="bottom"/>
          </w:tcPr>
          <w:p>
            <w:pPr>
              <w:spacing w:after="0"/>
              <w:rPr>
                <w:sz w:val="21"/>
                <w:szCs w:val="21"/>
                <w:color w:val="auto"/>
              </w:rPr>
            </w:pPr>
          </w:p>
        </w:tc>
        <w:tc>
          <w:tcPr>
            <w:tcW w:w="2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96">
              <w:r>
                <w:rPr>
                  <w:rFonts w:ascii="Arial" w:cs="Arial" w:eastAsia="Arial" w:hAnsi="Arial"/>
                  <w:sz w:val="18"/>
                  <w:szCs w:val="18"/>
                  <w:color w:val="0000EE"/>
                  <w:w w:val="88"/>
                </w:rPr>
                <w:t>December 2016 Proforma Balance Sheet</w:t>
              </w:r>
            </w:hyperlink>
          </w:p>
        </w:tc>
        <w:tc>
          <w:tcPr>
            <w:tcW w:w="6540" w:type="dxa"/>
            <w:vAlign w:val="bottom"/>
            <w:gridSpan w:val="6"/>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6">
              <w:r>
                <w:rPr>
                  <w:rFonts w:ascii="Arial" w:cs="Arial" w:eastAsia="Arial" w:hAnsi="Arial"/>
                  <w:sz w:val="18"/>
                  <w:szCs w:val="18"/>
                  <w:color w:val="auto"/>
                </w:rPr>
                <w:t>64</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Notes to Proforma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7">
              <w:r>
                <w:rPr>
                  <w:rFonts w:ascii="Arial" w:cs="Arial" w:eastAsia="Arial" w:hAnsi="Arial"/>
                  <w:sz w:val="18"/>
                  <w:szCs w:val="18"/>
                  <w:color w:val="auto"/>
                </w:rPr>
                <w:t>65</w:t>
              </w:r>
            </w:hyperlink>
          </w:p>
        </w:tc>
      </w:tr>
      <w:tr>
        <w:trPr>
          <w:trHeight w:val="696"/>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PROFORMA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AND NEOFORCE, INC PROFORMA</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Introduction</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9">
              <w:r>
                <w:rPr>
                  <w:rFonts w:ascii="Arial" w:cs="Arial" w:eastAsia="Arial" w:hAnsi="Arial"/>
                  <w:sz w:val="18"/>
                  <w:szCs w:val="18"/>
                  <w:color w:val="auto"/>
                </w:rPr>
                <w:t>67</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March 2017 Proforma Balance Sheet</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0">
              <w:r>
                <w:rPr>
                  <w:rFonts w:ascii="Arial" w:cs="Arial" w:eastAsia="Arial" w:hAnsi="Arial"/>
                  <w:sz w:val="18"/>
                  <w:szCs w:val="18"/>
                  <w:color w:val="auto"/>
                </w:rPr>
                <w:t>68</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01">
              <w:r>
                <w:rPr>
                  <w:rFonts w:ascii="Arial" w:cs="Arial" w:eastAsia="Arial" w:hAnsi="Arial"/>
                  <w:sz w:val="18"/>
                  <w:szCs w:val="18"/>
                  <w:color w:val="0000EE"/>
                  <w:w w:val="88"/>
                </w:rPr>
                <w:t>December 2016 Statement of Operations</w:t>
              </w:r>
            </w:hyperlink>
          </w:p>
        </w:tc>
        <w:tc>
          <w:tcPr>
            <w:tcW w:w="6540" w:type="dxa"/>
            <w:vAlign w:val="bottom"/>
            <w:gridSpan w:val="6"/>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1">
              <w:r>
                <w:rPr>
                  <w:rFonts w:ascii="Arial" w:cs="Arial" w:eastAsia="Arial" w:hAnsi="Arial"/>
                  <w:sz w:val="18"/>
                  <w:szCs w:val="18"/>
                  <w:color w:val="auto"/>
                </w:rPr>
                <w:t>69</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March 2016 Statement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2">
              <w:r>
                <w:rPr>
                  <w:rFonts w:ascii="Arial" w:cs="Arial" w:eastAsia="Arial" w:hAnsi="Arial"/>
                  <w:sz w:val="18"/>
                  <w:szCs w:val="18"/>
                  <w:color w:val="auto"/>
                </w:rPr>
                <w:t>70</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March 2017 Statement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3">
              <w:r>
                <w:rPr>
                  <w:rFonts w:ascii="Arial" w:cs="Arial" w:eastAsia="Arial" w:hAnsi="Arial"/>
                  <w:sz w:val="18"/>
                  <w:szCs w:val="18"/>
                  <w:color w:val="auto"/>
                </w:rPr>
                <w:t>71</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Notes to Proforma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4">
              <w:r>
                <w:rPr>
                  <w:rFonts w:ascii="Arial" w:cs="Arial" w:eastAsia="Arial" w:hAnsi="Arial"/>
                  <w:sz w:val="18"/>
                  <w:szCs w:val="18"/>
                  <w:color w:val="auto"/>
                </w:rPr>
                <w:t>72</w:t>
              </w:r>
            </w:hyperlink>
          </w:p>
        </w:tc>
      </w:tr>
      <w:tr>
        <w:trPr>
          <w:trHeight w:val="723"/>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jc w:val="center"/>
              <w:ind w:right="2270"/>
              <w:spacing w:after="0"/>
              <w:rPr>
                <w:sz w:val="20"/>
                <w:szCs w:val="20"/>
                <w:color w:val="auto"/>
              </w:rPr>
            </w:pPr>
            <w:r>
              <w:rPr>
                <w:rFonts w:ascii="Arial" w:cs="Arial" w:eastAsia="Arial" w:hAnsi="Arial"/>
                <w:sz w:val="18"/>
                <w:szCs w:val="18"/>
                <w:color w:val="auto"/>
                <w:w w:val="91"/>
              </w:rPr>
              <w:t>F - 1</w:t>
            </w:r>
          </w:p>
        </w:tc>
        <w:tc>
          <w:tcPr>
            <w:tcW w:w="1880" w:type="dxa"/>
            <w:vAlign w:val="bottom"/>
          </w:tcPr>
          <w:p>
            <w:pPr>
              <w:spacing w:after="0"/>
              <w:rPr>
                <w:sz w:val="24"/>
                <w:szCs w:val="24"/>
                <w:color w:val="auto"/>
              </w:rPr>
            </w:pPr>
          </w:p>
        </w:tc>
      </w:tr>
    </w:tbl>
    <w:p>
      <w:pPr>
        <w:sectPr>
          <w:pgSz w:w="11900" w:h="16838" w:orient="portrait"/>
          <w:cols w:equalWidth="0" w:num="1">
            <w:col w:w="11400"/>
          </w:cols>
          <w:pgMar w:left="240" w:top="810" w:right="259" w:bottom="1440" w:gutter="0" w:footer="0" w:header="0"/>
        </w:sectPr>
      </w:pPr>
    </w:p>
    <w:bookmarkStart w:id="132" w:name="page133"/>
    <w:bookmarkEnd w:id="132"/>
    <w:p>
      <w:pPr>
        <w:ind w:left="3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Soleno Therapeutics, Inc. (formerly known as Capnia, Inc.)</w:t>
      </w:r>
    </w:p>
    <w:p>
      <w:pPr>
        <w:spacing w:after="0" w:line="21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Soleno Therapeutics, Inc. (formerly known as Capnia, Inc.) (the “Company”) as of December 31, 2016 and 2015, and the related consolidated statements of operations,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Soleno Therapeutics, Inc., as of December 31, 2016 and 2015,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15, 2017</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340"/>
          </w:cols>
          <w:pgMar w:left="240" w:top="594" w:right="319" w:bottom="1440" w:gutter="0" w:footer="0" w:header="0"/>
        </w:sectPr>
      </w:pPr>
    </w:p>
    <w:bookmarkStart w:id="133" w:name="page134"/>
    <w:bookmarkEnd w:id="133"/>
    <w:p>
      <w:pPr>
        <w:jc w:val="center"/>
        <w:ind w:left="340"/>
        <w:spacing w:after="0"/>
        <w:rPr>
          <w:sz w:val="20"/>
          <w:szCs w:val="20"/>
          <w:color w:val="auto"/>
        </w:rPr>
      </w:pPr>
      <w:r>
        <w:rPr>
          <w:rFonts w:ascii="Arial" w:cs="Arial" w:eastAsia="Arial" w:hAnsi="Arial"/>
          <w:sz w:val="18"/>
          <w:szCs w:val="18"/>
          <w:b w:val="1"/>
          <w:bCs w:val="1"/>
          <w:color w:val="auto"/>
        </w:rPr>
        <w:t>Financial Statements for the Year Ended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5,494,523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133,337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156,127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660,391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551,008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167,642</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3,801,294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6,404,300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85,745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817,465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916,807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76,340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5,564,852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8,201,195</w:t>
            </w:r>
          </w:p>
        </w:tc>
      </w:tr>
      <w:tr>
        <w:trPr>
          <w:trHeight w:val="67"/>
        </w:trPr>
        <w:tc>
          <w:tcPr>
            <w:tcW w:w="8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695,056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1,169,487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1,632,679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B warrant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865,000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1,707,378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3,192,735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Series A warrant liability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1,212,803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C 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462,437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142,739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109,404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4,977,379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Series A convertible preferred stock, 10,000 shares designated; zero and 4,555 issued and outstanding at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2016 and December 31, 2015, respectively. Liquidation value of zero.</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w w:val="91"/>
              </w:rPr>
              <w:t>Series B convertible preferred stock, 13,780 and zero shares designated at December 31, 2016 and December</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340" w:type="dxa"/>
            <w:vAlign w:val="bottom"/>
          </w:tcPr>
          <w:p>
            <w:pPr>
              <w:ind w:left="200"/>
              <w:spacing w:after="0"/>
              <w:rPr>
                <w:sz w:val="20"/>
                <w:szCs w:val="20"/>
                <w:color w:val="auto"/>
              </w:rPr>
            </w:pPr>
            <w:r>
              <w:rPr>
                <w:rFonts w:ascii="Arial" w:cs="Arial" w:eastAsia="Arial" w:hAnsi="Arial"/>
                <w:sz w:val="18"/>
                <w:szCs w:val="18"/>
                <w:color w:val="auto"/>
                <w:w w:val="91"/>
              </w:rPr>
              <w:t>31, 2015, respectively; 12,780 and zero shares issued and outstanding at December 31, 2016 and at December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31, 2015, respectively. Liquidation value of zero.</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 $0.001 par value, 100,000,000 shares authorized, 16,786,952 and 14,017,909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 at December 31, 2016 and December 31, 2015,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101,730,285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89,456,466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(98,311,887)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(86,246,673)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3,435,197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3,223,816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5,564,852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8,201,195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580"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1,450,788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387,555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grant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219,917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1,450,788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607,472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1,509,306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5,184,803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4,536,244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1,630,591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1,737,470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6,736,203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6,140,821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13,551,597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12,414,535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(13,610,115)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(12,159,746)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Cease-use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warrants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Inducement charge for Series C warrants</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(3,049,375)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(3,748,800)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before provision for income tax</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(12,043,514)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deferred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(12,065,214)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convertible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(15,716,386)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loss per share applicable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common shares outstanding used to calculate basic and diluted net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15,507,484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9,425,880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796"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3"/>
                <w:szCs w:val="13"/>
                <w:color w:val="auto"/>
                <w:w w:val="89"/>
              </w:rPr>
              <w:t>Series A Convertible</w:t>
            </w:r>
          </w:p>
        </w:tc>
        <w:tc>
          <w:tcPr>
            <w:tcW w:w="2060" w:type="dxa"/>
            <w:vAlign w:val="bottom"/>
            <w:gridSpan w:val="5"/>
          </w:tcPr>
          <w:p>
            <w:pPr>
              <w:jc w:val="center"/>
              <w:ind w:right="60"/>
              <w:spacing w:after="0"/>
              <w:rPr>
                <w:sz w:val="20"/>
                <w:szCs w:val="20"/>
                <w:color w:val="auto"/>
              </w:rPr>
            </w:pPr>
            <w:r>
              <w:rPr>
                <w:rFonts w:ascii="Arial" w:cs="Arial" w:eastAsia="Arial" w:hAnsi="Arial"/>
                <w:sz w:val="13"/>
                <w:szCs w:val="13"/>
                <w:color w:val="auto"/>
                <w:w w:val="87"/>
              </w:rPr>
              <w:t>Series B Convertible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3"/>
                <w:szCs w:val="13"/>
                <w:color w:val="auto"/>
                <w:w w:val="86"/>
              </w:rPr>
              <w:t>Preferred Stock</w:t>
            </w:r>
          </w:p>
        </w:tc>
        <w:tc>
          <w:tcPr>
            <w:tcW w:w="2060" w:type="dxa"/>
            <w:vAlign w:val="bottom"/>
            <w:gridSpan w:val="5"/>
          </w:tcPr>
          <w:p>
            <w:pPr>
              <w:jc w:val="center"/>
              <w:ind w:right="80"/>
              <w:spacing w:after="0"/>
              <w:rPr>
                <w:sz w:val="20"/>
                <w:szCs w:val="20"/>
                <w:color w:val="auto"/>
              </w:rPr>
            </w:pPr>
            <w:r>
              <w:rPr>
                <w:rFonts w:ascii="Arial" w:cs="Arial" w:eastAsia="Arial" w:hAnsi="Arial"/>
                <w:sz w:val="13"/>
                <w:szCs w:val="13"/>
                <w:color w:val="auto"/>
                <w:w w:val="86"/>
              </w:rPr>
              <w:t>Preferred Stock</w:t>
            </w:r>
          </w:p>
        </w:tc>
        <w:tc>
          <w:tcPr>
            <w:tcW w:w="2040" w:type="dxa"/>
            <w:vAlign w:val="bottom"/>
            <w:tcBorders>
              <w:right w:val="single" w:sz="8" w:color="auto"/>
            </w:tcBorders>
            <w:gridSpan w:val="5"/>
          </w:tcPr>
          <w:p>
            <w:pPr>
              <w:ind w:left="58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Additional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9"/>
              <w:spacing w:after="0"/>
              <w:rPr>
                <w:sz w:val="20"/>
                <w:szCs w:val="20"/>
                <w:color w:val="auto"/>
              </w:rPr>
            </w:pPr>
            <w:r>
              <w:rPr>
                <w:rFonts w:ascii="Arial" w:cs="Arial" w:eastAsia="Arial" w:hAnsi="Arial"/>
                <w:sz w:val="13"/>
                <w:szCs w:val="13"/>
                <w:color w:val="auto"/>
                <w:w w:val="82"/>
              </w:rPr>
              <w:t>Total</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87"/>
              </w:rPr>
              <w:t>Paid-In</w:t>
            </w:r>
          </w:p>
        </w:tc>
        <w:tc>
          <w:tcPr>
            <w:tcW w:w="1020" w:type="dxa"/>
            <w:vAlign w:val="bottom"/>
            <w:gridSpan w:val="2"/>
            <w:vMerge w:val="restart"/>
          </w:tcPr>
          <w:p>
            <w:pPr>
              <w:ind w:left="120"/>
              <w:spacing w:after="0" w:line="135" w:lineRule="exact"/>
              <w:rPr>
                <w:sz w:val="20"/>
                <w:szCs w:val="20"/>
                <w:color w:val="auto"/>
              </w:rPr>
            </w:pPr>
            <w:r>
              <w:rPr>
                <w:rFonts w:ascii="Arial" w:cs="Arial" w:eastAsia="Arial" w:hAnsi="Arial"/>
                <w:sz w:val="13"/>
                <w:szCs w:val="13"/>
                <w:color w:val="auto"/>
              </w:rPr>
              <w:t>Accumulated</w:t>
            </w:r>
          </w:p>
        </w:tc>
        <w:tc>
          <w:tcPr>
            <w:tcW w:w="100" w:type="dxa"/>
            <w:vAlign w:val="bottom"/>
          </w:tcPr>
          <w:p>
            <w:pPr>
              <w:spacing w:after="0"/>
              <w:rPr>
                <w:sz w:val="2"/>
                <w:szCs w:val="2"/>
                <w:color w:val="auto"/>
              </w:rPr>
            </w:pPr>
          </w:p>
        </w:tc>
        <w:tc>
          <w:tcPr>
            <w:tcW w:w="820" w:type="dxa"/>
            <w:vAlign w:val="bottom"/>
            <w:vMerge w:val="restart"/>
          </w:tcPr>
          <w:p>
            <w:pPr>
              <w:jc w:val="center"/>
              <w:ind w:right="9"/>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Amount</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color w:val="auto"/>
              </w:rPr>
              <w:t>Amount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Amount</w:t>
            </w:r>
          </w:p>
        </w:tc>
        <w:tc>
          <w:tcPr>
            <w:tcW w:w="14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Capital</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Deficit</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4"/>
              </w:rPr>
              <w:t>(Deficit) Equity</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at January 1, 2015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6,769,106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6,769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$ 59,141,405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(70,338,127)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(11,189,953)</w:t>
            </w:r>
          </w:p>
        </w:tc>
        <w:tc>
          <w:tcPr>
            <w:tcW w:w="0" w:type="dxa"/>
            <w:vAlign w:val="bottom"/>
          </w:tcPr>
          <w:p>
            <w:pPr>
              <w:spacing w:after="0"/>
              <w:rPr>
                <w:sz w:val="1"/>
                <w:szCs w:val="1"/>
                <w:color w:val="auto"/>
              </w:rPr>
            </w:pPr>
          </w:p>
        </w:tc>
      </w:tr>
      <w:tr>
        <w:trPr>
          <w:trHeight w:val="264"/>
        </w:trPr>
        <w:tc>
          <w:tcPr>
            <w:tcW w:w="2180" w:type="dxa"/>
            <w:vAlign w:val="bottom"/>
          </w:tcPr>
          <w:p>
            <w:pPr>
              <w:ind w:left="380"/>
              <w:spacing w:after="0"/>
              <w:rPr>
                <w:sz w:val="20"/>
                <w:szCs w:val="20"/>
                <w:color w:val="auto"/>
              </w:rPr>
            </w:pPr>
            <w:r>
              <w:rPr>
                <w:rFonts w:ascii="Arial" w:cs="Arial" w:eastAsia="Arial" w:hAnsi="Arial"/>
                <w:sz w:val="13"/>
                <w:szCs w:val="13"/>
                <w:color w:val="auto"/>
              </w:rPr>
              <w:t>Stock based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942,369</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942,369</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83,848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293,489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293,573</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stock option 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24</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155,976</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156,000</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Series A warrant 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89"/>
              </w:rPr>
              <w:t>Series B warrant exercises (net</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of transaction costs of</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619,512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619</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3,720,094</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3,720,713</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$306,116)</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Series B warrant cashless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5,879,560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5,880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416,660</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422,540</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9"/>
              </w:rPr>
              <w:t>2010/2012 warrant cashless</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13,407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380"/>
              <w:spacing w:after="0"/>
              <w:rPr>
                <w:sz w:val="20"/>
                <w:szCs w:val="20"/>
                <w:color w:val="auto"/>
              </w:rPr>
            </w:pPr>
            <w:r>
              <w:rPr>
                <w:rFonts w:ascii="Arial" w:cs="Arial" w:eastAsia="Arial" w:hAnsi="Arial"/>
                <w:sz w:val="13"/>
                <w:szCs w:val="13"/>
                <w:color w:val="auto"/>
                <w:w w:val="93"/>
              </w:rPr>
              <w:t>Contribution of Series B warrants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3,332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Derecognition of Series A warrant</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42,000</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42,000</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liability upon exercise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w w:val="91"/>
              </w:rPr>
              <w:t>Derecognition of Series B warrant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18,853,215</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18,853,215</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liability upon exercise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2"/>
              </w:rPr>
              <w:t>Issuance of shares in conjunction</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112,350</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112,400</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with BDDI asset purchase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shares to Aspire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71,891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72</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183,250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183,322</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Capital</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Sales of shares through Aspire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506,585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1,433,687</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1,434,194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ATM vehicle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w w:val="94"/>
              </w:rPr>
              <w:t>Issuance of Series A Convertible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4,555</w:t>
            </w:r>
          </w:p>
        </w:tc>
        <w:tc>
          <w:tcPr>
            <w:tcW w:w="120" w:type="dxa"/>
            <w:vAlign w:val="bottom"/>
          </w:tcPr>
          <w:p>
            <w:pPr>
              <w:spacing w:after="0"/>
              <w:rPr>
                <w:sz w:val="11"/>
                <w:szCs w:val="11"/>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4,158,652</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4,158,657</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2"/>
              </w:rPr>
              <w:t>transaction costs of $396,343)</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loss</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(15,908,546)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(15,908,546)</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Balances at December 31, 2015</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4,555</w:t>
            </w: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14,017,909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89,456,466</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(86,246,673)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3,223,816</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 based compensation</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871,270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871,270</w:t>
            </w: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58,419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58</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70,044</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70,102</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stock option 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Series B warrant cashless</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485,202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485</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593,099</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593,584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conversion of Series A</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(2,220)</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1,200,000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1,200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7"/>
              </w:rPr>
              <w:t>Convertible Preferred shares</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4"/>
              </w:rPr>
              <w:t>Issuance of Series A Convertible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5,445</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5,070,334</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5,070,339</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2"/>
              </w:rPr>
              <w:t>transaction costs of $374,661)</w:t>
            </w: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Repurchase of Series A</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(7,779,992)</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(7,780,000)</w:t>
            </w:r>
          </w:p>
        </w:tc>
        <w:tc>
          <w:tcPr>
            <w:tcW w:w="0" w:type="dxa"/>
            <w:vAlign w:val="bottom"/>
          </w:tcPr>
          <w:p>
            <w:pPr>
              <w:spacing w:after="0"/>
              <w:rPr>
                <w:sz w:val="1"/>
                <w:szCs w:val="1"/>
                <w:color w:val="auto"/>
              </w:rPr>
            </w:pPr>
          </w:p>
        </w:tc>
      </w:tr>
      <w:tr>
        <w:trPr>
          <w:trHeight w:val="170"/>
        </w:trPr>
        <w:tc>
          <w:tcPr>
            <w:tcW w:w="2180" w:type="dxa"/>
            <w:vAlign w:val="bottom"/>
          </w:tcPr>
          <w:p>
            <w:pPr>
              <w:ind w:left="380"/>
              <w:spacing w:after="0"/>
              <w:rPr>
                <w:sz w:val="20"/>
                <w:szCs w:val="20"/>
                <w:color w:val="auto"/>
              </w:rPr>
            </w:pPr>
            <w:r>
              <w:rPr>
                <w:rFonts w:ascii="Arial" w:cs="Arial" w:eastAsia="Arial" w:hAnsi="Arial"/>
                <w:sz w:val="13"/>
                <w:szCs w:val="13"/>
                <w:color w:val="auto"/>
              </w:rPr>
              <w:t>Convertible Preferred shares</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4"/>
              </w:rPr>
              <w:t>Issuance of Series B Convertible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13,780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13,426,881</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99"/>
              </w:rPr>
              <w:t>13,426,895</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2"/>
              </w:rPr>
              <w:t>transaction costs of $353,105)</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conversion of Series B</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1,000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7"/>
              </w:rPr>
              <w:t>Convertible Preferred shares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to</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3"/>
              </w:rPr>
              <w:t>board members in lieu of cash</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7"/>
              </w:rPr>
              <w:t>payments for quarterly board</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25,422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24,380</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24,405</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fees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loss</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(12,065,214)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(12,065,214)</w:t>
            </w:r>
          </w:p>
        </w:tc>
        <w:tc>
          <w:tcPr>
            <w:tcW w:w="0" w:type="dxa"/>
            <w:vAlign w:val="bottom"/>
          </w:tcPr>
          <w:p>
            <w:pPr>
              <w:spacing w:after="0"/>
              <w:rPr>
                <w:sz w:val="1"/>
                <w:szCs w:val="1"/>
                <w:color w:val="auto"/>
              </w:rPr>
            </w:pPr>
          </w:p>
        </w:tc>
      </w:tr>
      <w:tr>
        <w:trPr>
          <w:trHeight w:val="283"/>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2016</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12,780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16,786,952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16,786</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7"/>
              </w:rPr>
              <w:t>101,730,285</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(98,311,887)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3,435,197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796" w:right="239" w:bottom="1440" w:gutter="0" w:footer="0" w:header="0"/>
        </w:sectPr>
      </w:pPr>
    </w:p>
    <w:bookmarkStart w:id="136" w:name="page137"/>
    <w:bookmarkEnd w:id="13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For the Years Ended</w:t>
      </w:r>
    </w:p>
    <w:p>
      <w:pPr>
        <w:jc w:val="center"/>
        <w:ind w:left="882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(12,065,214)</w:t>
            </w:r>
          </w:p>
        </w:tc>
        <w:tc>
          <w:tcPr>
            <w:tcW w:w="120" w:type="dxa"/>
            <w:vAlign w:val="bottom"/>
          </w:tcPr>
          <w:p>
            <w:pPr>
              <w:spacing w:after="0"/>
              <w:rPr>
                <w:sz w:val="22"/>
                <w:szCs w:val="22"/>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(15,908,546)</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131,640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108,228</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871,270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942,369</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Board fees paid with common stock</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24,404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Provision for deferred taxes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Change in fair value of stock warrants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(1,667,117)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515,860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Loss on disposition of equipment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Inducement charge for Series C warrants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3,049,375</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Noncash expense of issuing shares to Aspire Capital</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183,322</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Change in operating assets and liabilities: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(156,127)</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Inventory</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(109,383)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(441,672)</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84,630</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Other long-term assets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(76,340)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211,945</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Accrued compensation and other current liabilities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(463,192)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1,187,626</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11,635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(13,497,980)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(10,299,330)</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Acquisition of Neoforce assets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of BDDI asset (patent)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Increase in restricted cash</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property and equipment</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(38,680)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(55,777)</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(1,320,777)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Proceeds from exercise of common stock options</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70,102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293,573</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exercise of Series A warrants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156,000</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Proceeds from exercise of Series B warrants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3,720,713</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issuance of common stock to Aspire Capital</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1,434,194</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Net proceeds from issuance of Series A Convertible Preferred</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5,070,339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4,230,150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proceeds from issuance of Series B Convertible Preferred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13,479,185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Redemption of Series A Convertible Preferred stock in conjunction with issuance of Series B Convertible Preferred stock</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(7,780,000)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Series A Convertible Preferred transaction costs paid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Repayment of credit line</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(101,529)</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Initial Public Offering costs paid</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(575,181)</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10,768,133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9,157,920</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Net decrease in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(2,768,527)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(2,462,187)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5,494,523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7,956,710</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end of period</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2,725,996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5,494,523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Supplemental disclosures of noncash investing and financing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Conversion of Series A preferred to common stock</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Conversion of Series B preferred to common stock</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1,000,000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Series A preferred convertible stock transaction costs included in Accounts Payable</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71,493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Series B preferred convertible stock transaction costs included in Accounts Payable</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52,290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Fixed asset purchases included in Accounts Payable</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11,200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3"/>
                <w:szCs w:val="13"/>
                <w:color w:val="auto"/>
              </w:rPr>
              <w:t>De-recognition of Series B warrant liability through cash exercise</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6,747,765</w:t>
            </w:r>
          </w:p>
        </w:tc>
        <w:tc>
          <w:tcPr>
            <w:tcW w:w="0" w:type="dxa"/>
            <w:vAlign w:val="bottom"/>
          </w:tcPr>
          <w:p>
            <w:pPr>
              <w:spacing w:after="0"/>
              <w:rPr>
                <w:sz w:val="1"/>
                <w:szCs w:val="1"/>
                <w:color w:val="auto"/>
              </w:rPr>
            </w:pPr>
          </w:p>
        </w:tc>
      </w:tr>
      <w:tr>
        <w:trPr>
          <w:trHeight w:val="21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De-recognition of Series B warrant liability through cashless exercise</w:t>
            </w: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593,584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12,527,991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De-recognition of Series A warrant liability through cash exercise</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42,000</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BDDI patent purchase consideration included in accrued liabilities</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3"/>
                <w:szCs w:val="13"/>
                <w:color w:val="auto"/>
              </w:rPr>
              <w:t>Shares issued as consideration for BDDI patent purchase</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112,400</w:t>
            </w:r>
          </w:p>
        </w:tc>
        <w:tc>
          <w:tcPr>
            <w:tcW w:w="0" w:type="dxa"/>
            <w:vAlign w:val="bottom"/>
          </w:tcPr>
          <w:p>
            <w:pPr>
              <w:spacing w:after="0"/>
              <w:rPr>
                <w:sz w:val="1"/>
                <w:szCs w:val="1"/>
                <w:color w:val="auto"/>
              </w:rPr>
            </w:pPr>
          </w:p>
        </w:tc>
      </w:tr>
      <w:tr>
        <w:trPr>
          <w:trHeight w:val="106"/>
        </w:trPr>
        <w:tc>
          <w:tcPr>
            <w:tcW w:w="880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color w:val="auto"/>
              </w:rPr>
              <w:t>Cashless exercise of 2010 and 2012 warrants</w:t>
            </w:r>
          </w:p>
        </w:tc>
        <w:tc>
          <w:tcPr>
            <w:tcW w:w="3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97" w:right="239" w:bottom="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8800" w:type="dxa"/>
            <w:vAlign w:val="bottom"/>
          </w:tcPr>
          <w:p>
            <w:pPr>
              <w:ind w:left="40"/>
              <w:spacing w:after="0"/>
              <w:rPr>
                <w:sz w:val="20"/>
                <w:szCs w:val="20"/>
                <w:color w:val="auto"/>
              </w:rPr>
            </w:pPr>
            <w:r>
              <w:rPr>
                <w:rFonts w:ascii="Arial" w:cs="Arial" w:eastAsia="Arial" w:hAnsi="Arial"/>
                <w:sz w:val="13"/>
                <w:szCs w:val="13"/>
                <w:color w:val="auto"/>
              </w:rPr>
              <w:t>Contribution of Series B warrants</w:t>
            </w: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3,332</w:t>
            </w:r>
          </w:p>
        </w:tc>
      </w:tr>
      <w:tr>
        <w:trPr>
          <w:trHeight w:val="20"/>
        </w:trPr>
        <w:tc>
          <w:tcPr>
            <w:tcW w:w="8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40" w:right="2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Soleno Therapeutics, Inc. (formerly known as Capnia, Inc.) (the “Company”) was incorporated in the State of Delaware on August 25, 1999, and is located in Redwood City, California. The Company develops and commercializes neonatology devices and diagnostics. The Company also has a therapeutics platform based on its proprietary technology for precision metering of gas flow.</w:t>
      </w:r>
    </w:p>
    <w:p>
      <w:pPr>
        <w:spacing w:after="0" w:line="7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September 2, 2015, the Company established NeoForce, Inc. ("NFI"), a wholly owned subsidiary incorporated in the State of Delaware. On September 8, 2015, NFI, acquired substantially all of the assets of an unrelated privately held company NeoForce Group, Inc. ("NeoForce") in exchange for an upfront cash payment of $1.0 million and royalties on future sales. NeoForce develops innovative pulmonary resuscitation solutions for the inpatient and ambulatory neonatal markets that the Company is now marketing through NFI.</w:t>
      </w:r>
    </w:p>
    <w:p>
      <w:pPr>
        <w:spacing w:after="0" w:line="7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On April 27, 2015, the Company established Capnia, Inc. UK Limited, a wholly owned foreign subsidiary in the United Kingdom. The functional currency of the U.K. subsidiary is the British pound. There have been no significant activities for this entity to date.</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Company's most recent product to launch commercially utilizing precision metering of gas flow technology is Serenz® Allergy Relief, or Serenz, which has a CE Mark certification for sale in the European Union ("E.U.") Serenz is a proprietary handheld device that delivers non-inhaled CO2 topically to the nasal mucosa. Serenz is used only when needed, and does not need to be used on a scheduled basis. Pilot commercial sales of Serenz began in the U.K. and Ireland in the second quarter of 2016.</w:t>
      </w:r>
    </w:p>
    <w:p>
      <w:pPr>
        <w:spacing w:after="0" w:line="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also sells CoSense®, which aids in diagnosis of excessive hemolysis, a condition in which red blood cells degrade rapidly. When present in neonates with jaundice, hemolysis is a dangerous condition which can lead to adverse neurological outcomes. CoSense has 510(k) clearance for sale in the U.S. with a specific Indication for Use related to hemolysis issued, and has received CE Mark certification for sale in the E.U. CoSense is commercially available in the U.S. In addition, the Company is applying its research and development efforts to additional diagnostic products based on its Sensalyze Technology Platform, a portfolio of proprietary methods and devices which enables CoSense and can be applied to detect a variety of analytes in exhaled breath and other products for the neonatology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 Financial Condition and Management’s Plans</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had a net loss of $12.1 million for the year ended December 31, 2016 and has an accumulated deficit of approximately $98.3 million at December 31, 2016 from having incurred losses since its inception. The Company has approximately $2.1 million of working capital at December 31, 2016 and used approximately $13.5 million of cash in its operating activities during the year ended December 31, 2016. The Company has financed its operations principally through issuances of equity securities.</w:t>
      </w:r>
    </w:p>
    <w:p>
      <w:pPr>
        <w:spacing w:after="0" w:line="7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July 24, 2015, the Company entered into the 2015 Aspire Purchase Agreement with Aspire Capital, which provides that, upon the terms and subject to the conditions and limitations set forth therein, Aspire Capital is committed to purchase up to an aggregate of $10.0 million in value of shares of the Company’s common stock over the 24-month term of the Aspire Purchase Agreement. During the quarter ended September 30, 2015, the Company issued an aggregate of 506,585 shares of common stock to Aspire Capital in exchange for approximately $1.4 million.</w:t>
      </w:r>
    </w:p>
    <w:p>
      <w:pPr>
        <w:spacing w:after="0" w:line="6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October 12, 2015, the Company entered into a 2015 Purchase Agreement with Sabby to purchase up to $10 million worth of Series A Convertible Preferred Stock (the “Preferred Stock”). The sale of the Preferred Stock took place in two separate closings. On October 15, 2015, the date of the first closing, the Company received proceeds of approximately $4.1 million, net of $0.4 million in estimated expenses. Upon the second closing, which closed on January 8, 2016, the Company received proceeds of approximately $5.0 million, net of $0.5 million in estimated expenses.</w:t>
      </w:r>
    </w:p>
    <w:p>
      <w:pPr>
        <w:spacing w:after="0" w:line="6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June 29, 2016, the Company entered into the 2016 Sabby Purchase Agreement with Sabby, pursuant to which the Company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00"/>
          </w:cols>
          <w:pgMar w:left="240" w:top="796" w:right="259" w:bottom="1440" w:gutter="0" w:footer="0" w:header="0"/>
        </w:sectPr>
      </w:pPr>
    </w:p>
    <w:bookmarkStart w:id="139" w:name="page140"/>
    <w:bookmarkEnd w:id="139"/>
    <w:p>
      <w:pPr>
        <w:ind w:right="20"/>
        <w:spacing w:after="0" w:line="290" w:lineRule="auto"/>
        <w:rPr>
          <w:sz w:val="20"/>
          <w:szCs w:val="20"/>
          <w:color w:val="auto"/>
        </w:rPr>
      </w:pPr>
      <w:r>
        <w:rPr>
          <w:rFonts w:ascii="Arial" w:cs="Arial" w:eastAsia="Arial" w:hAnsi="Arial"/>
          <w:sz w:val="16"/>
          <w:szCs w:val="16"/>
          <w:color w:val="auto"/>
        </w:rPr>
        <w:t>Convertible Preferred Stock to the extent such issuance of shares of common stock would result in Sabby having ownership in excess of 4.99%. In connection with the 2016 Sabby Purchase Agreement, the Company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 (see Note 8).</w:t>
      </w:r>
    </w:p>
    <w:p>
      <w:pPr>
        <w:spacing w:after="0" w:line="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22, 2016, the Company entered into the Merger Agreement and Plan with Essentialis.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the Company received on March 6, 2017 (see Note 14).</w:t>
      </w:r>
    </w:p>
    <w:p>
      <w:pPr>
        <w:spacing w:after="0" w:line="7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 (see Note 14).</w:t>
      </w:r>
    </w:p>
    <w:p>
      <w:pPr>
        <w:spacing w:after="0" w:line="8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w:t>
      </w:r>
    </w:p>
    <w:p>
      <w:pPr>
        <w:spacing w:after="0" w:line="3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Company's commercial products, including CoSense, the other neonatology products and Serenz, and the distribution strategies implemented will begin to generate meaningful revenue and corresponding cash. In addition, the Company has been successful over the last 12 months in raising additional capital including the completed closings pursuant to the 2015 Sabby Purchase Agreement, the 2016 Sabby Purchase Agreement on June 29, 2016 and the financing completed as part of the merger with Essentialis. Management believes that the Company will continue to have access to capital resources through possible public or private equity offerings, debt financings, corporate collaborations or other means.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w:t>
      </w:r>
    </w:p>
    <w:p>
      <w:pPr>
        <w:spacing w:after="0" w:line="6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Management believes that the Company has sufficient capital resources, after considering the $10 million of financing that the Company received on March 7, 2017 (see Note 14) to sustain operations through at least the next twelve months from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the applicable rules and regulations of the Securities and Exchange Commission (“SEC”).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GAAP and include the accounts of the Company and its wholly-owned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692" w:right="239" w:bottom="1440" w:gutter="0" w:footer="0" w:header="0"/>
        </w:sectPr>
      </w:pPr>
    </w:p>
    <w:bookmarkStart w:id="140" w:name="page141"/>
    <w:bookmarkEnd w:id="140"/>
    <w:p>
      <w:pPr>
        <w:ind w:right="20"/>
        <w:spacing w:after="0" w:line="277" w:lineRule="auto"/>
        <w:rPr>
          <w:sz w:val="20"/>
          <w:szCs w:val="20"/>
          <w:color w:val="auto"/>
        </w:rPr>
      </w:pPr>
      <w:r>
        <w:rPr>
          <w:rFonts w:ascii="Arial" w:cs="Arial" w:eastAsia="Arial" w:hAnsi="Arial"/>
          <w:sz w:val="18"/>
          <w:szCs w:val="18"/>
          <w:color w:val="auto"/>
        </w:rPr>
        <w:t>estimates. Key estimates included in the financial statements include the valuation of deferred income tax assets, the valuation of financial instruments, stock-based compensation, value and life of acquired intangibles, and allowances for accounts receivable and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at two commercial banks that management believes are of high credit quality. Cash and cash equivalents deposited with these commercial banks exceeded the Federal Deposit Insurance Corporation insurable limit at December 31, 2016 and December 31, 2015. The Company expects this to continue.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 Restricted cash is security of the Company credit card.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Accounts receivable as of December 31, 2016 consist of balances due from customers in the normal course of business. The Company did not record an allowance for doubtful accounts as this balance was deemed fully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Inventory as of December 31, 2016 consisted of raw materials to be used in the assembly of our products. As of December 31, 2016, the Company’s inventory includes approximately $382 thousand of raw material, $101 thousand of work-in-process and $177 thousand of finished goods. Inventory is stated at the lower of cost or market under the first-in, first-out (FIFO)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30, 2015, the Company entered into an amendment of the BDDI Asset Purchase Agreement, under which the Company committed to pay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cash payments of $450,000 and issued 40,000 shares of common stock to an affiliate of BDDI. With respect to the aggregate cash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$450,000, the Company paid an affiliate of BDDI an initial sum of $150,000 on July 1, 2015, and is obligated to pay $100,000 on each of the six, twelve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eighteen-month anniversaries of the signing of the amended agreement. The Company made the final installment of $100,000 on December 22, 2016.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original Asset Purchase Agreement dated June 11, 2010, the Company purchased a patent for Breath End Tidal Gas Monitor. The patent was issued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19, 2003 and expires on August 1, 2027. The Company has capitalized the fair value of the patent purchased as an intangible asset on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and is amortizing the fair value over the remaining useful life of the patent.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00"/>
          </w:cols>
          <w:pgMar w:left="240" w:top="692" w:right="259" w:bottom="1440" w:gutter="0" w:footer="0" w:header="0"/>
        </w:sectPr>
      </w:pPr>
    </w:p>
    <w:bookmarkStart w:id="141" w:name="page142"/>
    <w:bookmarkEnd w:id="141"/>
    <w:p>
      <w:pPr>
        <w:ind w:right="140"/>
        <w:spacing w:after="0" w:line="257" w:lineRule="auto"/>
        <w:rPr>
          <w:sz w:val="20"/>
          <w:szCs w:val="20"/>
          <w:color w:val="auto"/>
        </w:rPr>
      </w:pPr>
      <w:r>
        <w:rPr>
          <w:rFonts w:ascii="Arial" w:cs="Arial" w:eastAsia="Arial" w:hAnsi="Arial"/>
          <w:sz w:val="18"/>
          <w:szCs w:val="18"/>
          <w:color w:val="auto"/>
        </w:rPr>
        <w:t>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of the assets and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5"/>
              </w:rPr>
              <w:t>Useful Lives (years)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 and trademarks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592,366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259,730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225,099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957,620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817,465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amortization expense for intangible assets over their remaining useful lives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Patents and trademarks</w:t>
            </w: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Customer contracts</w:t>
            </w: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 Amortization</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99,343</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64,310</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90,283</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72,165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261,754</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95,234</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356,988</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592,366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225,099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817,465</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the years ended December 31, 2016 and December 31, 2105 was $99,343 and 40,813, respectively.</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80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did not perform the qualitative assessment, but made its determination using the quantitative approach for goodwill impairment. Using the quantitative approach, the Company determined that there was no impairment of goodwill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began recognizing sales of CoSense during the year ended December 31, 2015. In addition, the Company began recognizing sales of NFI pulmonary resuscitation products after the acquisition of Neoforce's assets in September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293"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sales price is fixed or determinable;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collection of the relevant receivable is probable at the time of sale;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38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For a majority of sales, where the Company delivers its product to hospitals or medical facilities, the Company recognizes revenue upon delivery, which represents satisfaction of the required revenue recognition criteria. The Company does not offer rights of return or price protection and it has no post-delivery obligations. The Company offers a limited one-year warranty to most customers. Estimated warranty obligations are recorded at the time of sale and to date, warranty costs have been insignificant.</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also recognized revenue related to a government grant awarded during the year ended December 31, 2015. There were no government grants awarded during the year ended December 31, 2016.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government grants have been met. Funds received under government grants are recorded as revenue if the Company is deemed to be the principal participant in the contract arrangements because the activities under the contracts are part of the Company’s development programs. If the Company is not the principal participant, the funds from government grants are recorded as a reduction to research and development expense. Funds received from government grants are not refundable and are recognized when the related qualified research and development expenses are incurred and when there is reasonable assurance that the funds will be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00"/>
          </w:cols>
          <w:pgMar w:left="240" w:top="800" w:right="259" w:bottom="1440" w:gutter="0" w:footer="0" w:header="0"/>
        </w:sectPr>
      </w:pPr>
    </w:p>
    <w:bookmarkStart w:id="143" w:name="page144"/>
    <w:bookmarkEnd w:id="143"/>
    <w:p>
      <w:pPr>
        <w:ind w:right="160" w:firstLine="324"/>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balance sheet in accordance with authoritative guidance for the classification and measurement of hybrid securities and distinguishing liability from equity instruments. The preferred stock is not redeemable at the option of the holder.</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Further, the Company evaluated its Series A and Series B Convertible Preferred Stock and determined that it is considered an equity host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In making this determination, the Company's analysis followed the whole instrument approach which compares an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 (v)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Series B,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For stock options granted to employees, the Company recognizes compensation expense for all stock-based awards based on the estimated fair value on the date of grant.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801" w:right="239" w:bottom="1440" w:gutter="0" w:footer="0" w:header="0"/>
        </w:sectPr>
      </w:pPr>
    </w:p>
    <w:bookmarkStart w:id="144" w:name="page145"/>
    <w:bookmarkEnd w:id="144"/>
    <w:p>
      <w:pPr>
        <w:ind w:right="120" w:firstLine="324"/>
        <w:spacing w:after="0" w:line="257" w:lineRule="auto"/>
        <w:rPr>
          <w:sz w:val="20"/>
          <w:szCs w:val="20"/>
          <w:color w:val="auto"/>
        </w:rPr>
      </w:pPr>
      <w:r>
        <w:rPr>
          <w:rFonts w:ascii="Arial" w:cs="Arial" w:eastAsia="Arial" w:hAnsi="Arial"/>
          <w:sz w:val="18"/>
          <w:szCs w:val="18"/>
          <w:color w:val="auto"/>
        </w:rPr>
        <w:t xml:space="preserve">In January 2017, the Financial Accounting Standard Board (the “FASB”) issued Accounting Standards Update (ASU) 2017-04: </w:t>
      </w:r>
      <w:r>
        <w:rPr>
          <w:rFonts w:ascii="Arial" w:cs="Arial" w:eastAsia="Arial" w:hAnsi="Arial"/>
          <w:sz w:val="18"/>
          <w:szCs w:val="18"/>
          <w:i w:val="1"/>
          <w:iCs w:val="1"/>
          <w:color w:val="auto"/>
        </w:rPr>
        <w:t>“Intangibles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(Topic 350): Simplifying the Test for Goodwill Impairment ” </w:t>
      </w:r>
      <w:r>
        <w:rPr>
          <w:rFonts w:ascii="Arial" w:cs="Arial" w:eastAsia="Arial" w:hAnsi="Arial"/>
          <w:sz w:val="18"/>
          <w:szCs w:val="18"/>
          <w:color w:val="auto"/>
        </w:rPr>
        <w:t>(“ASU 2017-04”), which removes Step 2 from the goodwill impairment test. It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and interim periods beginning after December 15, 2019. Early adoption is permitted for interim or annual goodwill impairment test performed with a measurement date after January 1, 2017. The Company expects that this new guidance will have an impact on its financial positions or results of operations, but the impact will not be material.</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The Company does not expect this new guidance to have a material impact on its financial position, results of operations or financial statement disclosures.</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The update is effective for fiscal years beginning after December 15, 2017, including interim reporting periods within those fiscal years. Early adoption is permitted. The purpose of Update No. 2016-18 is to clarify guidance and presentation related to restricted cash in the statement of cash flows. The amendment requires beginning-of-period and end-of-period total amounts shown on the statement of cash flows to include cash and cash equivalents as well as restricted cash and restricted cash equivalents. The Company is in the process of determining the effect that the adoption will have on its financial position, results of operations or financial statement disclosures.</w:t>
      </w:r>
    </w:p>
    <w:p>
      <w:pPr>
        <w:spacing w:after="0" w:line="193"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October 2016, the FASB issued updated guidance related to the recognition of income tax consequences of an intra-entity transfer of an asset other than inventory. This guidance will be effective for the first quarter of tax year 2018; however, early adoption is permitted. The Company is evaluating the impact that this guidance will have its consolidated financial statements.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which seeks to reduce the existing diversity in practice in how certain cash receipts and cash payments are presented and classified in the statement of cash flows. For public entities, Update 2016-15 becomes effective for fiscal years beginning after December 15, 2017, including interim periods within those fiscal years, with early adoption permitted. The Company is currently evaluating the provisions of Update 2016-15 and assessing the impact, if any, it may have on its financial position, results of operations, cash flows or financial statement disclosures.</w:t>
      </w:r>
    </w:p>
    <w:p>
      <w:pPr>
        <w:spacing w:after="0" w:line="188" w:lineRule="exact"/>
        <w:rPr>
          <w:sz w:val="20"/>
          <w:szCs w:val="20"/>
          <w:color w:val="auto"/>
        </w:rPr>
      </w:pPr>
    </w:p>
    <w:p>
      <w:pPr>
        <w:ind w:right="420" w:firstLine="324"/>
        <w:spacing w:after="0" w:line="276" w:lineRule="auto"/>
        <w:rPr>
          <w:sz w:val="20"/>
          <w:szCs w:val="20"/>
          <w:color w:val="auto"/>
        </w:rPr>
      </w:pP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(“ASU 2016-09”), which seeks to simplify accounting for share-based payment transactions including income tax consequences, classification of awards as either equity or liabilities, and the classification on the statement of cash flows. For public entities, Update 2016-09 becomes effective for fiscal years beginning after December 15, 2016, including interim periods within those fiscal years, with early adoption permitted. Early adoption is permitted. The Company has not yet determined the effect that ASU 2016-09 will have on its financial position, results of operations or financial statement disclosures.</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March 2016, the FASB issued guidance that involves several aspects of the accounting for share-based payment transactions, including the income tax consequences, classification of awards as either equity or liabilities, and classification on the statement of cash flows. This guidance will be effective for the first quarter of tax year 2017; however, early adoption is permitted. The Company is evaluating the impact that this guidance will have on its consolidated financial statements.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new standard provides guidance intended to improve financial reporting about leasing transaction. The ASU affects all companies that lease assets such as real estate, airplanes and manufacturing equipment. The ASU will require companies that lease assets to recognize on the balance sheet the assets and liabilities for the rights and obligations created by those leases. The new standard will take effect for fiscal years, and interim periods with those fiscal years, beginning after December 15, 2018. Early adoption is permitted. We have not determined the potential effects of this ASU on our consolidated financial statements.</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January 2016, the FASB issued ASU 2016-01, "</w:t>
      </w:r>
      <w:r>
        <w:rPr>
          <w:rFonts w:ascii="Arial" w:cs="Arial" w:eastAsia="Arial" w:hAnsi="Arial"/>
          <w:sz w:val="16"/>
          <w:szCs w:val="16"/>
          <w:i w:val="1"/>
          <w:iCs w:val="1"/>
          <w:color w:val="auto"/>
        </w:rPr>
        <w:t>Recognition and Measurement of Financial Assets and Liabilities</w:t>
      </w:r>
      <w:r>
        <w:rPr>
          <w:rFonts w:ascii="Arial" w:cs="Arial" w:eastAsia="Arial" w:hAnsi="Arial"/>
          <w:sz w:val="16"/>
          <w:szCs w:val="16"/>
          <w:color w:val="auto"/>
        </w:rPr>
        <w:t>"(“ASU 2016-01”). ASU 2016-01 requires equity investments (excluding equity method investments and investments that are consolidated) to be measured at fair value with changes in fair value recognized in net income. Equity investments that do not have a readily determinable fair value may be measured at cost, adjusted for impairment and observable price changes. The ASU also simplifies the impairment assessment of equity investments, eliminates the disclosure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746" w:right="239" w:bottom="1440" w:gutter="0" w:footer="0" w:header="0"/>
        </w:sectPr>
      </w:pPr>
    </w:p>
    <w:bookmarkStart w:id="145" w:name="page146"/>
    <w:bookmarkEnd w:id="145"/>
    <w:p>
      <w:pPr>
        <w:ind w:right="20"/>
        <w:spacing w:after="0" w:line="273" w:lineRule="auto"/>
        <w:rPr>
          <w:sz w:val="20"/>
          <w:szCs w:val="20"/>
          <w:color w:val="auto"/>
        </w:rPr>
      </w:pPr>
      <w:r>
        <w:rPr>
          <w:rFonts w:ascii="Arial" w:cs="Arial" w:eastAsia="Arial" w:hAnsi="Arial"/>
          <w:sz w:val="17"/>
          <w:szCs w:val="17"/>
          <w:color w:val="auto"/>
        </w:rPr>
        <w:t>assumptions used to estimate the fair value that is required to be disclosed for financial instruments measured at cost on the balance sheet and requires the exit price to be used when measuring fair value of financial instruments for disclosure purposes. Under ASU 2016-01, changes in fair value (resulting from instrument-specific credit risk) will be presented separately in other comprehensive income for liabilities measured using the fair value option and financial assets and liabilities will be presented separately by measurement category and type either on the balance sheet or in the financial statement disclosures. ASU 2016-01 is effective for fiscal years beginning after December 15, 2017, and interim periods within those fiscal years. The Company has not yet determined the effect that ASU 2016-01 will have on its financial position, results of operations, or financial statement disclosures.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August 2014, the FASB issued ASU 2014-15, "</w:t>
      </w:r>
      <w:r>
        <w:rPr>
          <w:rFonts w:ascii="Arial" w:cs="Arial" w:eastAsia="Arial" w:hAnsi="Arial"/>
          <w:sz w:val="17"/>
          <w:szCs w:val="17"/>
          <w:i w:val="1"/>
          <w:iCs w:val="1"/>
          <w:color w:val="auto"/>
        </w:rPr>
        <w:t>Presentation of Financial Statements-Going Concern (Subtopic 205-40): Disclosure of Uncertainties</w:t>
      </w:r>
      <w:r>
        <w:rPr>
          <w:rFonts w:ascii="Arial" w:cs="Arial" w:eastAsia="Arial" w:hAnsi="Arial"/>
          <w:sz w:val="17"/>
          <w:szCs w:val="17"/>
          <w:color w:val="auto"/>
        </w:rPr>
        <w:t xml:space="preserve"> </w:t>
      </w:r>
      <w:r>
        <w:rPr>
          <w:rFonts w:ascii="Arial" w:cs="Arial" w:eastAsia="Arial" w:hAnsi="Arial"/>
          <w:sz w:val="17"/>
          <w:szCs w:val="17"/>
          <w:i w:val="1"/>
          <w:iCs w:val="1"/>
          <w:color w:val="auto"/>
        </w:rPr>
        <w:t>about an Entity’s Ability to Continue as a Going Concern</w:t>
      </w:r>
      <w:r>
        <w:rPr>
          <w:rFonts w:ascii="Arial" w:cs="Arial" w:eastAsia="Arial" w:hAnsi="Arial"/>
          <w:sz w:val="17"/>
          <w:szCs w:val="17"/>
          <w:color w:val="auto"/>
        </w:rPr>
        <w:t>." The amendments is this ASU are intended to provide guidance on the responsibility of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entity management. Specifically, this ASU provides guidance to management related to evaluating whether there is substantial doubt about the reporting entity’s ability to continue as a going concern and about related financial statement note disclosures. Although the presumption that a reporting entity will continue to operate as a going concern is fundamental to the preparation of financial statements, prior to the issuance of this ASU, there was no guidance in U.S. generally accepted accounting principles (U.S. GAAP) related to the concept. Due to the lack of guidance in U.S. GAAP, practitioners and their clients often faced challenges in determining whether, when, and how a reporting entity should disclose the relevant information in its financial statements. As a result, the FASB issued this guidance to require management evaluation and potential financial statement disclosures. This ASU will be effective for financial statements with periods ending after December 15, 2016. The Company adopted the ASU during the year and performed going concern evaluations for its 2016 calendar year-end financial statements.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the revenue recognition requirements in ASC Topic 605, “Revenue Recognition” and some cost guidance included in ASC Subtopic 605-35, "Revenue Recognition - Construction-Type and Production-Type Contracts.” The core principle of ASU 2014-09 is that revenue is recognized when the transfer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ASU 2014-09 will be effective for the Company beginning in fiscal 2019 as a result of ASU 2015-14, "Revenue from Contracts with Customers (Topic 606): Deferral of the Effective Date," which was issued by the FASB in August 2015 and extended the original effective date by one year. The Company is currently evaluating the impact of adopting the available methodologies of ASU 2014-09 and 2015-14 upon its financial statements in future reporting periods. The Company has not yet selected a transition method. The Company is in the process of evaluating the new standard against its existing accounting policies, including the timing of revenue recognition, and its contracts with customers to determine the effect the guidance will have on its financial statements and what changes to systems and controls may be warranted.</w:t>
      </w:r>
    </w:p>
    <w:p>
      <w:pPr>
        <w:spacing w:after="0" w:line="183"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 xml:space="preserve">There have been four new ASUs issued amending certain aspects of ASU 2014-09, ASU 2016-08, </w:t>
      </w:r>
      <w:r>
        <w:rPr>
          <w:rFonts w:ascii="Arial" w:cs="Arial" w:eastAsia="Arial" w:hAnsi="Arial"/>
          <w:sz w:val="16"/>
          <w:szCs w:val="16"/>
          <w:i w:val="1"/>
          <w:iCs w:val="1"/>
          <w:color w:val="auto"/>
        </w:rPr>
        <w:t>"Principal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Gross Versus Net)," </w:t>
      </w:r>
      <w:r>
        <w:rPr>
          <w:rFonts w:ascii="Arial" w:cs="Arial" w:eastAsia="Arial" w:hAnsi="Arial"/>
          <w:sz w:val="16"/>
          <w:szCs w:val="16"/>
          <w:color w:val="auto"/>
        </w:rPr>
        <w:t>was issued in March, 2016 to clarify certain aspects of the principal versus agent guidance in ASU 2014-09. In addition,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issued in April 2016, amends other sections of ASU 2014-09 including clarifying guidance related to identifying performance obligations and licensing implementation. ASU 2016-12, </w:t>
      </w:r>
      <w:r>
        <w:rPr>
          <w:rFonts w:ascii="Arial" w:cs="Arial" w:eastAsia="Arial" w:hAnsi="Arial"/>
          <w:sz w:val="16"/>
          <w:szCs w:val="16"/>
          <w:i w:val="1"/>
          <w:iCs w:val="1"/>
          <w:color w:val="auto"/>
        </w:rPr>
        <w:t>"Revenue from Contracts with Customers - Narrow Scope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and Practical Expedients" </w:t>
      </w:r>
      <w:r>
        <w:rPr>
          <w:rFonts w:ascii="Arial" w:cs="Arial" w:eastAsia="Arial" w:hAnsi="Arial"/>
          <w:sz w:val="16"/>
          <w:szCs w:val="16"/>
          <w:color w:val="auto"/>
        </w:rPr>
        <w:t>provides amendments and practical expedients to the guidance in ASU 2014-09 in the areas of assessing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collectability, presentation of sales taxes received from customers, noncash consideration, contract modification and clarification of using the full retrospective approach to adopt ASU 2014-09. Finally, ASU 2016-20, </w:t>
      </w:r>
      <w:r>
        <w:rPr>
          <w:rFonts w:ascii="Arial" w:cs="Arial" w:eastAsia="Arial" w:hAnsi="Arial"/>
          <w:sz w:val="16"/>
          <w:szCs w:val="16"/>
          <w:i w:val="1"/>
          <w:iCs w:val="1"/>
          <w:color w:val="auto"/>
        </w:rPr>
        <w:t>“Technical Corrections and Improvements to Topic 606, 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was issued in December 2016, and provides elections regarding the disclosures required for remaining performance obligations in certain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also makes other technical corrections and improvements to the standard. With its evaluation of the impact of ASU 2014-09, the Company will also consider the impact on its financial statements related to the updated guidance provided by these four new ASUs.</w:t>
      </w:r>
    </w:p>
    <w:p>
      <w:pPr>
        <w:spacing w:after="0" w:line="16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584" w:right="239" w:bottom="1440" w:gutter="0" w:footer="0" w:header="0"/>
        </w:sectPr>
      </w:pPr>
    </w:p>
    <w:bookmarkStart w:id="146" w:name="page147"/>
    <w:bookmarkEnd w:id="146"/>
    <w:p>
      <w:pPr>
        <w:ind w:right="880" w:firstLine="324"/>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93"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171"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3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Fair Value Measurements at December 31, 2016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Assets</w:t>
            </w: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Money market fund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2,563,247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2,563,247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A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Series C warrant liability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85,490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85,490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common stock warrant liability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279,538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85,490</w:t>
            </w:r>
          </w:p>
        </w:tc>
        <w:tc>
          <w:tcPr>
            <w:tcW w:w="2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6"/>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44"/>
        </w:trPr>
        <w:tc>
          <w:tcPr>
            <w:tcW w:w="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Fair Value Measurements at December 31, 2015</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0" w:type="dxa"/>
            <w:vAlign w:val="bottom"/>
          </w:tcPr>
          <w:p>
            <w:pPr>
              <w:spacing w:after="0"/>
              <w:rPr>
                <w:sz w:val="23"/>
                <w:szCs w:val="23"/>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3,803,929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3,803,929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5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Series B warrant liability</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865,000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865,000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462,437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462,437</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 common stock warrant 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2,540,240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1,212,803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1,327,437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6) The Company’s estimated fair value of the Series C Warrant liability is calculated using the Black-Scholes valuation model, which is equivalent to fair value computed using the Binomial Lattice Option Model. Key assumptions include the volatility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692" w:right="239" w:bottom="1440" w:gutter="0" w:footer="0" w:header="0"/>
        </w:sectPr>
      </w:pPr>
    </w:p>
    <w:bookmarkStart w:id="147" w:name="page148"/>
    <w:bookmarkEnd w:id="147"/>
    <w:p>
      <w:pPr>
        <w:ind w:right="340"/>
        <w:spacing w:after="0" w:line="277" w:lineRule="auto"/>
        <w:rPr>
          <w:sz w:val="20"/>
          <w:szCs w:val="20"/>
          <w:color w:val="auto"/>
        </w:rPr>
      </w:pPr>
      <w:r>
        <w:rPr>
          <w:rFonts w:ascii="Arial" w:cs="Arial" w:eastAsia="Arial" w:hAnsi="Arial"/>
          <w:sz w:val="18"/>
          <w:szCs w:val="18"/>
          <w:color w:val="auto"/>
        </w:rPr>
        <w:t>Company’s stock, the expected warrant term, expected dividend yield and risk-free interest rates. (see Note 6) The Level 3 estimates are based, in part, on subjective assumptions.</w:t>
      </w:r>
    </w:p>
    <w:p>
      <w:pPr>
        <w:spacing w:after="0" w:line="17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$136 thousand as of December 31,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January 13, 2016 we entered into an agreement to sublease our excess space located in Redwood City. By the end of February we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financial instruments, which are treated as liabilities,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Series A Warrant</w:t>
            </w:r>
          </w:p>
        </w:tc>
        <w:tc>
          <w:tcPr>
            <w:tcW w:w="1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Series B Warrant</w:t>
            </w:r>
          </w:p>
        </w:tc>
        <w:tc>
          <w:tcPr>
            <w:tcW w:w="12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rPr>
              <w:t>Series C Warrant</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Warrants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Liability</w:t>
            </w:r>
          </w:p>
        </w:tc>
        <w:tc>
          <w:tcPr>
            <w:tcW w:w="100" w:type="dxa"/>
            <w:vAlign w:val="bottom"/>
            <w:vMerge w:val="restart"/>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Warrants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jc w:val="right"/>
              <w:ind w:right="333"/>
              <w:spacing w:after="0"/>
              <w:rPr>
                <w:sz w:val="20"/>
                <w:szCs w:val="20"/>
                <w:color w:val="auto"/>
              </w:rPr>
            </w:pPr>
            <w:r>
              <w:rPr>
                <w:rFonts w:ascii="Arial" w:cs="Arial" w:eastAsia="Arial" w:hAnsi="Arial"/>
                <w:sz w:val="14"/>
                <w:szCs w:val="14"/>
                <w:b w:val="1"/>
                <w:bCs w:val="1"/>
                <w:color w:val="auto"/>
              </w:rPr>
              <w:t>Liability</w:t>
            </w:r>
          </w:p>
        </w:tc>
        <w:tc>
          <w:tcPr>
            <w:tcW w:w="120" w:type="dxa"/>
            <w:vAlign w:val="bottom"/>
            <w:vMerge w:val="restart"/>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2,425,605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1,212,803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865,000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590,415</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462,437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6"/>
              </w:rPr>
              <w:t>Change in value of Series A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(1,018,755)</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De-recognition of Series B Warrant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upon cashless exercise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(485,202 shares issued)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(593,584)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De-recognition of Series B Warrant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liability upon expiration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Change in value of Series B Warrants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6"/>
              </w:rPr>
              <w:t>Change in value of Series C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(376,947)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2,425,605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194,048</w:t>
            </w: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85,490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4"/>
              </w:rPr>
              <w:t>Note 5. Property and Equipment, Net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9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236,366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52,112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261,916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297,595</w:t>
            </w:r>
          </w:p>
        </w:tc>
        <w:tc>
          <w:tcPr>
            <w:tcW w:w="0" w:type="dxa"/>
            <w:vAlign w:val="bottom"/>
          </w:tcPr>
          <w:p>
            <w:pPr>
              <w:spacing w:after="0"/>
              <w:rPr>
                <w:sz w:val="1"/>
                <w:szCs w:val="1"/>
                <w:color w:val="auto"/>
              </w:rPr>
            </w:pPr>
          </w:p>
        </w:tc>
      </w:tr>
      <w:tr>
        <w:trPr>
          <w:trHeight w:val="27"/>
        </w:trPr>
        <w:tc>
          <w:tcPr>
            <w:tcW w:w="44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(211,850)</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85,745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gridSpan w:val="4"/>
            <w:vMerge w:val="restart"/>
          </w:tcPr>
          <w:p>
            <w:pPr>
              <w:ind w:left="780"/>
              <w:spacing w:after="0"/>
              <w:rPr>
                <w:sz w:val="20"/>
                <w:szCs w:val="20"/>
                <w:color w:val="auto"/>
              </w:rPr>
            </w:pPr>
            <w:r>
              <w:rPr>
                <w:rFonts w:ascii="Arial" w:cs="Arial" w:eastAsia="Arial" w:hAnsi="Arial"/>
                <w:sz w:val="18"/>
                <w:szCs w:val="18"/>
                <w:color w:val="auto"/>
              </w:rPr>
              <w:t>F - 16</w:t>
            </w: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48" w:name="page149"/>
    <w:bookmarkEnd w:id="148"/>
    <w:p>
      <w:pPr>
        <w:ind w:left="340"/>
        <w:spacing w:after="0"/>
        <w:rPr>
          <w:sz w:val="20"/>
          <w:szCs w:val="20"/>
          <w:color w:val="auto"/>
        </w:rPr>
      </w:pPr>
      <w:r>
        <w:rPr>
          <w:rFonts w:ascii="Arial" w:cs="Arial" w:eastAsia="Arial" w:hAnsi="Arial"/>
          <w:sz w:val="18"/>
          <w:szCs w:val="18"/>
          <w:color w:val="auto"/>
        </w:rPr>
        <w:t>Depreciation expense was $32,298 and $67,415 for the fiscal years ended December 31, 2016 and December 31,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issued Series A Warrants, Series B Warrants and Series C Warrants (the “Warrants”).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Company’s Series A, Series B and Series C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IPO or Private Transaction proceeds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Option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classified the Warrants, with a term greater than one year, as long term liabilities at their fair value and will re-measure the warrants at each balance sheet date until they are exercised or expire. Any change in the fair value is recognized as other income (expense) in the Company’s statement of operations. The Series B Warrant liability was classified as a current liability in the year ended December 31, 2015, as the Warrants were set to expire on February 12, 2016.</w:t>
      </w:r>
    </w:p>
    <w:p>
      <w:pPr>
        <w:spacing w:after="0" w:line="18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has issued 2,449,605 Series A Warrants to purchase shares of its common stock at an exercise price of $6.50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Since their issuance, a total of 24,000 Series A Warrants have been exercised. As of December 31, 2016, the fair value of the 2,425,605 outstanding Series A Warrants was approximately $194 thousand, and the decrease of $1 million in fair value during the year ended December 31, 2016 was recorded as other income in the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issued 2,449,605 Series B Warrants to purchase shares of its common stock at an exercise price of $6.50 per share in connection with the IPO.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00"/>
          </w:cols>
          <w:pgMar w:left="240" w:top="801" w:right="259" w:bottom="1440" w:gutter="0" w:footer="0" w:header="0"/>
        </w:sectPr>
      </w:pPr>
    </w:p>
    <w:bookmarkStart w:id="149" w:name="page150"/>
    <w:bookmarkEnd w:id="149"/>
    <w:p>
      <w:pPr>
        <w:ind w:right="60" w:firstLine="324"/>
        <w:spacing w:after="0" w:line="279" w:lineRule="auto"/>
        <w:rPr>
          <w:sz w:val="20"/>
          <w:szCs w:val="20"/>
          <w:color w:val="auto"/>
        </w:rPr>
      </w:pPr>
      <w:r>
        <w:rPr>
          <w:rFonts w:ascii="Arial" w:cs="Arial" w:eastAsia="Arial" w:hAnsi="Arial"/>
          <w:sz w:val="17"/>
          <w:szCs w:val="17"/>
          <w:color w:val="auto"/>
        </w:rPr>
        <w:t>Between January 1, 2016 and the expiration date of the Series B Warrants of February 12, 2016, certain holders of Series B warrants cashless exercised a total of 102,300 Series B Warrants resulting in the issuance of 485,202 shares of common stock and the derecognition of approximately $593 thousand in Series B Warrant liability. The remaining Series B Warrant liability was reduced to zero upon expiration resulting in the recording of $272 thousand in other income in the statement of operations. The remaining Series B Warrants expired unexercised on February 12, 2016.</w:t>
      </w:r>
    </w:p>
    <w:p>
      <w:pPr>
        <w:spacing w:after="0" w:line="6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of February 12, 2016 and December 31, 2015 the Company used a Monte Carlo simulation to calculate the fair value of its Series B Warrant liability. This model is dependent upon several variables such as the warrant’s term, exercise price, current stock price, risk-free interest rate estimated over the contractual term, estimated volatility of our stock over the term of the warrant and the estimated market price of our stock during the cashless exercise period. The risk-free rate is based on U.S. Treasury securities with similar maturities as the expected terms of the warrants. The volatility is estimated based on blending the volatility rates for a number of similar publicly-traded companies. The Company used the following inputs: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February 12,</w:t>
            </w: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0.12</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addition to the assumptions above, the Company’s estimated fair value of the Series B Warrant liability is calculated using other key assumptions. Management, with the assistance of an independent valuation firm, makes these subjective determinations based on available current information; however, as such information changes, so might management’s determinations and such changes could have a material impact on future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589,510 shares of the Company’s common stock at an exercise price of $6.50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$6.25 per share and will expire on March 5, 2020.</w:t>
      </w:r>
    </w:p>
    <w:p>
      <w:pPr>
        <w:spacing w:after="0" w:line="19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$6.25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905 shares of the Company's common stock, the issuance of 905 Series C Warrants and proceeds to the Company of $5,882.</w:t>
      </w:r>
    </w:p>
    <w:p>
      <w:pPr>
        <w:spacing w:after="0" w:line="15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Series C Warrants are exercisable into 590,415 shares of the Company’s common stock. As of December 31, 2016, the fair value of the Series C Warrants was determined to be $85,490. The decline in the fair value of the Series C Warrants of $376,947 in the year ended December 31, 2016 was recorded as other income in the consolidated statement of operations.</w:t>
      </w:r>
    </w:p>
    <w:p>
      <w:pPr>
        <w:spacing w:after="0" w:line="208" w:lineRule="exact"/>
        <w:rPr>
          <w:sz w:val="20"/>
          <w:szCs w:val="20"/>
          <w:color w:val="auto"/>
        </w:rPr>
      </w:pPr>
    </w:p>
    <w:p>
      <w:pPr>
        <w:jc w:val="both"/>
        <w:ind w:right="100" w:firstLine="324"/>
        <w:spacing w:after="0" w:line="318"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is equivalent to the fair value computed using the Binomial Lattice Option Model. The Black-Scholes pricing model requires the input of highly subjective assumptions including the expected stock price volatility. The Company used the following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4.17</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80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leases approximately 2,100 square feet for its operations in Ivyland, Pennsylvania under a month-to-month lease.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Minimum rental commitments under all noncancelable leases with an initial term in excess of one year as of December 31,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Operating Leases</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750,118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629,923</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334,747</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1,714,788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does not consider the impact of lease payments the Company will receive under the sublease executed in January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$595,000 and $375,000 during the years ended December 31,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(see Note 11).</w:t>
      </w:r>
    </w:p>
    <w:p>
      <w:pPr>
        <w:spacing w:after="0" w:line="158"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As of December 31, 2016, the Company updated the cash flow and revenue projections. Based on the updated assumptions, the fair value of the net unpaid Royalty was determined to be $136,000. As a result, the Company recognized $15,000 of general and administrative expense in the statement of operations.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28, 2017, the Company settled the Lawsuit (see Note 14) by agreeing to provide supplemental disclosures and pay $175,000 in attorney's fees. This amount was recorded as a current liability on the balance sheet as of December 31, 2016 and recognized as general and administrative expense in the statement of operations for the year ended December 31, 2016. The stipulation of dismissal was approved by the court on April 14, 2017, and we expect to pay the $175,000 in attorney's fees within 30 days from the date of the 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800" w:right="239" w:bottom="1440" w:gutter="0" w:footer="0" w:header="0"/>
        </w:sectPr>
      </w:pPr>
    </w:p>
    <w:bookmarkStart w:id="151" w:name="page152"/>
    <w:bookmarkEnd w:id="151"/>
    <w:p>
      <w:pPr>
        <w:ind w:left="3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issued a total of 10,000 Series A Convertible Preferred Stock under the 2015 Sabby Purchase Agreement, with a par value of $0.001 and a stated value of $1,000 per share. The Series A Convertible Preferred Stock did not have an expiration date and were not redeemable at the option of the holders. During the three months ended March 31, 2016 and June 30, 2016 the holders of the Series A Convertible Preferred Stock converted 1,665 and 555, respectively, shares of Series A Convertible Preferred Stock resulting in the issuance of 900,000 and 300,000 shares of common stock, respectively. Under the 2016 Sabby Purchase Agreement, the remaining 7,780 shares of Series A Convertible Preferred Stock were repurchased.</w:t>
      </w:r>
    </w:p>
    <w:p>
      <w:pPr>
        <w:spacing w:after="0" w:line="21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has issued a total of 13,780 Series B Convertible Preferred Stock under the 2016 Sabby Purchase Agreement, with a par value of $0.001 and a stated value of $1,000 per share (see Note 2). During the year ended December 31, 2016, the holders of the Series B Convertible Preferred Stock converted 1,000 shares of the Series B Convertible Preferred Stock resulting in the issuance of 1,000,000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$2.46 to $1.75 per share on the effective date of the 2016 Sabby Purchase Agreement.</w:t>
      </w:r>
    </w:p>
    <w:p>
      <w:pPr>
        <w:spacing w:after="0" w:line="236"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The Company has recognized the repurchase of the Series A Convertible Preferred Stock as an extinguishment of the Series A Convertible Preferred Stock. The Company compared the fair value of the Series B Convertible Preferred Stock immediately after the two close dates under the 2016 Sabby Purchase Agreement to the carrying value of the Series A Convertible Preferred Stock immediately prior to the two close dates under the 2016 Sabby Purchase Agreement. The Company recorded the excess of the aggregate fair value of the Series B Convertible Preferred Stock, $3.4 million, as a loss on extinguishment. In addition, the Company estimated the effect of modifying the exercise price on the existing Series D warrants to be $203 thousand. The Company therefore recorded a total of $3.7 million extinguishment loss to net loss applicable to common stockholders.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granted to employees for the fiscal years ended December 31, 2016 and 2015 of $871,270 and $942,369, respectively. The compensation expense is allocated on a departmental basis, based on the classification of the option holder. No income tax benefits have been recognized in the statements of operations for stock-based compensation arrangements as of December 31, 2016 and December 31,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00"/>
          </w:cols>
          <w:pgMar w:left="240" w:top="692" w:right="259" w:bottom="1440" w:gutter="0" w:footer="0" w:header="0"/>
        </w:sectPr>
      </w:pPr>
    </w:p>
    <w:bookmarkStart w:id="152" w:name="page153"/>
    <w:bookmarkEnd w:id="152"/>
    <w:p>
      <w:pPr>
        <w:ind w:left="340"/>
        <w:spacing w:after="0"/>
        <w:rPr>
          <w:sz w:val="20"/>
          <w:szCs w:val="20"/>
          <w:color w:val="auto"/>
        </w:rPr>
      </w:pPr>
      <w:r>
        <w:rPr>
          <w:rFonts w:ascii="Arial" w:cs="Arial" w:eastAsia="Arial" w:hAnsi="Arial"/>
          <w:sz w:val="18"/>
          <w:szCs w:val="18"/>
          <w:color w:val="auto"/>
        </w:rPr>
        <w:t>Stock compensation expense was allocated between departments as follows;</w:t>
      </w:r>
    </w:p>
    <w:p>
      <w:pPr>
        <w:spacing w:after="0" w:line="163"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55"/>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2"/>
                <w:szCs w:val="22"/>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62,533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730,888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871,270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942,369</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20" w:firstLine="324"/>
        <w:spacing w:after="0" w:line="318" w:lineRule="auto"/>
        <w:rPr>
          <w:sz w:val="20"/>
          <w:szCs w:val="20"/>
          <w:color w:val="auto"/>
        </w:rPr>
      </w:pPr>
      <w:r>
        <w:rPr>
          <w:rFonts w:ascii="Arial" w:cs="Arial" w:eastAsia="Arial" w:hAnsi="Arial"/>
          <w:sz w:val="18"/>
          <w:szCs w:val="18"/>
          <w:color w:val="auto"/>
        </w:rPr>
        <w:t>The Company granted options to purchase 1,339,259 and 955,713 of the Company’s common stock in 2016 and 2015. The fair value of each award granted was estimated on the date of grant using the Black-Scholes option pricing model with the following assumptions for the year ended December 31, 2016: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34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tcPr>
          <w:p>
            <w:pPr>
              <w:ind w:left="160"/>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1480" w:type="dxa"/>
            <w:vAlign w:val="bottom"/>
            <w:tcBorders>
              <w:top w:val="single" w:sz="8" w:color="auto"/>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ind w:left="20"/>
              <w:spacing w:after="0"/>
              <w:rPr>
                <w:sz w:val="20"/>
                <w:szCs w:val="20"/>
                <w:color w:val="auto"/>
              </w:rPr>
            </w:pPr>
            <w:r>
              <w:rPr>
                <w:rFonts w:ascii="Arial" w:cs="Arial" w:eastAsia="Arial" w:hAnsi="Arial"/>
                <w:sz w:val="18"/>
                <w:szCs w:val="18"/>
                <w:color w:val="auto"/>
              </w:rPr>
              <w:t>- 1.7%</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1.6%-1.7%</w:t>
            </w:r>
          </w:p>
        </w:tc>
      </w:tr>
      <w:tr>
        <w:trPr>
          <w:trHeight w:val="27"/>
        </w:trPr>
        <w:tc>
          <w:tcPr>
            <w:tcW w:w="8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 - 66%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1300" w:right="56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116"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800" w:right="239" w:bottom="1440" w:gutter="0" w:footer="0" w:header="0"/>
        </w:sectPr>
      </w:pPr>
    </w:p>
    <w:bookmarkStart w:id="153" w:name="page154"/>
    <w:bookmarkEnd w:id="153"/>
    <w:p>
      <w:pPr>
        <w:ind w:left="340"/>
        <w:spacing w:after="0"/>
        <w:rPr>
          <w:sz w:val="20"/>
          <w:szCs w:val="20"/>
          <w:color w:val="auto"/>
        </w:rPr>
      </w:pPr>
      <w:r>
        <w:rPr>
          <w:rFonts w:ascii="Arial" w:cs="Arial" w:eastAsia="Arial" w:hAnsi="Arial"/>
          <w:sz w:val="18"/>
          <w:szCs w:val="18"/>
          <w:color w:val="auto"/>
        </w:rPr>
        <w:t>The following table summarizes stock option transactions for the years ended December 31, 2016 and 2015 as issued under the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Options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2"/>
              </w:rPr>
              <w:t>Exercise Price per</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270,764</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(955,713)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canceled/forfeited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1,858,839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shares authorized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560,717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Amendment to plan to authorize additional shares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(1,339,259)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canceled/forfeited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231,249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958,856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2,908,430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at December 31,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1,450,033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at December 31, 2016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2,908,430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$1.66 and $0.81 per share for the year ended December 31, 2016 and December 31, 2015, respectively. At December 31, 2016 total unrecognized employee stock-based compensation was $1,553,427, which is expected to be recognized over the weighted-average remaining vesting period of 2.7 years. As of December 31, 2016, the outstanding stock options had an intrinsic value of zero.</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28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June 2016, the Company granted 55,000 NSOs to sales representatives of Bemes, Inc. Of the 55,000 options granted, 27,499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the Company recognized $13,502 in expense for the remaining options during 2016, which will vest during the first quarter of 2017. Total expense for the two groups of options reflects the fair value of the Company's common stock on the applicable vesting commencement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139,839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22"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279,680 shares;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there were no purchases by employees under this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801"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Company has issued 1,280,324 Series D Warrants, with an exercise price of $2.46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December 31, 2016, the Company had 480,147 common stock warrants outstanding from the 2010/2012 convertible notes, with an exercise price of $4.87 and a term of 10 years expiring in November 2024. During the year ended December 31, 2015, 43,720 common stock warrants were cashless exercised resulting in the issuance of 13,407 shares of the Company’s common stock. The Company also has outstanding 9,259 common stock warrants issued in 2009, with an exercise price of $21.60 and a term of 10 years, expiring in January 2019 and 82,500 common stock warrants issued to the underwriter in our IPO, with an exercise price of $7.14 and a term of 10 years, expiring in November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Due to net losses in 2016 and 2015, the Company had no material current, deferred, or total income tax expense in the years ended December 31, 2016 and 2015.</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geographical distribution of income (loss) before income taxes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(11,807,891)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(11,908,546)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Foreign</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(235,623)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(12,043,514)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(11,908,546)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240" w:type="dxa"/>
            <w:vAlign w:val="bottom"/>
          </w:tcPr>
          <w:p>
            <w:pPr>
              <w:spacing w:after="0"/>
              <w:rPr>
                <w:sz w:val="24"/>
                <w:szCs w:val="24"/>
                <w:color w:val="auto"/>
              </w:rPr>
            </w:pPr>
          </w:p>
        </w:tc>
        <w:tc>
          <w:tcPr>
            <w:tcW w:w="5420" w:type="dxa"/>
            <w:vAlign w:val="bottom"/>
            <w:gridSpan w:val="2"/>
          </w:tcPr>
          <w:p>
            <w:pPr>
              <w:jc w:val="right"/>
              <w:ind w:right="2740"/>
              <w:spacing w:after="0"/>
              <w:rPr>
                <w:sz w:val="20"/>
                <w:szCs w:val="20"/>
                <w:color w:val="auto"/>
              </w:rPr>
            </w:pPr>
            <w:r>
              <w:rPr>
                <w:rFonts w:ascii="Arial" w:cs="Arial" w:eastAsia="Arial" w:hAnsi="Arial"/>
                <w:sz w:val="18"/>
                <w:szCs w:val="18"/>
                <w:color w:val="auto"/>
              </w:rPr>
              <w:t>F - 23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55" w:name="page156"/>
    <w:bookmarkEnd w:id="155"/>
    <w:p>
      <w:pPr>
        <w:ind w:right="60" w:firstLine="324"/>
        <w:spacing w:after="0" w:line="277" w:lineRule="auto"/>
        <w:rPr>
          <w:sz w:val="20"/>
          <w:szCs w:val="20"/>
          <w:color w:val="auto"/>
        </w:rPr>
      </w:pPr>
      <w:r>
        <w:rPr>
          <w:rFonts w:ascii="Arial" w:cs="Arial" w:eastAsia="Arial" w:hAnsi="Arial"/>
          <w:sz w:val="18"/>
          <w:szCs w:val="18"/>
          <w:color w:val="auto"/>
        </w:rPr>
        <w:t>A reconciliation of income tax expense with amounts determined by applying the statutory U.S. federal income tax rate to income before income taxes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the loss before income tax expense computed at the federal statutory rate of 34%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(4,094,922)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(5,408,551)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State tax (benefit) at statutory rate, net of federal benefit</w:t>
            </w:r>
          </w:p>
        </w:tc>
        <w:tc>
          <w:tcPr>
            <w:tcW w:w="3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(266,258)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(928,107)</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35,343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4,260,571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4,199,154</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(60,991)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Stock Based Compensation - ISO</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323,537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(619,067)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1,493,215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state tax rate</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345,172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167,298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705,280</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deferred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67"/>
        </w:trPr>
        <w:tc>
          <w:tcPr>
            <w:tcW w:w="8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2016 and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Reserves and accruals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212,479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287,850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30,291,080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26,174,912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1,580,253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1,381,296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32,017,896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27,779,025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(32,039,596)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(27,779,025)</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as it believes that it is more likely than not that such assets will not be realized. The valuation allowance increased by $4,260,571 from December 31, 2015 to December 31, 2016 primarily due to the generation of current year net operating losses and research and development credits claimed.</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of December 31, 2016, the Company had $80 million of federal, $52 million of state and $235 thousand of United Kingdom net operating losses available to offset future taxable income. The federal net operating loss carryforwards begins to expire in 2019, the state net operating loss carryforwards will begin to expire in 2017 and the foreign net operating loss carryforward can be carried forward indefinitely. As of December 31, 2016, the Company also had $1.5 million of federal and $1.2 million of state research and development credit carryforwards. The federal research and development credit carryforward begins to expire in 2024 and the state research and development credit can be carried forward indefinitely.</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the Company has determined that the use of net operating loss and tax credit carryforwards will be limited under Section 382 of the Internal Revenue Code, as a result of the changes in the stock ownership of the Company during the year ended December 31, 2016.</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non-United States subsidiaries as of December 31, 2016, as the earnings, if any, are intended to be indefinitely reinvested.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692" w:right="2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8"/>
          <w:szCs w:val="18"/>
          <w:color w:val="auto"/>
        </w:rPr>
        <w:t>The following tables summarize the activities of gross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673,247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related to prior year tax positions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67,461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31,657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current year tax positions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794,962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691,697</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amount of unrecognized tax benefits that would impact the effective tax rate were approximately none and none as of December 31, 2016 and December 31, 2015, respectively. As of December 31, 2016, $794,962 of unrecognized tax benefits would be offset by a change in valuation allowance.</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Company files income tax returns in the U.S. federal jurisdiction, certain state jurisdictions and the United Kingdom. In the normal course of business, the Company is subject to examination by federal, state,local and foreign jurisdictions, where applicable. In the U.S federal jurisdiction, tax years 1999 forward remain open to examination, in the state tax jurisdiction, years 2005 forward remain open to examination and in the foreign jurisdiction 2015 remain open to examination. The Company is currently not under audit by any federal, state or local jurisdiction.</w:t>
      </w:r>
    </w:p>
    <w:p>
      <w:pPr>
        <w:spacing w:after="0" w:line="17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uses the “more likely than not” criterion for recognizing the tax benefit of uncertain tax positions and to establish measurement criteria for income tax benefits. The Company has determined it has no material unrecognized assets or liabilities related to uncertain tax positions as of December 31, 2016. The Company does not anticipate any significant changes in such uncertainties and judgments during the next 12 months. In the event the Company should need to recognize interest and penalties related to unrecognized tax liabilities, this amount will be recorded as a component of other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 ended December 31, 2016 and 2015,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2"/>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12,780,000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2,462,162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480,147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480,147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2,908,430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1,858,839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9,259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2,425,605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2,425,605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warrants to purchase common stock</w:t>
            </w:r>
          </w:p>
        </w:tc>
        <w:tc>
          <w:tcPr>
            <w:tcW w:w="218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590,415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2,930,812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1,280,324</w:t>
            </w: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NeoForce Group, Inc. Acquisition</w:t>
      </w:r>
    </w:p>
    <w:p>
      <w:pPr>
        <w:spacing w:after="0" w:line="12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On September 8, 2015, the Company through its wholly owned subsidiary Neoforce, Inc ("NFI"), acquired substantially all of the assets of NeoForce in exchange for an upfront cash payment of $1.0 million. In addition, the Company agreed to pay the former NeoForce shareholder an annual royalty payment for a period of 36 months (“Royalty”) in the low single digits based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800" w:right="2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color w:val="auto"/>
        </w:rPr>
        <w:t>on net sales of NeoForce products that were acquired by the Company. As of December 31, 2016, the Company recorded $11,142 of Royalty payable.</w:t>
      </w:r>
    </w:p>
    <w:p>
      <w:pPr>
        <w:spacing w:after="0" w:line="23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acquisition of NeoForce strengthens the Company’s commitment to leveraging technology to address unmet needs in neonatology, which is a high growth segment in the healthcare business. The Company plans to leverage the expertise and hospital relationships of NeoForce to accelerate the adoption of CoSense.</w:t>
      </w:r>
    </w:p>
    <w:p>
      <w:pPr>
        <w:spacing w:after="0" w:line="18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transaction has been accounted for as a business combination under the acquisition method of accounting. Accordingly, the tangible assets and identifiable intangible assets acquired and liabilities assumed have been recorded at fair value, with the remaining purchase price recorded as goodwill. The fair values of current assets and liabilities approximated their book value. The fair values of acquired assets and liabilities are based on preliminary cash flow projections and other assumptions. The fair values of acquired intangible assets were determined using several significant unobservable inputs for projected cash flows and a discount rate. These inputs are considered Level 3 inputs under the fair value measurements and disclosure guidance.</w:t>
      </w:r>
    </w:p>
    <w:p>
      <w:pPr>
        <w:spacing w:after="0" w:line="15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and at December 31, 2015. The fair value of the royalty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1,153,000</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fair values of assets acquired at the transaction date are summarized below:</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tangible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259,730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135,890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718,003</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1,153,000</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tangible assets acquired consisted primarily of equipment, furniture and fixtures.</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Goodwill is an unidentifiable asset and, as such, can only be measured as a residual. A significant component of the NeoForce goodwill, which did not meet the criteria for separate recognition as an intangible asset was a skilled and assembled workforce. The founder of NeoForce, who became the General Manager of Neonatology at the Company, brings 25 years of medical device sales, operations and product development experience at neonatology focused companies. The Company plans to use his expertise and broad relationships with top tier hospitals across the United States to accelerate the adoption of CoSense. The Company also expects to achieve synergies in the areas of accounting, informational technology, sales &amp; marketing and other general administration expenses through the combination.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692" w:right="239" w:bottom="1440" w:gutter="0" w:footer="0" w:header="0"/>
        </w:sectPr>
      </w:pPr>
    </w:p>
    <w:bookmarkStart w:id="158" w:name="page159"/>
    <w:bookmarkEnd w:id="158"/>
    <w:p>
      <w:pPr>
        <w:ind w:right="80" w:firstLine="324"/>
        <w:spacing w:after="0" w:line="293" w:lineRule="auto"/>
        <w:rPr>
          <w:sz w:val="20"/>
          <w:szCs w:val="20"/>
          <w:color w:val="auto"/>
        </w:rPr>
      </w:pPr>
      <w:r>
        <w:rPr>
          <w:rFonts w:ascii="Arial" w:cs="Arial" w:eastAsia="Arial" w:hAnsi="Arial"/>
          <w:sz w:val="16"/>
          <w:szCs w:val="16"/>
          <w:color w:val="auto"/>
        </w:rPr>
        <w:t>The following table presents the unaudited pro forma results of Soleno Therapeutics, Inc. (including the operations of Neoforce) for the year ended December 31, 2015. The unaudited pro forma financial information combines the results of operations of Soleno Therapeutics and NeoForce as though the companies had been combined as of the beginning of the fiscal period presented. As of September 8, 2015, the date of the acquisition, the results of NFI have been combined with Soleno Therapeutics as a wholly-owned subsidiary. The unaudited pro forma financial information is presented for informational purposes only and is not indicative of the consolidated results of operations that would have been achieved if the acquisition had taken place at the beginning of fiscal 2015. In addition, the unaudited pro forma financial information does not attempt to project the future consolidated 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1,168,846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(16,002,126)</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 forma weighted-average shares-basic and diluted</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9,425,880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above reflects the following:</w:t>
      </w:r>
    </w:p>
    <w:p>
      <w:pPr>
        <w:spacing w:after="0" w:line="171" w:lineRule="exact"/>
        <w:rPr>
          <w:sz w:val="20"/>
          <w:szCs w:val="20"/>
          <w:color w:val="auto"/>
        </w:rPr>
      </w:pPr>
    </w:p>
    <w:p>
      <w:pPr>
        <w:ind w:left="1300" w:right="40" w:hanging="644"/>
        <w:spacing w:after="0" w:line="259"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increase of amortization expense of $53,000 in the year ended December 31, 2015 related to the estimated fair value of intangible assets from the purchase price allocation which are being amortized over their estimated useful lives through 2028. The change in depreciation expense related to the change in estimated fair value of property and equipment from the book value at the time of the acquisition was not material.</w:t>
      </w:r>
    </w:p>
    <w:p>
      <w:pPr>
        <w:spacing w:after="0" w:line="34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year ended December 31, 2015, NFI revenue and net income included in the Company’s Consolidated Statement of Operations and Net Loss were $279,000 and $76,000,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Compensation Committee of the Board of Directors of the Company recommended and the Board approved a new compensation plan for the payment of quarterly Board fees. At the election of each Board member, beginning with the third quarter of 2016, they had the option to either receive cash payments or to be paid in common stock of the Company. For the third quarter of 2016, two of the Board members elected to be paid in common stock of the Company resulting in the issuance of 25,422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To date, the Company has not made any matching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and the receipt of stockholder approval of the Merger at a special meeting of stockholders.</w:t>
      </w:r>
    </w:p>
    <w:p>
      <w:pPr>
        <w:spacing w:after="0" w:line="7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March 6, 2017, the Company held a special shareholder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7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March 7, 2017, the Company completed the merger with Essentialis and issued 18,916,940 shares of common stock to shareholders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 Assuming that we issues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801" w:right="239" w:bottom="1440" w:gutter="0" w:footer="0" w:header="0"/>
        </w:sectPr>
      </w:pPr>
    </w:p>
    <w:bookmarkStart w:id="159" w:name="page160"/>
    <w:bookmarkEnd w:id="159"/>
    <w:p>
      <w:pPr>
        <w:ind w:right="40"/>
        <w:spacing w:after="0" w:line="264" w:lineRule="auto"/>
        <w:rPr>
          <w:sz w:val="20"/>
          <w:szCs w:val="20"/>
          <w:color w:val="auto"/>
        </w:rPr>
      </w:pPr>
      <w:r>
        <w:rPr>
          <w:rFonts w:ascii="Arial" w:cs="Arial" w:eastAsia="Arial" w:hAnsi="Arial"/>
          <w:sz w:val="18"/>
          <w:szCs w:val="18"/>
          <w:color w:val="auto"/>
        </w:rPr>
        <w:t>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the Company issued 8,333,333 shares of common stock for an investment of $8 million from the completion of the concurrent financing and issued 2,083,333 shares of common stock for an investment of $2 million from Aspire Capital.</w:t>
      </w:r>
    </w:p>
    <w:p>
      <w:pPr>
        <w:spacing w:after="0" w:line="62"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On February 28, 2017, in regards to the Lawsuit mentioned below, the Company agreed to provide supplemental disclosures and pay $175,000 in attorney's fees. This amount was accrued as a current liability on the balance sheet as of December 31, 2016 and recorded as a general and administrative expense on the statement of operations for the year ended December 31, 2016.</w:t>
      </w:r>
    </w:p>
    <w:p>
      <w:pPr>
        <w:spacing w:after="0" w:line="73"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 xml:space="preserve">On February 16, 2017, the Lawsuit captioned </w:t>
      </w:r>
      <w:r>
        <w:rPr>
          <w:rFonts w:ascii="Arial" w:cs="Arial" w:eastAsia="Arial" w:hAnsi="Arial"/>
          <w:sz w:val="16"/>
          <w:szCs w:val="16"/>
          <w:i w:val="1"/>
          <w:iCs w:val="1"/>
          <w:color w:val="auto"/>
        </w:rPr>
        <w:t>Garfield v. Capnia, Inc., et al.</w:t>
      </w:r>
      <w:r>
        <w:rPr>
          <w:rFonts w:ascii="Arial" w:cs="Arial" w:eastAsia="Arial" w:hAnsi="Arial"/>
          <w:sz w:val="16"/>
          <w:szCs w:val="16"/>
          <w:color w:val="auto"/>
        </w:rPr>
        <w:t>, Case No. C17-00284 was filed in Superior Court of the State of California, County of Contra Costa against the Company and certain of its officers and directors. The Lawsuit alleged, generally, that the Company's directors breached their fiduciary duties to the Company's stockholders by seeking to sell control of the Company through an allegedly defective process, and on unfair terms.</w:t>
      </w:r>
    </w:p>
    <w:p>
      <w:pPr>
        <w:jc w:val="both"/>
        <w:ind w:right="220"/>
        <w:spacing w:after="0" w:line="255" w:lineRule="auto"/>
        <w:rPr>
          <w:sz w:val="20"/>
          <w:szCs w:val="20"/>
          <w:color w:val="auto"/>
        </w:rPr>
      </w:pPr>
      <w:r>
        <w:rPr>
          <w:rFonts w:ascii="Arial" w:cs="Arial" w:eastAsia="Arial" w:hAnsi="Arial"/>
          <w:sz w:val="18"/>
          <w:szCs w:val="18"/>
          <w:color w:val="auto"/>
        </w:rPr>
        <w:t>The Lawsuit also alleged that defendants failed to disclose all material facts concerning the proposed merger with Essentialis to stockholders. The Lawsuit sought, among other things, equitable relief that would have enjoined the consummation of the proposed merger, compensatory and/or rescissory damages, and attorneys' fees and costs.</w:t>
      </w:r>
    </w:p>
    <w:p>
      <w:pPr>
        <w:spacing w:after="0" w:line="8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plaintiff's agreement to voluntarily dismiss plaintiff's claims in the Lawsuit. The Company also agreed to pay $175,000 in attorney’s fees. The stipulation of dismissal was approved by the court on April 14, 2017.</w:t>
      </w:r>
    </w:p>
    <w:p>
      <w:pPr>
        <w:spacing w:after="0" w:line="7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On January 4th, 10th, 12th and 18th of January 2017, the two funds managed by Sabby converted an aggregate of 601 shares of their Series B Convertible Stock into 601,000 shares of common stock.</w:t>
      </w:r>
    </w:p>
    <w:p>
      <w:pPr>
        <w:spacing w:after="0" w:line="6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January 27, 2017, the Company entered into the 2017 Aspire Purchase Agreement with Aspire Capital Fund, LLC, which provides that, upon the terms and subject to the conditions and limitations set forth therein, Aspire Capital is committed to purchase up to an aggregate of $17.0 million in value of shares of our common stock over the 30-month term of the purchase agreement. The Company issued Aspire Capital 708,333 shares of common stock as commitment shares under the 2017 Aspire Purchase Agreement. Further, on the date of the closing of the financing, as defined in the Merger Agreement, the Company sold to Aspire Capital, and Aspire Capital purchased from the Company an aggregate of $2.0 million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380"/>
          </w:cols>
          <w:pgMar w:left="240" w:top="692" w:right="279" w:bottom="1440" w:gutter="0" w:footer="0" w:header="0"/>
        </w:sectPr>
      </w:pPr>
    </w:p>
    <w:bookmarkStart w:id="160" w:name="page161"/>
    <w:bookmarkEnd w:id="160"/>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7"/>
        </w:trPr>
        <w:tc>
          <w:tcPr>
            <w:tcW w:w="842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Series A warrant liability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C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3"/>
        </w:trPr>
        <w:tc>
          <w:tcPr>
            <w:tcW w:w="8420" w:type="dxa"/>
            <w:vAlign w:val="bottom"/>
          </w:tcPr>
          <w:p>
            <w:pPr>
              <w:ind w:left="4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Series B convertible preferred stock, 13,780 are designated at March 31, 2017 and December 31, 2016;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12,179 and 12,780 shares issued and outstanding at March 31, 2017 and at December 31, 2016,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 Liquidation value of zero.</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40"/>
              <w:spacing w:after="0"/>
              <w:rPr>
                <w:sz w:val="20"/>
                <w:szCs w:val="20"/>
                <w:color w:val="auto"/>
              </w:rPr>
            </w:pPr>
            <w:r>
              <w:rPr>
                <w:rFonts w:ascii="Arial" w:cs="Arial" w:eastAsia="Arial" w:hAnsi="Arial"/>
                <w:sz w:val="18"/>
                <w:szCs w:val="18"/>
                <w:color w:val="auto"/>
                <w:w w:val="92"/>
              </w:rPr>
              <w:t>Common stock, $0.001 par value, 100,000,000 shares authorized, 47,479,879 and 16,786,952 shares issued and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40"/>
              <w:spacing w:after="0"/>
              <w:rPr>
                <w:sz w:val="20"/>
                <w:szCs w:val="20"/>
                <w:color w:val="auto"/>
              </w:rPr>
            </w:pPr>
            <w:r>
              <w:rPr>
                <w:rFonts w:ascii="Arial" w:cs="Arial" w:eastAsia="Arial" w:hAnsi="Arial"/>
                <w:sz w:val="18"/>
                <w:szCs w:val="18"/>
                <w:color w:val="auto"/>
              </w:rPr>
              <w:t>outstanding at March 31, 2017 and December 31, 2016, respectively.</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101,730</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360"/>
          </w:cols>
          <w:pgMar w:left="240" w:top="810" w:right="299" w:bottom="1440" w:gutter="0" w:footer="0" w:header="0"/>
        </w:sectPr>
      </w:pPr>
    </w:p>
    <w:bookmarkStart w:id="161" w:name="page162"/>
    <w:bookmarkEnd w:id="161"/>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Gross profit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Change in fair value of warrants liabilities income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Cease-use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common shares outstanding used to calculate basic and diluted net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26,853,433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14,796,119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580" w:right="239" w:bottom="1440" w:gutter="0" w:footer="0" w:header="0"/>
        </w:sectPr>
      </w:pPr>
    </w:p>
    <w:bookmarkStart w:id="162" w:name="page163"/>
    <w:bookmarkEnd w:id="162"/>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Board fees paid with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common stock warrants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expense of issuing shares to Aspire Capital</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Series A preferred convertible stock</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A preferred convertible stock transaction costs paid</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10,539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Conversion of Series B preferred to common stock</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Issuance of common stock in Essentialis acquisition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Costs of Essentialis acquistions included in accounts payable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of Essentialis acquisition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Conversion of Series A preferred to common stock</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De-recognition of Series B warrant liability (cashless exercise)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8"/>
                <w:szCs w:val="18"/>
                <w:color w:val="auto"/>
              </w:rPr>
              <w:t>Fixed asset purchases in accounts payable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580" w:right="239" w:bottom="1440" w:gutter="0" w:footer="0" w:header="0"/>
        </w:sectPr>
      </w:pPr>
    </w:p>
    <w:bookmarkStart w:id="163" w:name="page164"/>
    <w:bookmarkEnd w:id="163"/>
    <w:p>
      <w:pPr>
        <w:ind w:left="340"/>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Capnia, Inc. (the “Company”) was incorporated in the State of Delaware on August 25, 1999, and is located in Redwood City, California.</w:t>
      </w:r>
    </w:p>
    <w:p>
      <w:pPr>
        <w:spacing w:after="0" w:line="22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7, 2017, the Company completed the merger with Essentialis, Inc., a Delaware corporation, or Essentialis.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has tested Diazoxide Choline Controlled Release, or DCCR, tablets as a treatment for Prader-Willi syndrome, or PWS, a complex metabolic/neurobehavioral disorder.</w:t>
      </w:r>
    </w:p>
    <w:p>
      <w:pPr>
        <w:spacing w:after="0" w:line="329" w:lineRule="exact"/>
        <w:rPr>
          <w:sz w:val="20"/>
          <w:szCs w:val="20"/>
          <w:color w:val="auto"/>
        </w:rPr>
      </w:pPr>
    </w:p>
    <w:p>
      <w:pPr>
        <w:jc w:val="both"/>
        <w:ind w:right="200" w:firstLine="324"/>
        <w:spacing w:after="0" w:line="247" w:lineRule="auto"/>
        <w:rPr>
          <w:sz w:val="20"/>
          <w:szCs w:val="20"/>
          <w:color w:val="auto"/>
        </w:rPr>
      </w:pPr>
      <w:r>
        <w:rPr>
          <w:rFonts w:ascii="Arial" w:cs="Arial" w:eastAsia="Arial" w:hAnsi="Arial"/>
          <w:sz w:val="18"/>
          <w:szCs w:val="18"/>
          <w:color w:val="auto"/>
        </w:rPr>
        <w:t>In addition, the Company continues to commercialize innovative medical devices to address unmet medical needs. The Company has two commercial products based on the Company's proprietary technologies, including those which utilize precision metering of gas flow. The most recent product to launch commercially is Serenz</w:t>
      </w:r>
      <w:r>
        <w:rPr>
          <w:rFonts w:ascii="Arial" w:cs="Arial" w:eastAsia="Arial" w:hAnsi="Arial"/>
          <w:sz w:val="16"/>
          <w:szCs w:val="16"/>
          <w:color w:val="auto"/>
        </w:rPr>
        <w:t>®</w:t>
      </w:r>
      <w:r>
        <w:rPr>
          <w:rFonts w:ascii="Arial" w:cs="Arial" w:eastAsia="Arial" w:hAnsi="Arial"/>
          <w:sz w:val="18"/>
          <w:szCs w:val="18"/>
          <w:color w:val="auto"/>
        </w:rPr>
        <w:t xml:space="preserve"> Nasal Relief, or Serenz. In the United States, or U.S., the Company has concluded that Serenz is a Class I, 510(k) exempt device. Serenz is a proprietary handheld device that delivers non-inhaled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topically to the nasal mucosa. Serenz is used only when needed, and does not need to be used on a regular basis.</w:t>
      </w:r>
    </w:p>
    <w:p>
      <w:pPr>
        <w:spacing w:after="0" w:line="25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is also selling the CoSense</w:t>
      </w:r>
      <w:r>
        <w:rPr>
          <w:rFonts w:ascii="Arial" w:cs="Arial" w:eastAsia="Arial" w:hAnsi="Arial"/>
          <w:sz w:val="14"/>
          <w:szCs w:val="14"/>
          <w:color w:val="auto"/>
        </w:rPr>
        <w:t>®</w:t>
      </w:r>
      <w:r>
        <w:rPr>
          <w:rFonts w:ascii="Arial" w:cs="Arial" w:eastAsia="Arial" w:hAnsi="Arial"/>
          <w:sz w:val="16"/>
          <w:szCs w:val="16"/>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NFI, the Company also develops and globally markets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6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Following the merger, the Company initiated a comprehensive review of strategic alternatives for the legacy products and product candidates, including Serenz® Allergy Relief, CoSense® ETCO Monitor, and its portfolio of innovative pulmonary resuscitation solutions for the neonatal market. The Company may also license elements of its Sensalyze Technology Platform to other companies that have complementary development or commercial capabilities.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Liquidity, Financial Condition and Management’s Plans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had a net loss of approximately $2.9 million for the three months ended March 31, 2017 and has an accumulated deficit of approximately $101.2 million at March 31, 2017 from having incurred losses since its inception. The Company has approximately $9.6 million of working capital at March 31, 2017 and used approximately $2.2 million of cash in its operating activities during the three months ended March 31, 2017. The Company has financed its operations principally through issuances of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918" w:right="239" w:bottom="1440" w:gutter="0" w:footer="0" w:header="0"/>
        </w:sectPr>
      </w:pPr>
    </w:p>
    <w:bookmarkStart w:id="164" w:name="page165"/>
    <w:bookmarkEnd w:id="164"/>
    <w:p>
      <w:pPr>
        <w:ind w:firstLine="405"/>
        <w:spacing w:after="0" w:line="302" w:lineRule="auto"/>
        <w:rPr>
          <w:sz w:val="20"/>
          <w:szCs w:val="20"/>
          <w:color w:val="auto"/>
        </w:rPr>
      </w:pPr>
      <w:r>
        <w:rPr>
          <w:rFonts w:ascii="Arial" w:cs="Arial" w:eastAsia="Arial" w:hAnsi="Arial"/>
          <w:sz w:val="16"/>
          <w:szCs w:val="16"/>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708,333 shares of Common Stock as commitment shares under the 2017 Aspire Purchase Agreement.</w:t>
      </w:r>
    </w:p>
    <w:p>
      <w:pPr>
        <w:spacing w:after="0" w:line="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Company expects to continue incurring losses for the foreseeable future and may be required to raise additional capital to pursue its therapeutic product development initiatives and penetrate markets for the sale of its products. The Company has been successful over the last 12 months in raising additional capital including the completed closings pursuant to the 2016 Sabby Purchase Agreement, the 2017 Aspire Purchase Agreement and the concurrent financing associated with the merger of Essentialis. Management believes that the Company will continue to have access to capital resources through possible public or private equity offerings, debt financings, corporate collaborations or other means; however, other than the 2017 Aspire Purchase Agreement, the Company has not secured any commitment for future financing at this time, nor can it provide any assurance that new financing will be available on commercially acceptable terms, if at all. If the Company is unable to secure additional capital, it may be required to curtail its development of new products and take additional measures to reduce costs in order to conserve its cash in amounts sufficient to sustain operations and meet its obligations. These measures could cause significant delays in the Company's efforts complete its therapeutic development program and to commercialize its products, which is critical to the realization of its business plan and the future operations of the Company.</w:t>
      </w:r>
    </w:p>
    <w:p>
      <w:pPr>
        <w:spacing w:after="0" w:line="16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Management believes that the Company has sufficient capital resources, after considering the $10 million of financing that the Company received on March 7, 2017, to sustain operations through at least the next twelve months from the date of this filing.</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2017 as compared to the significant accounting policies described in Note 3 of the “Notes to Consolidated Financial Statements” in the Company’s Annual Report on Form 10-K for the year ended December 31, 2016. Below are those policies with current period updates: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GAAP for complete financial statements. The condensed consolidated balance sheet at December 31, 2016 has been derived from the audited consolidated financial statements at that date, but does not include all disclosures, including notes, required by GAAP for complete financial statements.</w:t>
      </w:r>
    </w:p>
    <w:p>
      <w:pPr>
        <w:spacing w:after="0" w:line="8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March 31, 2017 and results of its operations for the three months ended March 31, 2017 and 2016 and cash flows for the three months ended March 31, 2017 and 2016. The interim results are not necessarily indicative of the results for any future interim period or for the entire year. Certain prior period amounts have been reclassified to conform to current period presentation.</w:t>
      </w:r>
    </w:p>
    <w:p>
      <w:pPr>
        <w:spacing w:after="0" w:line="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Company's Annual Report on Form 10-K.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340" w:right="2220" w:firstLine="162"/>
        <w:spacing w:after="0" w:line="312"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692" w:right="239" w:bottom="1440" w:gutter="0" w:footer="0" w:header="0"/>
        </w:sectPr>
      </w:pPr>
    </w:p>
    <w:bookmarkStart w:id="165" w:name="page166"/>
    <w:bookmarkEnd w:id="165"/>
    <w:p>
      <w:pPr>
        <w:ind w:right="100" w:firstLine="324"/>
        <w:spacing w:after="0" w:line="308" w:lineRule="auto"/>
        <w:rPr>
          <w:sz w:val="20"/>
          <w:szCs w:val="20"/>
          <w:color w:val="auto"/>
        </w:rPr>
      </w:pPr>
      <w:r>
        <w:rPr>
          <w:rFonts w:ascii="Arial" w:cs="Arial" w:eastAsia="Arial" w:hAnsi="Arial"/>
          <w:sz w:val="17"/>
          <w:szCs w:val="17"/>
          <w:color w:val="auto"/>
        </w:rPr>
        <w:t>estimates. Key estimates included in the financial statements include the valuation of: deferred income tax assets, liability and equity instruments, stock-based compensation, acquired intangibles, contingent earn-out consideration, and allowances for accounts receivable and inventory.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2017 and December 31, 2016, the Company’s inventory was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660</w:t>
            </w:r>
          </w:p>
        </w:tc>
      </w:tr>
      <w:tr>
        <w:trPr>
          <w:trHeight w:val="27"/>
        </w:trPr>
        <w:tc>
          <w:tcPr>
            <w:tcW w:w="8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Inventory is stated at the lower of cost or market under the first-in, first-out (FIFO) method. The Company recorded a lower of cost or market write down to inventory of $19 thousand during the three months ended March 31,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There was no impairment of goodwill for the three months ended March 31, 2017. Such goodwill is not deductible for tax purposes and represents the value placed on entering new markets and expanding market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584" w:right="239" w:bottom="1440" w:gutter="0" w:footer="0" w:header="0"/>
        </w:sectPr>
      </w:pPr>
    </w:p>
    <w:bookmarkStart w:id="166" w:name="page167"/>
    <w:bookmarkEnd w:id="166"/>
    <w:p>
      <w:pPr>
        <w:ind w:right="60"/>
        <w:spacing w:after="0" w:line="255" w:lineRule="auto"/>
        <w:rPr>
          <w:sz w:val="20"/>
          <w:szCs w:val="20"/>
          <w:color w:val="auto"/>
        </w:rPr>
      </w:pPr>
      <w:r>
        <w:rPr>
          <w:rFonts w:ascii="Arial" w:cs="Arial" w:eastAsia="Arial" w:hAnsi="Arial"/>
          <w:sz w:val="18"/>
          <w:szCs w:val="18"/>
          <w:color w:val="auto"/>
        </w:rPr>
        <w:t>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Series B,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Due to certain provisions contained in the Series B Warrant agreement that provides for the Company potentially issuing an unlimited number of shares upon exercise, the Company had adopted a sequencing policy that reclassified contracts, with the exception of stock options, from equity to assets or liabilities for those with the latest inception date first. The Company had evaluated the issuance of securities as to reclassification as a liability under this sequencing policy through February 12, 2016, the date that the Series B Warrants expired.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2017-01 are allowed for transactions for which the acquisition date is before the effective date of the amendments, but only when the transactions have not been reported in the financial statements that have been issued. The Company early adopted ASU 2017-01 for the acquisition of Essentialis, Inc. (see Note 10).</w:t>
      </w:r>
    </w:p>
    <w:p>
      <w:pPr>
        <w:spacing w:after="0" w:line="113"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Besides the accounting pronouncement above, there have been no other new accounting pronouncements or changes to accounting pronouncements during the three months ended March 31, 2017 as compared to the recent accounting pronouncements described in the Company’s Annual Report on Form 10-K for the year ended December 31, 2016 that are of significance or potential significance to the Company.</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660" w:right="120" w:firstLine="432"/>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62" w:lineRule="exact"/>
        <w:rPr>
          <w:sz w:val="20"/>
          <w:szCs w:val="20"/>
          <w:color w:val="auto"/>
        </w:rPr>
      </w:pPr>
    </w:p>
    <w:p>
      <w:pPr>
        <w:ind w:left="660" w:firstLine="432"/>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347" w:lineRule="exact"/>
        <w:rPr>
          <w:sz w:val="20"/>
          <w:szCs w:val="20"/>
          <w:color w:val="auto"/>
        </w:rPr>
      </w:pPr>
    </w:p>
    <w:p>
      <w:pPr>
        <w:ind w:left="1300" w:hanging="333"/>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225" w:lineRule="exact"/>
        <w:rPr>
          <w:rFonts w:ascii="Arial" w:cs="Arial" w:eastAsia="Arial" w:hAnsi="Arial"/>
          <w:sz w:val="18"/>
          <w:szCs w:val="18"/>
          <w:color w:val="auto"/>
        </w:rPr>
      </w:pPr>
    </w:p>
    <w:p>
      <w:pPr>
        <w:ind w:left="1300" w:right="100" w:hanging="333"/>
        <w:spacing w:after="0" w:line="264"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81" w:lineRule="exact"/>
        <w:rPr>
          <w:rFonts w:ascii="Arial" w:cs="Arial" w:eastAsia="Arial" w:hAnsi="Arial"/>
          <w:sz w:val="18"/>
          <w:szCs w:val="18"/>
          <w:color w:val="auto"/>
        </w:rPr>
      </w:pPr>
    </w:p>
    <w:p>
      <w:pPr>
        <w:ind w:left="1300" w:hanging="333"/>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00" w:lineRule="exact"/>
        <w:rPr>
          <w:sz w:val="20"/>
          <w:szCs w:val="20"/>
          <w:color w:val="auto"/>
        </w:rPr>
      </w:pPr>
    </w:p>
    <w:p>
      <w:pPr>
        <w:spacing w:after="0" w:line="241" w:lineRule="exact"/>
        <w:rPr>
          <w:sz w:val="20"/>
          <w:szCs w:val="20"/>
          <w:color w:val="auto"/>
        </w:rPr>
      </w:pPr>
    </w:p>
    <w:p>
      <w:pPr>
        <w:ind w:left="660" w:right="160" w:firstLine="405"/>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692" w:right="239" w:bottom="1440" w:gutter="0" w:footer="0" w:header="0"/>
        </w:sectPr>
      </w:pPr>
    </w:p>
    <w:bookmarkStart w:id="167" w:name="page168"/>
    <w:bookmarkEnd w:id="167"/>
    <w:p>
      <w:pPr>
        <w:ind w:right="140" w:firstLine="405"/>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9"/>
          </w:tcPr>
          <w:p>
            <w:pPr>
              <w:jc w:val="right"/>
              <w:ind w:right="150"/>
              <w:spacing w:after="0"/>
              <w:rPr>
                <w:sz w:val="20"/>
                <w:szCs w:val="20"/>
                <w:color w:val="auto"/>
              </w:rPr>
            </w:pPr>
            <w:r>
              <w:rPr>
                <w:rFonts w:ascii="Arial" w:cs="Arial" w:eastAsia="Arial" w:hAnsi="Arial"/>
                <w:sz w:val="18"/>
                <w:szCs w:val="18"/>
                <w:color w:val="auto"/>
                <w:w w:val="90"/>
              </w:rPr>
              <w:t>Fair Value Measurements at March 31, 2017</w:t>
            </w:r>
          </w:p>
        </w:tc>
        <w:tc>
          <w:tcPr>
            <w:tcW w:w="106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Level 3</w:t>
            </w: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Series A warrant liability</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 liability</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97"/>
        </w:trPr>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311"/>
        </w:trPr>
        <w:tc>
          <w:tcPr>
            <w:tcW w:w="394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40" w:type="dxa"/>
            <w:vAlign w:val="bottom"/>
            <w:gridSpan w:val="10"/>
          </w:tcPr>
          <w:p>
            <w:pPr>
              <w:jc w:val="right"/>
              <w:ind w:right="10"/>
              <w:spacing w:after="0"/>
              <w:rPr>
                <w:sz w:val="20"/>
                <w:szCs w:val="20"/>
                <w:color w:val="auto"/>
              </w:rPr>
            </w:pPr>
            <w:r>
              <w:rPr>
                <w:rFonts w:ascii="Arial" w:cs="Arial" w:eastAsia="Arial" w:hAnsi="Arial"/>
                <w:sz w:val="18"/>
                <w:szCs w:val="18"/>
                <w:color w:val="auto"/>
                <w:w w:val="95"/>
              </w:rPr>
              <w:t>Fair Value Measurements at December 31, 2016</w:t>
            </w:r>
          </w:p>
        </w:tc>
        <w:tc>
          <w:tcPr>
            <w:tcW w:w="1060" w:type="dxa"/>
            <w:vAlign w:val="bottom"/>
          </w:tcPr>
          <w:p>
            <w:pPr>
              <w:spacing w:after="0"/>
              <w:rPr>
                <w:sz w:val="20"/>
                <w:szCs w:val="20"/>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Level 3</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warrant liability</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Series C warrant liability</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common stock warrant liability</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5). The Company’s estimated fair value of the Series C Warrant liability is calculated using the Black-Scholes valuation model. Key assumptions include the volatility of the Company’s stock, the expected warrant term, expected dividend yield and risk-free interest rates (see Note 5). The Level 3 estimates are based, in part, on subjective assumptions.</w:t>
      </w:r>
    </w:p>
    <w:p>
      <w:pPr>
        <w:spacing w:after="0" w:line="1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$165 thousand as of March 31, 2017.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79"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agreement to pay the commercial milestones in the Essentials acquisition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 fair value of the contingent consideration was determined by a 15.3% probability of achieving each milestone. Additionally, the Company made an assessment that the commercial milestones of $100 million and $200 million in applicable revenue could be reached in 2023 and 2025, respectively. These inputs are considered Level 3 inputs under the fair value measurements and disclosure guidance.</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January 13, 2016 we entered into an agreement to sublease our excess space located in Redwood City. By the end of February we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w:t>
      </w:r>
    </w:p>
    <w:p>
      <w:pPr>
        <w:spacing w:after="0" w:line="21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0720"/>
          </w:cols>
          <w:pgMar w:left="900" w:top="801" w:right="27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color w:val="auto"/>
        </w:rPr>
        <w:t>of capital of 20%. These inputs are considered Level 3 inputs under the fair value measurements and disclosure guidance.</w:t>
      </w:r>
    </w:p>
    <w:p>
      <w:pPr>
        <w:spacing w:after="0" w:line="225" w:lineRule="exact"/>
        <w:rPr>
          <w:sz w:val="20"/>
          <w:szCs w:val="20"/>
          <w:color w:val="auto"/>
        </w:rPr>
      </w:pPr>
    </w:p>
    <w:p>
      <w:pPr>
        <w:jc w:val="both"/>
        <w:ind w:left="660" w:right="320" w:firstLine="432"/>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March 31, 2017 and December 31, 2016, the Company had $10.3 million and $2.6 million in money market funds.</w:t>
      </w:r>
    </w:p>
    <w:p>
      <w:pPr>
        <w:spacing w:after="0" w:line="225" w:lineRule="exact"/>
        <w:rPr>
          <w:sz w:val="20"/>
          <w:szCs w:val="20"/>
          <w:color w:val="auto"/>
        </w:rPr>
      </w:pPr>
    </w:p>
    <w:p>
      <w:pPr>
        <w:ind w:left="660" w:right="60" w:firstLine="432"/>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560" w:type="dxa"/>
            <w:vAlign w:val="bottom"/>
            <w:gridSpan w:val="3"/>
          </w:tcPr>
          <w:p>
            <w:pPr>
              <w:jc w:val="right"/>
              <w:ind w:right="370"/>
              <w:spacing w:after="0"/>
              <w:rPr>
                <w:sz w:val="20"/>
                <w:szCs w:val="20"/>
                <w:color w:val="auto"/>
              </w:rPr>
            </w:pPr>
            <w:r>
              <w:rPr>
                <w:rFonts w:ascii="Arial" w:cs="Arial" w:eastAsia="Arial" w:hAnsi="Arial"/>
                <w:sz w:val="18"/>
                <w:szCs w:val="18"/>
                <w:color w:val="auto"/>
              </w:rPr>
              <w:t>Series A Warrant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0" w:type="dxa"/>
            <w:vAlign w:val="bottom"/>
            <w:gridSpan w:val="2"/>
          </w:tcPr>
          <w:p>
            <w:pPr>
              <w:jc w:val="right"/>
              <w:ind w:right="670"/>
              <w:spacing w:after="0"/>
              <w:rPr>
                <w:sz w:val="20"/>
                <w:szCs w:val="20"/>
                <w:color w:val="auto"/>
              </w:rPr>
            </w:pPr>
            <w:r>
              <w:rPr>
                <w:rFonts w:ascii="Arial" w:cs="Arial" w:eastAsia="Arial" w:hAnsi="Arial"/>
                <w:sz w:val="18"/>
                <w:szCs w:val="18"/>
                <w:color w:val="auto"/>
                <w:w w:val="88"/>
              </w:rPr>
              <w:t>Series C Warrant</w:t>
            </w:r>
          </w:p>
        </w:tc>
        <w:tc>
          <w:tcPr>
            <w:tcW w:w="66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Liability</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Liability</w:t>
            </w:r>
          </w:p>
        </w:tc>
        <w:tc>
          <w:tcPr>
            <w:tcW w:w="660" w:type="dxa"/>
            <w:vAlign w:val="bottom"/>
          </w:tcPr>
          <w:p>
            <w:pPr>
              <w:spacing w:after="0"/>
              <w:rPr>
                <w:sz w:val="20"/>
                <w:szCs w:val="20"/>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2,425,605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590,415</w:t>
            </w:r>
          </w:p>
        </w:tc>
        <w:tc>
          <w:tcPr>
            <w:tcW w:w="2000" w:type="dxa"/>
            <w:vAlign w:val="bottom"/>
            <w:tcBorders>
              <w:bottom w:val="single" w:sz="8" w:color="CCEEFF"/>
            </w:tcBorders>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Change in value of Series A Warrants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value of Series C Warrants</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2,425,605</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291</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590,415</w:t>
            </w:r>
          </w:p>
        </w:tc>
        <w:tc>
          <w:tcPr>
            <w:tcW w:w="12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ind w:right="16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3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Series A Warrants, Series B Warrants and Series C Warrants (the “Warrants”).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Company's cash or cash equivalents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classified the Warrants as liabilities at their fair value and will re-measure the warrants at each balance sheet date until they are exercised or expire. Any change in the fair value is recognized as other income (expense) in the Company’s statement of operations.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380"/>
          </w:cols>
          <w:pgMar w:left="240" w:top="801" w:right="279" w:bottom="1440" w:gutter="0" w:footer="0" w:header="0"/>
        </w:sectPr>
      </w:pPr>
    </w:p>
    <w:bookmarkStart w:id="169" w:name="page170"/>
    <w:bookmarkEnd w:id="169"/>
    <w:p>
      <w:pPr>
        <w:ind w:left="340"/>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issued 2,449,605 Series A Warrants to purchase shares of its Common Stock at an exercise price of $6.50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CAPNW.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Since their issuance, a total of 24,000 Series A Warrants have been exercised. As of March 31, 2017, the fair value of the 2,425,605 outstanding Series A Warrants was approximately $291 thousand, and the increase of $97 thousand in fair value during the three months ended March 31, 2017 was recorded as other expense in the statement of operations. As of March 31, 2016, the fair value of the outstanding Series A warrants was approximately $558 thousand, and the decrease of $655 thousand in fair value during the three months ended March 31, 2016 was recorded as other income in the statement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 issued 2,449,605 Series B Warrants to purchase shares of its Common Stock at an exercise price of $6.50 per share in connection with the IPO.</w:t>
      </w:r>
    </w:p>
    <w:p>
      <w:pPr>
        <w:spacing w:after="0" w:line="170"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Between January 1, 2016 and the expiration date of the Series B Warrants of February 12, 2016, certain holders of Series B warrants cashless exercised a total of 102,300 Series B Warrants resulting in the issuance of 485,202 shares of Common Stock and the derecognition of approximately $593 thousand in Series B Warrant liability. The remaining Series B Warrant liability was reduced to zero upon expiration resulting in the recording of $272 thousand in other income in the statement of operations. The remaining Series B Warrants expired unexercised on February 12,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589,510 shares of the Company’s Common Stock at an exercise price of $6.50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$6.25 per share and will expire on March 5, 2020.</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$6.25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905 shares of the Company's Common Stock, the issuance of 905 Series C Warrants and proceeds to the Company of $5,882.</w:t>
      </w:r>
    </w:p>
    <w:p>
      <w:pPr>
        <w:spacing w:after="0" w:line="15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Series C Warrants are exercisable into 590,415 shares of the Company’s Common Stock. As of March 31, 2017, the fair value of the Series C Warrants was determined to be $57 thousand. The decline in the fair value of the Series C Warrants of $28 thousand in the three months ended March 31, 2017 was recorded as other income in the consolidated statement of operations. As of March 31, 2016, the fair value of the Series C Warrants was determined to be $219 thousand. The decline in the fair value of the warrants of $244 thousand in the three months ended March 31, 2016 was recorded as other income in the consolidated statement of</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800" w:right="239" w:bottom="1440" w:gutter="0" w:footer="0" w:header="0"/>
        </w:sectPr>
      </w:pPr>
    </w:p>
    <w:bookmarkStart w:id="170" w:name="page171"/>
    <w:bookmarkEnd w:id="170"/>
    <w:p>
      <w:pPr>
        <w:ind w:right="100" w:firstLine="432"/>
        <w:spacing w:after="0" w:line="340"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requires the input of highly subjective assumptions including the expected stock price volatility. The Company used the following inputs: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2017</w:t>
            </w: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3.17</w:t>
            </w:r>
          </w:p>
        </w:tc>
      </w:tr>
      <w:tr>
        <w:trPr>
          <w:trHeight w:val="27"/>
        </w:trPr>
        <w:tc>
          <w:tcPr>
            <w:tcW w:w="8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Common Stock Purchase Agreement</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2017 Aspire Purchase Agreement. The Company issued Aspire Capital 708,333 shares of Common Stock as commitment shares under the 2017 Aspire Purchase Agreement. Further, on March 7, 2017, the closing of the financing, as described in the Agreement and Plan of Merger dated December 22, 2016 (the "Merger Agreement"), the Company sold to Aspire Capital, and Aspire Capital purchased from the Company, 2,083,333 of the Company's common stock at $0.96 per share for an aggregate of $2.0 million.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signed an amendment to its lease agreement, extending the lease through June 2018. The amendment provides for monthly lease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beginning in June 2015, with increases in the following two years. The Company subleased this facility in January 2016 and ceased use of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March 2016 (See Note 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also leases approximately 2,100 square feet of office space for its operations in Ivyland, Pennsylvania under a month-to-month lease.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was $135 thousand and $184 thousand during the three months ended March 31, 2017 and 2016,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was recognized at the closing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$165 thousand at March 31, 2017. The long-term portion of the royalty obligation, $60 thousand, is classified as part of other long-term liabilities while the remaining current portion is included in accrued compensation and other current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828" w:right="239" w:bottom="1440" w:gutter="0" w:footer="0" w:header="0"/>
        </w:sectPr>
      </w:pPr>
    </w:p>
    <w:bookmarkStart w:id="171" w:name="page172"/>
    <w:bookmarkEnd w:id="171"/>
    <w:p>
      <w:pPr>
        <w:ind w:right="100" w:firstLine="432"/>
        <w:spacing w:after="0" w:line="272" w:lineRule="auto"/>
        <w:rPr>
          <w:sz w:val="20"/>
          <w:szCs w:val="20"/>
          <w:color w:val="auto"/>
        </w:rPr>
      </w:pPr>
      <w:r>
        <w:rPr>
          <w:rFonts w:ascii="Arial" w:cs="Arial" w:eastAsia="Arial" w:hAnsi="Arial"/>
          <w:sz w:val="17"/>
          <w:szCs w:val="17"/>
          <w:color w:val="auto"/>
        </w:rPr>
        <w:t>In connection with the merger with Essentialis, the Company agreed to pay Essentialis stockholders earnout payments up to a maximum of $30 million upon the achievement of certain commercial milestones associated with the sale of Essentialis’ product. The agreement to pay the commercial milestones resulted in the recognition of a contingent consideration, which was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 entire $1.1 million was classified as a long-term liability.</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$2.46 to $1.75 per share on the effective date of the 2016 Sabby Purchase Agreement.</w:t>
      </w:r>
    </w:p>
    <w:p>
      <w:pPr>
        <w:spacing w:after="0" w:line="2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three months ended March 31, 2017, Sabby converted 601 Series B Convertible Preferred stock into 601,000 shares of Common Stock. As of March 31, 2017, there were 12,179 Series B Convertible Preferred Stock outstanding.</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w:t>
      </w:r>
    </w:p>
    <w:p>
      <w:pPr>
        <w:spacing w:after="0" w:line="7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Company also issued 8,333,333 shares of common stock at $0.96 per share for an investment of $8 million from the completion of the concurrent financing and issued 2,083,333 shares of common stock at $0.96 per share for an investment of $2 million from Aspire Capital.</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5 years for ISOs for which the grantee owns greater than 10% of the voting power of all classes of stock and no longer than ten years for all other options.</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granted to employees for the three months ended March 31, 2017 and 2016 of $185 thousand and $136 thousand, respectively. The compensation expense is allocated on a departmental basis, based on the classification of the option holder. No income tax benefits have been recognized in the statements of operations for stock-based compensation arrangements as of March 31, 2017 and March 31, 2016.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800" w:right="239" w:bottom="1440" w:gutter="0" w:footer="0" w:header="0"/>
        </w:sectPr>
      </w:pPr>
    </w:p>
    <w:bookmarkStart w:id="172" w:name="page173"/>
    <w:bookmarkEnd w:id="172"/>
    <w:p>
      <w:pPr>
        <w:ind w:left="440"/>
        <w:spacing w:after="0"/>
        <w:rPr>
          <w:sz w:val="20"/>
          <w:szCs w:val="20"/>
          <w:color w:val="auto"/>
        </w:rPr>
      </w:pPr>
      <w:r>
        <w:rPr>
          <w:rFonts w:ascii="Arial" w:cs="Arial" w:eastAsia="Arial" w:hAnsi="Arial"/>
          <w:sz w:val="18"/>
          <w:szCs w:val="18"/>
          <w:color w:val="auto"/>
        </w:rPr>
        <w:t>Stock compensation expense (in thousands) was allocated between departments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9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0" w:firstLine="432"/>
        <w:spacing w:after="0" w:line="318" w:lineRule="auto"/>
        <w:rPr>
          <w:sz w:val="20"/>
          <w:szCs w:val="20"/>
          <w:color w:val="auto"/>
        </w:rPr>
      </w:pPr>
      <w:r>
        <w:rPr>
          <w:rFonts w:ascii="Arial" w:cs="Arial" w:eastAsia="Arial" w:hAnsi="Arial"/>
          <w:sz w:val="18"/>
          <w:szCs w:val="18"/>
          <w:color w:val="auto"/>
        </w:rPr>
        <w:t>The Company granted options to purchase 60,000 of the Company’s common stock in the three months ended March 31, 2017. The fair value of each award granted was estimated on the date of grant using the Black-Scholes option pricing model with the following assumptions for the three months ended March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276"/>
        </w:trPr>
        <w:tc>
          <w:tcPr>
            <w:tcW w:w="926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21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10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ind w:left="20"/>
              <w:spacing w:after="0"/>
              <w:rPr>
                <w:sz w:val="20"/>
                <w:szCs w:val="20"/>
                <w:color w:val="auto"/>
              </w:rPr>
            </w:pPr>
            <w:r>
              <w:rPr>
                <w:rFonts w:ascii="Arial" w:cs="Arial" w:eastAsia="Arial" w:hAnsi="Arial"/>
                <w:sz w:val="18"/>
                <w:szCs w:val="18"/>
                <w:color w:val="auto"/>
              </w:rPr>
              <w:t>- 1.7%</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1300" w:right="56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116"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801" w:right="239" w:bottom="1440" w:gutter="0" w:footer="0" w:header="0"/>
        </w:sectPr>
      </w:pPr>
    </w:p>
    <w:bookmarkStart w:id="173" w:name="page174"/>
    <w:bookmarkEnd w:id="173"/>
    <w:p>
      <w:pPr>
        <w:ind w:left="440"/>
        <w:spacing w:after="0"/>
        <w:rPr>
          <w:sz w:val="20"/>
          <w:szCs w:val="20"/>
          <w:color w:val="auto"/>
        </w:rPr>
      </w:pPr>
      <w:r>
        <w:rPr>
          <w:rFonts w:ascii="Arial" w:cs="Arial" w:eastAsia="Arial" w:hAnsi="Arial"/>
          <w:sz w:val="18"/>
          <w:szCs w:val="18"/>
          <w:color w:val="auto"/>
        </w:rPr>
        <w:t>The following table summarizes stock option transactions for the three months ended March 31, 2017 as issued under the Plans:</w:t>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4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Weighted-Average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52"/>
        </w:trPr>
        <w:tc>
          <w:tcPr>
            <w:tcW w:w="40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 Available</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Number of Options</w:t>
            </w:r>
          </w:p>
        </w:tc>
        <w:tc>
          <w:tcPr>
            <w:tcW w:w="18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Exercise Price per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4040" w:type="dxa"/>
            <w:vAlign w:val="bottom"/>
          </w:tcPr>
          <w:p>
            <w:pPr>
              <w:spacing w:after="0"/>
              <w:rPr>
                <w:sz w:val="20"/>
                <w:szCs w:val="20"/>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for Grant</w:t>
            </w: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351"/>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958,856</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2,908,430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671,478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Amendment to plan to authorize additional shares</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8,929,188</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0.65</w:t>
            </w: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Options canceled/forfeited</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33,583</w:t>
            </w:r>
          </w:p>
        </w:tc>
        <w:tc>
          <w:tcPr>
            <w:tcW w:w="1720" w:type="dxa"/>
            <w:vAlign w:val="bottom"/>
          </w:tcPr>
          <w:p>
            <w:pPr>
              <w:jc w:val="right"/>
              <w:spacing w:after="0"/>
              <w:rPr>
                <w:sz w:val="20"/>
                <w:szCs w:val="20"/>
                <w:color w:val="auto"/>
              </w:rPr>
            </w:pPr>
            <w:r>
              <w:rPr>
                <w:rFonts w:ascii="Arial" w:cs="Arial" w:eastAsia="Arial" w:hAnsi="Arial"/>
                <w:sz w:val="18"/>
                <w:szCs w:val="18"/>
                <w:color w:val="auto"/>
              </w:rPr>
              <w:t>(33,583)</w:t>
            </w:r>
          </w:p>
        </w:tc>
        <w:tc>
          <w:tcPr>
            <w:tcW w:w="1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1680" w:type="dxa"/>
            <w:vAlign w:val="bottom"/>
          </w:tcPr>
          <w:p>
            <w:pPr>
              <w:spacing w:after="0"/>
              <w:rPr>
                <w:sz w:val="21"/>
                <w:szCs w:val="2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10,533,105</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2,934,847</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324"/>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at March 31, 2017</w:t>
            </w:r>
          </w:p>
        </w:tc>
        <w:tc>
          <w:tcPr>
            <w:tcW w:w="17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1,593,754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4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1"/>
        </w:trPr>
        <w:tc>
          <w:tcPr>
            <w:tcW w:w="4040" w:type="dxa"/>
            <w:vAlign w:val="bottom"/>
          </w:tcPr>
          <w:p>
            <w:pPr>
              <w:ind w:left="40"/>
              <w:spacing w:after="0"/>
              <w:rPr>
                <w:sz w:val="20"/>
                <w:szCs w:val="20"/>
                <w:color w:val="auto"/>
              </w:rPr>
            </w:pPr>
            <w:r>
              <w:rPr>
                <w:rFonts w:ascii="Arial" w:cs="Arial" w:eastAsia="Arial" w:hAnsi="Arial"/>
                <w:sz w:val="18"/>
                <w:szCs w:val="18"/>
                <w:color w:val="auto"/>
                <w:w w:val="90"/>
              </w:rPr>
              <w:t>Options vested and expected to vest at March 31, 2017</w:t>
            </w:r>
          </w:p>
        </w:tc>
        <w:tc>
          <w:tcPr>
            <w:tcW w:w="17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2,934,847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4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$0.81 and $0.38 per share for the year ended March 31, 2017 and March 31, 2016, respectively. At March 31, 2017 total unrecognized employee stock-based compensation was $1.4 million, which is expected to be recognized over the weighted-average remaining vesting period of 2.3 years. As of March 31, 2017, the outstanding stock options had an intrinsic value of zero</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139,839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76" w:lineRule="exact"/>
        <w:rPr>
          <w:sz w:val="20"/>
          <w:szCs w:val="20"/>
          <w:color w:val="auto"/>
        </w:rPr>
      </w:pPr>
    </w:p>
    <w:p>
      <w:pPr>
        <w:ind w:left="640" w:hanging="321"/>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279,680 shares; or</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there were no purchases by employees under this plan.</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As part of the 2015 Sabby Purchase Agreement, the Company previously issued 2,810,812 Series D Warrants, with an exercise price of $2.46. The exercise price of 2,702,704 Series D Warrants issued to Sabby were subsequently amended to $1.75 per share and a term of five years expiring on October 15, 2020 pursuant to the 2016 Sabby Purchase Agreement. The exercise price of the remaining 108,108 Series D Warrants issued to Maxim LLC, as placement agent, was $2.46, and are exercisable beginning on April 15, 2016 and through and including October 15, 2020. The Company’s Series D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801" w:right="239" w:bottom="1440" w:gutter="0" w:footer="0" w:header="0"/>
        </w:sectPr>
      </w:pPr>
    </w:p>
    <w:bookmarkStart w:id="174" w:name="page175"/>
    <w:bookmarkEnd w:id="174"/>
    <w:p>
      <w:pPr>
        <w:ind w:right="40"/>
        <w:spacing w:after="0" w:line="270" w:lineRule="auto"/>
        <w:rPr>
          <w:sz w:val="20"/>
          <w:szCs w:val="20"/>
          <w:color w:val="auto"/>
        </w:rPr>
      </w:pPr>
      <w:r>
        <w:rPr>
          <w:rFonts w:ascii="Arial" w:cs="Arial" w:eastAsia="Arial" w:hAnsi="Arial"/>
          <w:sz w:val="17"/>
          <w:szCs w:val="17"/>
          <w:color w:val="auto"/>
        </w:rPr>
        <w:t>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therein. The Company evaluated the registration payment arrangement stipulated in the terms of the 2015 Sabby Purchase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part of the 2016 Sabby Purchase Agreement, the Company issued to Maxim LLC, as its placement agent, 120,000 Series D Warrants, with an exercise price of $1.75 and a term of five years expiring in July and September of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March 31, 2017, the Company had 510,350 Common Stock warrants outstanding originally issued in conjunction with the 2010/2012 convertible notes, with an exercise price of $4.87 and a term of 10 years expiring in November 2024. The Company also has outstanding 9,259 Common Stock warrants issued in 2009, with an exercise price of $21.60 and a term of 10 years, expiring in January 2019 and 82,500 Common Stock warrants issued to the underwriter in our IPO, with an exercise price of 7.14 and a term of 10 years, expiring in November 2024.</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including contingent shares to be issued to Essentialis stockholders of 913,379 shares of common stock to be issued on the 1 year anniversary of the closing of the merger and 4,566,948 shares of common stock to be issued upon the achievement of a development milestone. Diluted net loss per share is computed by dividing net loss by the weighted-average number of Common Stock outstanding and dilutive potential Common Stock that would be issued upon the exercise of Common Stock warrants and options. For the three months ended March 31, 2017 and 2016 the effect of issuing the potential Common Stock is anti-dilutive due to the net losses in those periods and the number of shares used to compute basic and diluted earnings per share are the same in each of those periods.</w:t>
      </w:r>
    </w:p>
    <w:p>
      <w:pPr>
        <w:spacing w:after="0" w:line="18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Convertible preferred stock</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Convertible preferred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12,179,000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2,934,857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2,297,639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82,500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2,425,605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2,425,605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590,415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2,930,812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2,810,812</w:t>
            </w:r>
          </w:p>
        </w:tc>
      </w:tr>
      <w:tr>
        <w:trPr>
          <w:trHeight w:val="459"/>
        </w:trPr>
        <w:tc>
          <w:tcPr>
            <w:tcW w:w="8340" w:type="dxa"/>
            <w:vAlign w:val="bottom"/>
          </w:tcPr>
          <w:p>
            <w:pPr>
              <w:ind w:left="5500"/>
              <w:spacing w:after="0"/>
              <w:rPr>
                <w:sz w:val="20"/>
                <w:szCs w:val="20"/>
                <w:color w:val="auto"/>
              </w:rPr>
            </w:pPr>
            <w:r>
              <w:rPr>
                <w:rFonts w:ascii="Arial" w:cs="Arial" w:eastAsia="Arial" w:hAnsi="Arial"/>
                <w:sz w:val="18"/>
                <w:szCs w:val="18"/>
                <w:color w:val="auto"/>
              </w:rPr>
              <w:t>F - 43</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175" w:name="page176"/>
    <w:bookmarkEnd w:id="175"/>
    <w:p>
      <w:pPr>
        <w:ind w:left="340"/>
        <w:spacing w:after="0"/>
        <w:rPr>
          <w:sz w:val="20"/>
          <w:szCs w:val="20"/>
          <w:color w:val="auto"/>
        </w:rPr>
      </w:pPr>
      <w:r>
        <w:rPr>
          <w:rFonts w:ascii="Arial" w:cs="Arial" w:eastAsia="Arial" w:hAnsi="Arial"/>
          <w:sz w:val="18"/>
          <w:szCs w:val="18"/>
          <w:b w:val="1"/>
          <w:bCs w:val="1"/>
          <w:color w:val="auto"/>
        </w:rPr>
        <w:t>Note 10. Essentialis, Inc. Acquisition</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Essentialis,with Essentialis surviving the merger as a wholly owned subsidiary of the Company.</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consideration, 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9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Since the acquisition was determined to be an asset acquisition, the total value of the purchase consideration will be allocated to the asset acquired. The value of the shares issued on the completion of the merger and the shares to be issue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Capnia’s shares are actively traded and provide a reliable indication of value. On March 7, 2017, the date of the transaction close, the Company's stock was trading at $0.77 per common share. Additionally, the average closing price of the stock in the 30 calendar days leading up to the close was also approximately $0.77. Accordingly, the identifiable intangible assets acquired are recorded at fair value based on this stock price.</w:t>
      </w:r>
    </w:p>
    <w:p>
      <w:pPr>
        <w:spacing w:after="0" w:line="16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agreement to pay the commercial milestones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15.3% probability of achieving each milestone was determined to be reasonable. Additionally, the Company anticipates that it could reach the commercial milestones of $100 million and $200 million in applicable revenue in 2023 and 2025, respectively.</w:t>
      </w:r>
    </w:p>
    <w:p>
      <w:pPr>
        <w:spacing w:after="0" w:line="167"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probability weighted milestone payments were discounted to determine the present value of future payments. The analysis utilized the weighted average cost of capital (WACC) discount rate. The WACC used for the first and second milestones were 30% and 21%,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stock consideration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18,785,926</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fair value of the asset acquired is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19,876,051</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an asset acquisition, the Company also capitalized $573 thousand of total costs of acquiring the assets. These included legal fees of $469 thousand, printing fees of $75 thousand and accounting and other fees of $29 thousand. The total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905"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intangible asset of $20.4 million was recorded on the balance sheet and amortized over the life of the patents through June 30, 2028.</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following table presents the unaudited pro forma results of Capnia, Inc. (including the operations of Essentialis) for the three months ended March 31, 2016 and March 31, 2017 (in thousands, except per share amounts). The unaudited pro forma financial information combines the results of operations of Capnia and Essentialis as though the companies had been combined as of the beginning of each of the fiscal periods presented. The unaudited pro forma financial information is presented for informational purposes only and is not indicative of the results of operations that would have been achieved if the acquisition had taken place at the beginning of fiscal 2016 or 2017.</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w:t>
            </w:r>
          </w:p>
        </w:tc>
      </w:tr>
      <w:tr>
        <w:trPr>
          <w:trHeight w:val="276"/>
        </w:trPr>
        <w:tc>
          <w:tcPr>
            <w:tcW w:w="8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Proforma weighted-average shares - basic and diluted</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44,841,090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38,759,486</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jc w:val="both"/>
        <w:ind w:right="360" w:firstLine="567"/>
        <w:spacing w:after="0" w:line="264" w:lineRule="auto"/>
        <w:rPr>
          <w:sz w:val="20"/>
          <w:szCs w:val="20"/>
          <w:color w:val="auto"/>
        </w:rPr>
      </w:pPr>
      <w:r>
        <w:rPr>
          <w:rFonts w:ascii="Arial" w:cs="Arial" w:eastAsia="Arial" w:hAnsi="Arial"/>
          <w:sz w:val="18"/>
          <w:szCs w:val="18"/>
          <w:color w:val="auto"/>
        </w:rPr>
        <w:t>The Compensation Committee of the Board of Directors of the Company recommended and the Board approved a new compensation plan for the payment of quarterly Board fees. Starting in the first quarter of 2017, all board fees will be paid in Common Stock of the Company. In the first quarter of 2017, the Company issued 49,988 shares of Common Stock to its Board members.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Shareholder Lawsuit</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the plaintiff’s agreement to voluntarily dismiss plaintiff's claims in the Lawsuit. The Company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260" w:firstLine="324"/>
        <w:spacing w:after="0" w:line="271" w:lineRule="auto"/>
        <w:rPr>
          <w:sz w:val="20"/>
          <w:szCs w:val="20"/>
          <w:color w:val="auto"/>
        </w:rPr>
      </w:pPr>
      <w:r>
        <w:rPr>
          <w:rFonts w:ascii="Arial" w:cs="Arial" w:eastAsia="Arial" w:hAnsi="Arial"/>
          <w:sz w:val="17"/>
          <w:szCs w:val="17"/>
          <w:color w:val="auto"/>
        </w:rPr>
        <w:t>On October 24, 2016, the Company received a letter from the Listing Qualifications Department of the Nasdaq Stock Market (“Nasdaq”) indicating that, based upon the closing bid price of the Company’s common stock for the last 30 consecutive business days, the Company did not meet the minimum bid price of $1.00 per share required for continued listing on Nasdaq pursuant to Nasdaq Listing Rule 5550(a)(2). The letter also indicated that the Company will be provided with a compliance period of 180 calendar days, or until April 24, 2017, in which to regain compliance pursuant to Nasdaq Listing Rule 5810(c)(3)(A). The letter further provided that if, at any time during the 180-day period, the closing bid price of the Company’s common stock is at least $1.00 for a minimum of ten consecutive business days, Nasdaq will provide the Company with written confirmation that it has achieved compliance with the minimum bid price requirement.</w:t>
      </w:r>
    </w:p>
    <w:p>
      <w:pPr>
        <w:spacing w:after="0" w:line="1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On April 24, 2017, the Company received a letter from Nasdaq indicating that the Company was eligible for an additional 180-day period, or until October 23, 2017, to regain compliance.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584" w:right="239" w:bottom="1440" w:gutter="0" w:footer="0" w:header="0"/>
        </w:sectPr>
      </w:pPr>
    </w:p>
    <w:bookmarkStart w:id="177" w:name="page178"/>
    <w:bookmarkEnd w:id="177"/>
    <w:p>
      <w:pPr>
        <w:ind w:right="40" w:firstLine="486"/>
        <w:spacing w:after="0" w:line="257" w:lineRule="auto"/>
        <w:rPr>
          <w:sz w:val="20"/>
          <w:szCs w:val="20"/>
          <w:color w:val="auto"/>
        </w:rPr>
      </w:pPr>
      <w:r>
        <w:rPr>
          <w:rFonts w:ascii="Arial" w:cs="Arial" w:eastAsia="Arial" w:hAnsi="Arial"/>
          <w:sz w:val="18"/>
          <w:szCs w:val="18"/>
          <w:color w:val="auto"/>
        </w:rPr>
        <w:t>On May 8, 2017, the Company received stockholder approval for a reverse stock split of the Company's common stock at a ratio between one-for-two (1:2) and one-for-ten (1:10), or the Reverse Split, to be determined by the Company's Board of Directors and to be effected at the sole discretion of the Board at any time time within six months, pursuant to the proxy statement filed with the SEC on March 29, 2017. If the Board implements the stock split within the next 6 months, the Company expects that the market price of the common stock will be in excess of the $1.00 minimum closing bid price as required by the Nasdaq Marketplace Rules.</w:t>
      </w:r>
    </w:p>
    <w:p>
      <w:pPr>
        <w:spacing w:after="0" w:line="18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On May 8, 2017, the Company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July 18, 2017, the Company completed the sale of stock of its 100% wholly-owned subsidiary, NFI, primarily related to the Company’s portfolio of neonatology resuscitation business pursuant to a Stock Purchase Agreement (the “Purchase Agreement”), dated as of July 18, 2017, with NeoForce Holdings, Inc.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Purchase Agreement are a continuation of a process previously disclosed by the Company of evaluating strategic alternatives and focusing on the Company’s rare disease therapeutic business. The Purchase Agreement includes customary terms and conditions, including an adjustment to the purchase price based on inventory and accounts receivables, and provisions that require the Company to indemnify Holdings for certain losses that it incurs as a result of a breach by the Company of its representations and warranties in the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Purchase Agreement contains customary representations and warranties of each of the parties.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380"/>
          </w:cols>
          <w:pgMar w:left="240" w:top="585" w:right="27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color w:val="auto"/>
        </w:rPr>
        <w:t>F - 47</w:t>
      </w:r>
    </w:p>
    <w:p>
      <w:pPr>
        <w:sectPr>
          <w:pgSz w:w="11900" w:h="16838" w:orient="portrait"/>
          <w:cols w:equalWidth="0" w:num="1">
            <w:col w:w="9019"/>
          </w:cols>
          <w:pgMar w:left="1440" w:top="841" w:right="1440" w:bottom="1440" w:gutter="0" w:footer="0" w:header="0"/>
        </w:sectPr>
      </w:pPr>
    </w:p>
    <w:bookmarkStart w:id="179" w:name="page180"/>
    <w:bookmarkEnd w:id="179"/>
    <w:p>
      <w:pPr>
        <w:ind w:left="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363220</wp:posOffset>
            </wp:positionH>
            <wp:positionV relativeFrom="page">
              <wp:posOffset>517525</wp:posOffset>
            </wp:positionV>
            <wp:extent cx="51435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14350" cy="257175"/>
                    </a:xfrm>
                    <a:prstGeom prst="rect">
                      <a:avLst/>
                    </a:prstGeom>
                    <a:noFill/>
                  </pic:spPr>
                </pic:pic>
              </a:graphicData>
            </a:graphic>
          </wp:anchor>
        </w:drawing>
        <w:t>Accountants and</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business advisers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and Stockholders of</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Essentialis, Inc.</w:t>
      </w:r>
    </w:p>
    <w:p>
      <w:pPr>
        <w:spacing w:after="0" w:line="3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audited the accompanying financial statements of Essentialis, Inc. (a Delaware corporation) (the “Company”), which comprise the balance sheets as of December 31, 2016 and 2015, and the related statements of operations, changes in stockholders’ deficit, and cash flows for the years then ended, and the related notes to the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Auditor’s Responsibility</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Essentialis, Inc. as of December 31, 2016 and 2015, and the results of its operations and its cash flows for the years then ended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PKF, LLP | 2020 Camino del Rio North, San Diego, CA 92108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Telephone: (619) 238.1040 | Fax: (619) 237.5177 | Website: www.pkfcalifornia.com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PKF, LLP is a member of the PKF International Limited and Allinial Global, networks of legally independent member firms and does not accept any responsibility or liability for the actions or inactions on the part of any other individual member firm or</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firms.</w:t>
      </w:r>
    </w:p>
    <w:p>
      <w:pPr>
        <w:sectPr>
          <w:pgSz w:w="11900" w:h="16838" w:orient="portrait"/>
          <w:cols w:equalWidth="0" w:num="1">
            <w:col w:w="11420"/>
          </w:cols>
          <w:pgMar w:left="240" w:top="1255"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255" w:right="239" w:bottom="1440" w:gutter="0" w:footer="0" w:header="0"/>
          <w:type w:val="continuous"/>
        </w:sectPr>
      </w:pPr>
    </w:p>
    <w:bookmarkStart w:id="180" w:name="page181"/>
    <w:bookmarkEnd w:id="180"/>
    <w:p>
      <w:pPr>
        <w:ind w:left="340"/>
        <w:spacing w:after="0"/>
        <w:rPr>
          <w:sz w:val="20"/>
          <w:szCs w:val="20"/>
          <w:color w:val="auto"/>
        </w:rPr>
      </w:pPr>
      <w:r>
        <w:rPr>
          <w:rFonts w:ascii="Arial" w:cs="Arial" w:eastAsia="Arial" w:hAnsi="Arial"/>
          <w:sz w:val="18"/>
          <w:szCs w:val="18"/>
          <w:b w:val="1"/>
          <w:bCs w:val="1"/>
          <w:color w:val="auto"/>
        </w:rPr>
        <w:t>Uncertainty Regarding Going Concern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during the years ended December 31, 2016 and 2015, the Company incurred net losses of approximately $1,222,000 and $977,000, respectively. Future working capital requirements are dependent on the Company's ability to achieve and maintain profitable operations, and to continue its present short-term financing or obtain alternative financing as required. It is not possible to predict the outcome of future operations or whether the necessary alternative financing may be arranged, if needed. Those conditions raise substantial doubt about the Company's ability to continue as a going concern. The financial statements do not include any adjustments that might result from the outcome of this uncertainty. Our opinion is not modified with respect to that matter.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Subsequent Event</w:t>
      </w:r>
    </w:p>
    <w:p>
      <w:pPr>
        <w:spacing w:after="0" w:line="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discussed in Note 10 to the financial statements, on March 7, 2017, the Company completed a merger with Soleno Therapeutics, Inc., a Delaware corporation. Our opinion is not modified with respect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511175</wp:posOffset>
            </wp:positionV>
            <wp:extent cx="94361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24892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March 27, 2017</w:t>
      </w:r>
    </w:p>
    <w:p>
      <w:pPr>
        <w:ind w:left="520"/>
        <w:spacing w:after="0"/>
        <w:rPr>
          <w:sz w:val="20"/>
          <w:szCs w:val="20"/>
          <w:color w:val="auto"/>
        </w:rPr>
      </w:pPr>
      <w:r>
        <w:rPr>
          <w:rFonts w:ascii="Arial" w:cs="Arial" w:eastAsia="Arial" w:hAnsi="Arial"/>
          <w:sz w:val="17"/>
          <w:szCs w:val="17"/>
          <w:color w:val="auto"/>
        </w:rPr>
        <w:t>San Diego,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PKF, LLP</w:t>
      </w:r>
    </w:p>
    <w:p>
      <w:pPr>
        <w:spacing w:after="0" w:line="234" w:lineRule="auto"/>
        <w:rPr>
          <w:sz w:val="20"/>
          <w:szCs w:val="20"/>
          <w:color w:val="auto"/>
        </w:rPr>
      </w:pPr>
      <w:r>
        <w:rPr>
          <w:rFonts w:ascii="Arial" w:cs="Arial" w:eastAsia="Arial" w:hAnsi="Arial"/>
          <w:sz w:val="18"/>
          <w:szCs w:val="18"/>
          <w:color w:val="auto"/>
        </w:rPr>
        <w:t>(formerly, PKF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200" w:lineRule="exact"/>
        <w:rPr>
          <w:sz w:val="20"/>
          <w:szCs w:val="20"/>
          <w:color w:val="auto"/>
        </w:rPr>
      </w:pPr>
    </w:p>
    <w:p>
      <w:pPr>
        <w:sectPr>
          <w:pgSz w:w="11900" w:h="16838" w:orient="portrait"/>
          <w:cols w:equalWidth="0" w:num="2">
            <w:col w:w="7320" w:space="720"/>
            <w:col w:w="3380"/>
          </w:cols>
          <w:pgMar w:left="240" w:top="684"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- 49</w:t>
      </w:r>
    </w:p>
    <w:p>
      <w:pPr>
        <w:sectPr>
          <w:pgSz w:w="11900" w:h="16838" w:orient="portrait"/>
          <w:cols w:equalWidth="0" w:num="1">
            <w:col w:w="11420"/>
          </w:cols>
          <w:pgMar w:left="240" w:top="684" w:right="239" w:bottom="144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ESSENTIALIS, INC.</w:t>
      </w:r>
    </w:p>
    <w:p>
      <w:pPr>
        <w:spacing w:after="0" w:line="39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5"/>
              </w:rPr>
              <w:t>Balance Sheets</w:t>
            </w: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2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December 31, 2016</w:t>
            </w:r>
          </w:p>
        </w:tc>
        <w:tc>
          <w:tcPr>
            <w:tcW w:w="1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2015</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871"/>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ASSETS</w:t>
            </w:r>
          </w:p>
        </w:tc>
        <w:tc>
          <w:tcPr>
            <w:tcW w:w="70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8"/>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Cash</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74,701</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595"/>
        </w:trPr>
        <w:tc>
          <w:tcPr>
            <w:tcW w:w="3280" w:type="dxa"/>
            <w:vAlign w:val="bottom"/>
            <w:gridSpan w:val="2"/>
          </w:tcPr>
          <w:p>
            <w:pPr>
              <w:ind w:left="2140"/>
              <w:spacing w:after="0"/>
              <w:rPr>
                <w:sz w:val="20"/>
                <w:szCs w:val="20"/>
                <w:color w:val="auto"/>
              </w:rPr>
            </w:pPr>
            <w:r>
              <w:rPr>
                <w:rFonts w:ascii="Arial" w:cs="Arial" w:eastAsia="Arial" w:hAnsi="Arial"/>
                <w:sz w:val="18"/>
                <w:szCs w:val="18"/>
                <w:color w:val="auto"/>
              </w:rPr>
              <w:t>Total assets</w:t>
            </w:r>
          </w:p>
        </w:tc>
        <w:tc>
          <w:tcPr>
            <w:tcW w:w="1800" w:type="dxa"/>
            <w:vAlign w:val="bottom"/>
            <w:gridSpan w:val="3"/>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74,701</w:t>
            </w:r>
          </w:p>
        </w:tc>
      </w:tr>
      <w:tr>
        <w:trPr>
          <w:trHeight w:val="20"/>
        </w:trPr>
        <w:tc>
          <w:tcPr>
            <w:tcW w:w="2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65"/>
        </w:trPr>
        <w:tc>
          <w:tcPr>
            <w:tcW w:w="2320" w:type="dxa"/>
            <w:vAlign w:val="bottom"/>
          </w:tcPr>
          <w:p>
            <w:pPr>
              <w:spacing w:after="0"/>
              <w:rPr>
                <w:sz w:val="24"/>
                <w:szCs w:val="24"/>
                <w:color w:val="auto"/>
              </w:rPr>
            </w:pPr>
          </w:p>
        </w:tc>
        <w:tc>
          <w:tcPr>
            <w:tcW w:w="4380" w:type="dxa"/>
            <w:vAlign w:val="bottom"/>
            <w:gridSpan w:val="7"/>
          </w:tcPr>
          <w:p>
            <w:pPr>
              <w:jc w:val="center"/>
              <w:ind w:right="680"/>
              <w:spacing w:after="0"/>
              <w:rPr>
                <w:sz w:val="20"/>
                <w:szCs w:val="20"/>
                <w:color w:val="auto"/>
              </w:rPr>
            </w:pPr>
            <w:r>
              <w:rPr>
                <w:rFonts w:ascii="Arial" w:cs="Arial" w:eastAsia="Arial" w:hAnsi="Arial"/>
                <w:sz w:val="18"/>
                <w:szCs w:val="18"/>
                <w:color w:val="auto"/>
                <w:w w:val="98"/>
              </w:rPr>
              <w:t>LIABILITIES AND STOCKHOLDERS' DEFICIT</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8"/>
        </w:trPr>
        <w:tc>
          <w:tcPr>
            <w:tcW w:w="23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678,936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322,025</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Bank overdraft</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12,439</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1,151,253</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839,742</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Notes payable</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153,662</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Bridge loans</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4,352,013</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3,980,760</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747" w:right="1440" w:bottom="1440" w:gutter="0" w:footer="0" w:header="0"/>
        </w:sectPr>
      </w:pPr>
    </w:p>
    <w:p>
      <w:pPr>
        <w:spacing w:after="0" w:line="15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Commitments and contingencies (Notes 4, 5, 9 and 10)</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deficit</w:t>
      </w:r>
    </w:p>
    <w:p>
      <w:pPr>
        <w:spacing w:after="0" w:line="63"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Series B Convertible Preferred stock, $0.001 par value; 15,500,000 shares authorized, 11,688,040 shares issued and outstanding</w:t>
      </w:r>
    </w:p>
    <w:p>
      <w:pPr>
        <w:spacing w:after="0" w:line="19"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Series A Convertible Preferred stock, $0.001 par value; 21,700,000 shares authorized, 19,890,922 shares issued and oustanding</w:t>
      </w:r>
    </w:p>
    <w:p>
      <w:pPr>
        <w:spacing w:after="0" w:line="1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Common stock, $0.001 par value; 50,000,000 shares authorized, 4,420,687 shares issud and outstanding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deficit</w:t>
      </w:r>
    </w:p>
    <w:p>
      <w:pPr>
        <w:spacing w:after="0" w:line="200" w:lineRule="exact"/>
        <w:rPr>
          <w:sz w:val="20"/>
          <w:szCs w:val="20"/>
          <w:color w:val="auto"/>
        </w:rPr>
      </w:pP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 stockholders'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deficit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60"/>
        <w:spacing w:after="0"/>
        <w:tabs>
          <w:tab w:leader="none" w:pos="1780" w:val="left"/>
        </w:tabs>
        <w:rPr>
          <w:sz w:val="20"/>
          <w:szCs w:val="20"/>
          <w:color w:val="auto"/>
        </w:rPr>
      </w:pPr>
      <w:r>
        <w:rPr>
          <w:rFonts w:ascii="Arial" w:cs="Arial" w:eastAsia="Arial" w:hAnsi="Arial"/>
          <w:sz w:val="17"/>
          <w:szCs w:val="17"/>
          <w:color w:val="auto"/>
        </w:rPr>
        <w:t>6,348,303</w:t>
      </w:r>
      <w:r>
        <w:rPr>
          <w:sz w:val="20"/>
          <w:szCs w:val="20"/>
          <w:color w:val="auto"/>
        </w:rPr>
        <w:tab/>
      </w:r>
      <w:r>
        <w:rPr>
          <w:rFonts w:ascii="Arial" w:cs="Arial" w:eastAsia="Arial" w:hAnsi="Arial"/>
          <w:sz w:val="17"/>
          <w:szCs w:val="17"/>
          <w:color w:val="auto"/>
        </w:rPr>
        <w:t>5,217,527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39370</wp:posOffset>
            </wp:positionV>
            <wp:extent cx="2092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tabs>
          <w:tab w:leader="none" w:pos="2020" w:val="left"/>
        </w:tabs>
        <w:rPr>
          <w:sz w:val="20"/>
          <w:szCs w:val="20"/>
          <w:color w:val="auto"/>
        </w:rPr>
      </w:pPr>
      <w:r>
        <w:rPr>
          <w:rFonts w:ascii="Arial" w:cs="Arial" w:eastAsia="Arial" w:hAnsi="Arial"/>
          <w:sz w:val="17"/>
          <w:szCs w:val="17"/>
          <w:color w:val="auto"/>
        </w:rPr>
        <w:t>11,688</w:t>
      </w:r>
      <w:r>
        <w:rPr>
          <w:sz w:val="20"/>
          <w:szCs w:val="20"/>
          <w:color w:val="auto"/>
        </w:rPr>
        <w:tab/>
      </w:r>
      <w:r>
        <w:rPr>
          <w:rFonts w:ascii="Arial" w:cs="Arial" w:eastAsia="Arial" w:hAnsi="Arial"/>
          <w:sz w:val="17"/>
          <w:szCs w:val="17"/>
          <w:color w:val="auto"/>
        </w:rPr>
        <w:t>11,688</w:t>
      </w:r>
    </w:p>
    <w:p>
      <w:pPr>
        <w:spacing w:after="0" w:line="200" w:lineRule="exact"/>
        <w:rPr>
          <w:sz w:val="20"/>
          <w:szCs w:val="20"/>
          <w:color w:val="auto"/>
        </w:rPr>
      </w:pPr>
    </w:p>
    <w:p>
      <w:pPr>
        <w:spacing w:after="0" w:line="307"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19,891</w:t>
      </w:r>
      <w:r>
        <w:rPr>
          <w:sz w:val="20"/>
          <w:szCs w:val="20"/>
          <w:color w:val="auto"/>
        </w:rPr>
        <w:tab/>
      </w:r>
      <w:r>
        <w:rPr>
          <w:rFonts w:ascii="Arial" w:cs="Arial" w:eastAsia="Arial" w:hAnsi="Arial"/>
          <w:sz w:val="18"/>
          <w:szCs w:val="18"/>
          <w:color w:val="auto"/>
        </w:rPr>
        <w:t>19,891</w:t>
      </w:r>
    </w:p>
    <w:p>
      <w:pPr>
        <w:spacing w:after="0" w:line="279" w:lineRule="exact"/>
        <w:rPr>
          <w:sz w:val="20"/>
          <w:szCs w:val="20"/>
          <w:color w:val="auto"/>
        </w:rPr>
      </w:pPr>
    </w:p>
    <w:p>
      <w:pPr>
        <w:ind w:left="460"/>
        <w:spacing w:after="0"/>
        <w:tabs>
          <w:tab w:leader="none" w:pos="2100" w:val="left"/>
        </w:tabs>
        <w:rPr>
          <w:sz w:val="20"/>
          <w:szCs w:val="20"/>
          <w:color w:val="auto"/>
        </w:rPr>
      </w:pPr>
      <w:r>
        <w:rPr>
          <w:rFonts w:ascii="Arial" w:cs="Arial" w:eastAsia="Arial" w:hAnsi="Arial"/>
          <w:sz w:val="18"/>
          <w:szCs w:val="18"/>
          <w:color w:val="auto"/>
        </w:rPr>
        <w:t>4,420</w:t>
      </w:r>
      <w:r>
        <w:rPr>
          <w:sz w:val="20"/>
          <w:szCs w:val="20"/>
          <w:color w:val="auto"/>
        </w:rPr>
        <w:tab/>
      </w:r>
      <w:r>
        <w:rPr>
          <w:rFonts w:ascii="Arial" w:cs="Arial" w:eastAsia="Arial" w:hAnsi="Arial"/>
          <w:sz w:val="18"/>
          <w:szCs w:val="18"/>
          <w:color w:val="auto"/>
        </w:rPr>
        <w:t>4,420</w:t>
      </w:r>
    </w:p>
    <w:p>
      <w:pPr>
        <w:spacing w:after="0" w:line="63" w:lineRule="exact"/>
        <w:rPr>
          <w:sz w:val="20"/>
          <w:szCs w:val="20"/>
          <w:color w:val="auto"/>
        </w:rPr>
      </w:pPr>
    </w:p>
    <w:p>
      <w:pPr>
        <w:ind w:left="60"/>
        <w:spacing w:after="0"/>
        <w:tabs>
          <w:tab w:leader="none" w:pos="1680" w:val="left"/>
        </w:tabs>
        <w:rPr>
          <w:sz w:val="20"/>
          <w:szCs w:val="20"/>
          <w:color w:val="auto"/>
        </w:rPr>
      </w:pPr>
      <w:r>
        <w:rPr>
          <w:rFonts w:ascii="Arial" w:cs="Arial" w:eastAsia="Arial" w:hAnsi="Arial"/>
          <w:sz w:val="17"/>
          <w:szCs w:val="17"/>
          <w:color w:val="auto"/>
        </w:rPr>
        <w:t>23,814,035</w:t>
      </w:r>
      <w:r>
        <w:rPr>
          <w:sz w:val="20"/>
          <w:szCs w:val="20"/>
          <w:color w:val="auto"/>
        </w:rPr>
        <w:tab/>
      </w:r>
      <w:r>
        <w:rPr>
          <w:rFonts w:ascii="Arial" w:cs="Arial" w:eastAsia="Arial" w:hAnsi="Arial"/>
          <w:sz w:val="17"/>
          <w:szCs w:val="17"/>
          <w:color w:val="auto"/>
        </w:rPr>
        <w:t>23,797,191</w:t>
      </w:r>
    </w:p>
    <w:p>
      <w:pPr>
        <w:spacing w:after="0" w:line="7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(30,198,237)</w:t>
      </w:r>
      <w:r>
        <w:rPr>
          <w:sz w:val="20"/>
          <w:szCs w:val="20"/>
          <w:color w:val="auto"/>
        </w:rPr>
        <w:tab/>
      </w:r>
      <w:r>
        <w:rPr>
          <w:rFonts w:ascii="Arial" w:cs="Arial" w:eastAsia="Arial" w:hAnsi="Arial"/>
          <w:sz w:val="16"/>
          <w:szCs w:val="16"/>
          <w:color w:val="auto"/>
        </w:rPr>
        <w:t>(28,976,016)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46355</wp:posOffset>
            </wp:positionV>
            <wp:extent cx="2092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1720" w:val="left"/>
        </w:tabs>
        <w:rPr>
          <w:sz w:val="20"/>
          <w:szCs w:val="20"/>
          <w:color w:val="auto"/>
        </w:rPr>
      </w:pPr>
      <w:r>
        <w:rPr>
          <w:rFonts w:ascii="Arial" w:cs="Arial" w:eastAsia="Arial" w:hAnsi="Arial"/>
          <w:sz w:val="16"/>
          <w:szCs w:val="16"/>
          <w:color w:val="auto"/>
        </w:rPr>
        <w:t>(6,348,203)</w:t>
      </w:r>
      <w:r>
        <w:rPr>
          <w:sz w:val="20"/>
          <w:szCs w:val="20"/>
          <w:color w:val="auto"/>
        </w:rPr>
        <w:tab/>
      </w:r>
      <w:r>
        <w:rPr>
          <w:rFonts w:ascii="Arial" w:cs="Arial" w:eastAsia="Arial" w:hAnsi="Arial"/>
          <w:sz w:val="16"/>
          <w:szCs w:val="16"/>
          <w:color w:val="auto"/>
        </w:rPr>
        <w:t>(5,142,826)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46355</wp:posOffset>
            </wp:positionV>
            <wp:extent cx="2092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380" w:space="720"/>
            <w:col w:w="2919"/>
          </w:cols>
          <w:pgMar w:left="1440" w:top="747" w:right="1440" w:bottom="1440" w:gutter="0" w:footer="0" w:header="0"/>
          <w:type w:val="continuous"/>
        </w:sectPr>
      </w:pPr>
    </w:p>
    <w:p>
      <w:pPr>
        <w:spacing w:after="0" w:line="200" w:lineRule="exact"/>
        <w:rPr>
          <w:sz w:val="20"/>
          <w:szCs w:val="20"/>
          <w:color w:val="auto"/>
        </w:rPr>
      </w:pPr>
    </w:p>
    <w:p>
      <w:pPr>
        <w:ind w:left="2480"/>
        <w:spacing w:after="0"/>
        <w:tabs>
          <w:tab w:leader="none" w:pos="6680" w:val="left"/>
          <w:tab w:leader="none" w:pos="8100" w:val="left"/>
        </w:tabs>
        <w:rPr>
          <w:sz w:val="20"/>
          <w:szCs w:val="20"/>
          <w:color w:val="auto"/>
        </w:rPr>
      </w:pPr>
      <w:r>
        <w:rPr>
          <w:rFonts w:ascii="Arial" w:cs="Arial" w:eastAsia="Arial" w:hAnsi="Arial"/>
          <w:sz w:val="18"/>
          <w:szCs w:val="18"/>
          <w:color w:val="auto"/>
        </w:rPr>
        <w:t>Total liabilities and stockholders' deficit $</w:t>
      </w:r>
      <w:r>
        <w:rPr>
          <w:sz w:val="20"/>
          <w:szCs w:val="20"/>
          <w:color w:val="auto"/>
        </w:rPr>
        <w:tab/>
      </w:r>
      <w:r>
        <w:rPr>
          <w:rFonts w:ascii="Arial" w:cs="Arial" w:eastAsia="Arial" w:hAnsi="Arial"/>
          <w:sz w:val="18"/>
          <w:szCs w:val="18"/>
          <w:color w:val="auto"/>
        </w:rPr>
        <w:t>100  $</w:t>
      </w:r>
      <w:r>
        <w:rPr>
          <w:sz w:val="20"/>
          <w:szCs w:val="20"/>
          <w:color w:val="auto"/>
        </w:rPr>
        <w:tab/>
      </w:r>
      <w:r>
        <w:rPr>
          <w:rFonts w:ascii="Arial" w:cs="Arial" w:eastAsia="Arial" w:hAnsi="Arial"/>
          <w:sz w:val="16"/>
          <w:szCs w:val="16"/>
          <w:color w:val="auto"/>
        </w:rPr>
        <w:t>74,701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31750</wp:posOffset>
            </wp:positionV>
            <wp:extent cx="2092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48895</wp:posOffset>
            </wp:positionV>
            <wp:extent cx="2092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- 50</w:t>
      </w:r>
    </w:p>
    <w:p>
      <w:pPr>
        <w:sectPr>
          <w:pgSz w:w="11900" w:h="16838" w:orient="portrait"/>
          <w:cols w:equalWidth="0" w:num="1">
            <w:col w:w="9019"/>
          </w:cols>
          <w:pgMar w:left="1440" w:top="747" w:right="1440"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ESSENTIALIS, INC.</w:t>
      </w:r>
    </w:p>
    <w:p>
      <w:pPr>
        <w:spacing w:after="0" w:line="3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40" w:type="dxa"/>
            <w:vAlign w:val="bottom"/>
            <w:gridSpan w:val="5"/>
          </w:tcPr>
          <w:p>
            <w:pPr>
              <w:jc w:val="center"/>
              <w:ind w:left="1790"/>
              <w:spacing w:after="0"/>
              <w:rPr>
                <w:sz w:val="20"/>
                <w:szCs w:val="20"/>
                <w:color w:val="auto"/>
              </w:rPr>
            </w:pPr>
            <w:r>
              <w:rPr>
                <w:rFonts w:ascii="Arial" w:cs="Arial" w:eastAsia="Arial" w:hAnsi="Arial"/>
                <w:sz w:val="18"/>
                <w:szCs w:val="18"/>
                <w:b w:val="1"/>
                <w:bCs w:val="1"/>
                <w:color w:val="auto"/>
                <w:w w:val="89"/>
              </w:rPr>
              <w:t>Statement of Operations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94"/>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Year ended</w:t>
            </w:r>
          </w:p>
        </w:tc>
        <w:tc>
          <w:tcPr>
            <w:tcW w:w="180" w:type="dxa"/>
            <w:vAlign w:val="bottom"/>
          </w:tcPr>
          <w:p>
            <w:pPr>
              <w:spacing w:after="0"/>
              <w:rPr>
                <w:sz w:val="24"/>
                <w:szCs w:val="24"/>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Year ended</w:t>
            </w: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December 31, 2016</w:t>
            </w:r>
          </w:p>
        </w:tc>
        <w:tc>
          <w:tcPr>
            <w:tcW w:w="18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2015</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885"/>
        </w:trPr>
        <w:tc>
          <w:tcPr>
            <w:tcW w:w="3420" w:type="dxa"/>
            <w:vAlign w:val="bottom"/>
          </w:tcPr>
          <w:p>
            <w:pPr>
              <w:spacing w:after="0"/>
              <w:rPr>
                <w:sz w:val="20"/>
                <w:szCs w:val="20"/>
                <w:color w:val="auto"/>
              </w:rPr>
            </w:pPr>
            <w:r>
              <w:rPr>
                <w:rFonts w:ascii="Arial" w:cs="Arial" w:eastAsia="Arial" w:hAnsi="Arial"/>
                <w:sz w:val="18"/>
                <w:szCs w:val="18"/>
                <w:color w:val="auto"/>
              </w:rPr>
              <w:t>Grant revenue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37,800</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Legal and professional</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562,372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133,264</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Salaries and wages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161,774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162,052</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134,131</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43,464</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Contract research</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98,019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174,035</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Consulting</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6,170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145,128</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885"/>
        </w:trPr>
        <w:tc>
          <w:tcPr>
            <w:tcW w:w="3420" w:type="dxa"/>
            <w:vAlign w:val="bottom"/>
          </w:tcPr>
          <w:p>
            <w:pPr>
              <w:ind w:left="1420"/>
              <w:spacing w:after="0"/>
              <w:rPr>
                <w:sz w:val="20"/>
                <w:szCs w:val="20"/>
                <w:color w:val="auto"/>
              </w:rPr>
            </w:pPr>
            <w:r>
              <w:rPr>
                <w:rFonts w:ascii="Arial" w:cs="Arial" w:eastAsia="Arial" w:hAnsi="Arial"/>
                <w:sz w:val="18"/>
                <w:szCs w:val="18"/>
                <w:color w:val="auto"/>
                <w:w w:val="97"/>
              </w:rPr>
              <w:t>Total operating expenses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962,466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657,943</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61"/>
        </w:trPr>
        <w:tc>
          <w:tcPr>
            <w:tcW w:w="34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(962,466)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(620,143)</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(326,435)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(356,635)</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66,680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61"/>
        </w:trPr>
        <w:tc>
          <w:tcPr>
            <w:tcW w:w="3420" w:type="dxa"/>
            <w:vAlign w:val="bottom"/>
          </w:tcPr>
          <w:p>
            <w:pPr>
              <w:ind w:left="1420"/>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(259,755)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(356,635)</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81"/>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(1,222,221)</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(976,778)</w:t>
            </w: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420" w:type="dxa"/>
            <w:vAlign w:val="bottom"/>
          </w:tcPr>
          <w:p>
            <w:pPr>
              <w:spacing w:after="0"/>
              <w:rPr>
                <w:sz w:val="24"/>
                <w:szCs w:val="24"/>
                <w:color w:val="auto"/>
              </w:rPr>
            </w:pPr>
          </w:p>
        </w:tc>
        <w:tc>
          <w:tcPr>
            <w:tcW w:w="2420" w:type="dxa"/>
            <w:vAlign w:val="bottom"/>
            <w:gridSpan w:val="4"/>
          </w:tcPr>
          <w:p>
            <w:pPr>
              <w:jc w:val="center"/>
              <w:ind w:right="1560"/>
              <w:spacing w:after="0"/>
              <w:rPr>
                <w:sz w:val="20"/>
                <w:szCs w:val="20"/>
                <w:color w:val="auto"/>
              </w:rPr>
            </w:pPr>
            <w:r>
              <w:rPr>
                <w:rFonts w:ascii="Arial" w:cs="Arial" w:eastAsia="Arial" w:hAnsi="Arial"/>
                <w:sz w:val="18"/>
                <w:szCs w:val="18"/>
                <w:color w:val="auto"/>
                <w:w w:val="89"/>
              </w:rPr>
              <w:t>F - 51</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9019"/>
          </w:cols>
          <w:pgMar w:left="1440" w:top="734" w:right="1440" w:bottom="1440" w:gutter="0" w:footer="0" w:header="0"/>
        </w:sectPr>
      </w:pPr>
    </w:p>
    <w:bookmarkStart w:id="183" w:name="page184"/>
    <w:bookmarkEnd w:id="183"/>
    <w:p>
      <w:pPr>
        <w:jc w:val="center"/>
        <w:ind w:right="200"/>
        <w:spacing w:after="0"/>
        <w:rPr>
          <w:sz w:val="20"/>
          <w:szCs w:val="20"/>
          <w:color w:val="auto"/>
        </w:rPr>
      </w:pPr>
      <w:r>
        <w:rPr>
          <w:rFonts w:ascii="Arial" w:cs="Arial" w:eastAsia="Arial" w:hAnsi="Arial"/>
          <w:sz w:val="22"/>
          <w:szCs w:val="22"/>
          <w:b w:val="1"/>
          <w:bCs w:val="1"/>
          <w:color w:val="auto"/>
        </w:rPr>
        <w:t>ESSENTIALIS, INC.</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Statements of Changes in Stockholders' Deficit</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Series 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Series 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Convertible</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Convertible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Preferred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Preferred</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Additional Paid-</w:t>
            </w:r>
          </w:p>
        </w:tc>
        <w:tc>
          <w:tcPr>
            <w:tcW w:w="20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4"/>
              </w:rPr>
              <w:t>Accumulated</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3"/>
              </w:rPr>
              <w:t>Total Stockholders'</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9"/>
              </w:rPr>
              <w:t>Amount</w:t>
            </w:r>
          </w:p>
        </w:tc>
        <w:tc>
          <w:tcPr>
            <w:tcW w:w="26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In Capital</w:t>
            </w:r>
          </w:p>
        </w:tc>
        <w:tc>
          <w:tcPr>
            <w:tcW w:w="2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Deficit</w:t>
            </w:r>
          </w:p>
        </w:tc>
        <w:tc>
          <w:tcPr>
            <w:tcW w:w="3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2014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23,707,089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(27,999,238)</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(4,256,150)</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Warrant debt</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discount with</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0" w:type="dxa"/>
            <w:vAlign w:val="bottom"/>
          </w:tcPr>
          <w:p>
            <w:pPr>
              <w:ind w:left="120"/>
              <w:spacing w:after="0"/>
              <w:rPr>
                <w:sz w:val="20"/>
                <w:szCs w:val="20"/>
                <w:color w:val="auto"/>
              </w:rPr>
            </w:pPr>
            <w:r>
              <w:rPr>
                <w:rFonts w:ascii="Arial" w:cs="Arial" w:eastAsia="Arial" w:hAnsi="Arial"/>
                <w:sz w:val="18"/>
                <w:szCs w:val="18"/>
                <w:color w:val="auto"/>
              </w:rPr>
              <w:t>bridge loan</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90,102</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(976,778)</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2015</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23,797,191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(28,976,016)</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(5,142,826)</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Warrant debt</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discount with</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0" w:type="dxa"/>
            <w:vAlign w:val="bottom"/>
          </w:tcPr>
          <w:p>
            <w:pPr>
              <w:ind w:left="120"/>
              <w:spacing w:after="0"/>
              <w:rPr>
                <w:sz w:val="20"/>
                <w:szCs w:val="20"/>
                <w:color w:val="auto"/>
              </w:rPr>
            </w:pPr>
            <w:r>
              <w:rPr>
                <w:rFonts w:ascii="Arial" w:cs="Arial" w:eastAsia="Arial" w:hAnsi="Arial"/>
                <w:sz w:val="18"/>
                <w:szCs w:val="18"/>
                <w:color w:val="auto"/>
              </w:rPr>
              <w:t>bridge loan</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16,844</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(1,222,221)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(1,222,221)</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4,420</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23,814,035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(30,198,237)</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(6,348,203)</w:t>
            </w:r>
          </w:p>
        </w:tc>
        <w:tc>
          <w:tcPr>
            <w:tcW w:w="0" w:type="dxa"/>
            <w:vAlign w:val="bottom"/>
          </w:tcPr>
          <w:p>
            <w:pPr>
              <w:spacing w:after="0"/>
              <w:rPr>
                <w:sz w:val="1"/>
                <w:szCs w:val="1"/>
                <w:color w:val="auto"/>
              </w:rPr>
            </w:pPr>
          </w:p>
        </w:tc>
      </w:tr>
      <w:tr>
        <w:trPr>
          <w:trHeight w:val="242"/>
        </w:trPr>
        <w:tc>
          <w:tcPr>
            <w:tcW w:w="1400" w:type="dxa"/>
            <w:vAlign w:val="bottom"/>
          </w:tcPr>
          <w:p>
            <w:pPr>
              <w:spacing w:after="0"/>
              <w:rPr>
                <w:sz w:val="20"/>
                <w:szCs w:val="20"/>
                <w:color w:val="auto"/>
              </w:rPr>
            </w:pPr>
            <w:r>
              <w:rPr>
                <w:rFonts w:ascii="Arial" w:cs="Arial" w:eastAsia="Arial" w:hAnsi="Arial"/>
                <w:sz w:val="18"/>
                <w:szCs w:val="18"/>
                <w:color w:val="auto"/>
              </w:rPr>
              <w:t>2016</w:t>
            </w:r>
          </w:p>
        </w:tc>
        <w:tc>
          <w:tcPr>
            <w:tcW w:w="1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- 52</w:t>
      </w:r>
    </w:p>
    <w:p>
      <w:pPr>
        <w:sectPr>
          <w:pgSz w:w="11900" w:h="16838" w:orient="portrait"/>
          <w:cols w:equalWidth="0" w:num="1">
            <w:col w:w="11340"/>
          </w:cols>
          <w:pgMar w:left="300" w:top="733" w:right="259" w:bottom="1440" w:gutter="0" w:footer="0" w:header="0"/>
        </w:sectPr>
      </w:pPr>
    </w:p>
    <w:bookmarkStart w:id="184" w:name="page185"/>
    <w:bookmarkEnd w:id="184"/>
    <w:p>
      <w:pPr>
        <w:ind w:left="2520"/>
        <w:spacing w:after="0"/>
        <w:rPr>
          <w:sz w:val="20"/>
          <w:szCs w:val="20"/>
          <w:color w:val="auto"/>
        </w:rPr>
      </w:pPr>
      <w:r>
        <w:rPr>
          <w:rFonts w:ascii="Arial" w:cs="Arial" w:eastAsia="Arial" w:hAnsi="Arial"/>
          <w:sz w:val="22"/>
          <w:szCs w:val="22"/>
          <w:b w:val="1"/>
          <w:bCs w:val="1"/>
          <w:color w:val="auto"/>
        </w:rPr>
        <w:t>ESSENTIALIS, INC.</w:t>
      </w:r>
    </w:p>
    <w:p>
      <w:pPr>
        <w:spacing w:after="0" w:line="37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Statements of Cash Flows</w:t>
      </w:r>
    </w:p>
    <w:p>
      <w:pPr>
        <w:spacing w:after="0" w:line="39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Year ended</w:t>
            </w:r>
          </w:p>
        </w:tc>
        <w:tc>
          <w:tcPr>
            <w:tcW w:w="160" w:type="dxa"/>
            <w:vAlign w:val="bottom"/>
          </w:tcPr>
          <w:p>
            <w:pPr>
              <w:spacing w:after="0"/>
              <w:rPr>
                <w:sz w:val="20"/>
                <w:szCs w:val="20"/>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 2016</w:t>
            </w:r>
          </w:p>
        </w:tc>
        <w:tc>
          <w:tcPr>
            <w:tcW w:w="160" w:type="dxa"/>
            <w:vAlign w:val="bottom"/>
          </w:tcPr>
          <w:p>
            <w:pPr>
              <w:spacing w:after="0"/>
              <w:rPr>
                <w:sz w:val="23"/>
                <w:szCs w:val="23"/>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1"/>
              </w:rPr>
              <w:t>December 31, 2015</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(1,222,221)</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Debt discount expense</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16,844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309,511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266,447</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508,164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(22,884)</w:t>
            </w: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Bank overdraft</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12,439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(373,263)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(680,713)</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Proceeds from bridge loans</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Payments on note payable</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(21,338)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298,662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200"/>
              <w:spacing w:after="0"/>
              <w:rPr>
                <w:sz w:val="20"/>
                <w:szCs w:val="20"/>
                <w:color w:val="auto"/>
              </w:rPr>
            </w:pPr>
            <w:r>
              <w:rPr>
                <w:rFonts w:ascii="Arial" w:cs="Arial" w:eastAsia="Arial" w:hAnsi="Arial"/>
                <w:sz w:val="18"/>
                <w:szCs w:val="18"/>
                <w:color w:val="auto"/>
              </w:rPr>
              <w:t>Net decrease in cash</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(74,601)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(80,713)</w:t>
            </w:r>
          </w:p>
        </w:tc>
        <w:tc>
          <w:tcPr>
            <w:tcW w:w="0" w:type="dxa"/>
            <w:vAlign w:val="bottom"/>
          </w:tcPr>
          <w:p>
            <w:pPr>
              <w:spacing w:after="0"/>
              <w:rPr>
                <w:sz w:val="1"/>
                <w:szCs w:val="1"/>
                <w:color w:val="auto"/>
              </w:rPr>
            </w:pPr>
          </w:p>
        </w:tc>
      </w:tr>
      <w:tr>
        <w:trPr>
          <w:trHeight w:val="594"/>
        </w:trPr>
        <w:tc>
          <w:tcPr>
            <w:tcW w:w="4600" w:type="dxa"/>
            <w:vAlign w:val="bottom"/>
          </w:tcPr>
          <w:p>
            <w:pPr>
              <w:ind w:left="200"/>
              <w:spacing w:after="0"/>
              <w:rPr>
                <w:sz w:val="20"/>
                <w:szCs w:val="20"/>
                <w:color w:val="auto"/>
              </w:rPr>
            </w:pPr>
            <w:r>
              <w:rPr>
                <w:rFonts w:ascii="Arial" w:cs="Arial" w:eastAsia="Arial" w:hAnsi="Arial"/>
                <w:sz w:val="18"/>
                <w:szCs w:val="18"/>
                <w:color w:val="auto"/>
              </w:rPr>
              <w:t>Cash at beginning of year</w:t>
            </w:r>
          </w:p>
        </w:tc>
        <w:tc>
          <w:tcPr>
            <w:tcW w:w="16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74,701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155,414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4600" w:type="dxa"/>
            <w:vAlign w:val="bottom"/>
          </w:tcPr>
          <w:p>
            <w:pPr>
              <w:ind w:left="200"/>
              <w:spacing w:after="0"/>
              <w:rPr>
                <w:sz w:val="20"/>
                <w:szCs w:val="20"/>
                <w:color w:val="auto"/>
              </w:rPr>
            </w:pPr>
            <w:r>
              <w:rPr>
                <w:rFonts w:ascii="Arial" w:cs="Arial" w:eastAsia="Arial" w:hAnsi="Arial"/>
                <w:sz w:val="18"/>
                <w:szCs w:val="18"/>
                <w:color w:val="auto"/>
              </w:rPr>
              <w:t>Cash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620" w:type="dxa"/>
            <w:vAlign w:val="bottom"/>
            <w:gridSpan w:val="4"/>
          </w:tcPr>
          <w:p>
            <w:pPr>
              <w:spacing w:after="0"/>
              <w:rPr>
                <w:sz w:val="20"/>
                <w:szCs w:val="20"/>
                <w:color w:val="auto"/>
              </w:rPr>
            </w:pPr>
            <w:r>
              <w:rPr>
                <w:rFonts w:ascii="Arial" w:cs="Arial" w:eastAsia="Arial" w:hAnsi="Arial"/>
                <w:sz w:val="18"/>
                <w:szCs w:val="18"/>
                <w:color w:val="auto"/>
              </w:rPr>
              <w:t>SUPPLEMENTAL DISCLOSURE OF NON-CASH FINANCING INFORMATION:</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600" w:type="dxa"/>
            <w:vAlign w:val="bottom"/>
          </w:tcPr>
          <w:p>
            <w:pPr>
              <w:ind w:left="200"/>
              <w:spacing w:after="0"/>
              <w:rPr>
                <w:sz w:val="20"/>
                <w:szCs w:val="20"/>
                <w:color w:val="auto"/>
              </w:rPr>
            </w:pPr>
            <w:r>
              <w:rPr>
                <w:rFonts w:ascii="Arial" w:cs="Arial" w:eastAsia="Arial" w:hAnsi="Arial"/>
                <w:sz w:val="18"/>
                <w:szCs w:val="18"/>
                <w:color w:val="auto"/>
              </w:rPr>
              <w:t>Conversion of accounts payable to note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600" w:type="dxa"/>
            <w:vAlign w:val="bottom"/>
          </w:tcPr>
          <w:p>
            <w:pPr>
              <w:ind w:left="200"/>
              <w:spacing w:after="0"/>
              <w:rPr>
                <w:sz w:val="20"/>
                <w:szCs w:val="20"/>
                <w:color w:val="auto"/>
              </w:rPr>
            </w:pPr>
            <w:r>
              <w:rPr>
                <w:rFonts w:ascii="Arial" w:cs="Arial" w:eastAsia="Arial" w:hAnsi="Arial"/>
                <w:sz w:val="18"/>
                <w:szCs w:val="18"/>
                <w:color w:val="auto"/>
              </w:rPr>
              <w:t>Conversion of accrued expenses to bridge loan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51,253</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ectPr>
          <w:pgSz w:w="11900" w:h="16838" w:orient="portrait"/>
          <w:cols w:equalWidth="0" w:num="1">
            <w:col w:w="9019"/>
          </w:cols>
          <w:pgMar w:left="1440" w:top="733" w:right="1440" w:bottom="1440" w:gutter="0" w:footer="0" w:header="0"/>
        </w:sectPr>
      </w:pPr>
    </w:p>
    <w:bookmarkStart w:id="185" w:name="page186"/>
    <w:bookmarkEnd w:id="185"/>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1 – Organization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Essentialis, Inc. (the "Company") was incorporated May 21, 2003 for the purpose of developing pharmaceutical products. The Company is focused on the development of breakthrough medicines to treat rare complex neurobehavioral/metabolic with significant morbidity and mortality. The Company is a development stage business.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Basis of Accounting - </w:t>
      </w:r>
      <w:r>
        <w:rPr>
          <w:rFonts w:ascii="Arial" w:cs="Arial" w:eastAsia="Arial" w:hAnsi="Arial"/>
          <w:sz w:val="18"/>
          <w:szCs w:val="18"/>
          <w:color w:val="auto"/>
        </w:rPr>
        <w:t>The Company’s policy is to use the accrual method of accounting and to prepare and present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accordance with accounting principles generally accepted in the United States of America (“U.S. GAAP”).</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U.S.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reported amounts and disclosures. Accordingly, actual results could differ from those estimates.</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Liquidity - </w:t>
      </w:r>
      <w:r>
        <w:rPr>
          <w:rFonts w:ascii="Arial" w:cs="Arial" w:eastAsia="Arial" w:hAnsi="Arial"/>
          <w:sz w:val="18"/>
          <w:szCs w:val="18"/>
          <w:color w:val="auto"/>
        </w:rPr>
        <w:t>For the years ended December 31, 2016 and 2015, the Company had net losses of $1,222,221 and $976,778,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deficit at December 31, 2016 of $30,198,237. In addition, for the years ended December 31, 2016 and 2015, the Company had negative cash flows from operations of $373,263 and $680,713, respectively. Those conditions raise substantial doubt about the Company's ability to continue as a going concern. The financial statements do not include any adjustments that might result from the outcome of this uncertainty.</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future cash requirements will depend on many factors, including continued scientific progress in its research and development programs, the scope and results of pre-clinical and clinical trials, the time and costs involved in obtaining regulatory approvals, the costs involved in filing, prosecuting and enforcing patents, competing technological and market developments, and the cost of product commercialization. The Company does not expect to generate a positive cash flow from operations at least until the commercial launch of its first product and possibly later given the expected spending for research and development programs and the cost of commercializing product candidates. Management plans to seek additional debt and/or equity financing through private or public offerings or through a business combination or strategic partnership. There can be no assurance that such capital will be available on favorable terms or at all.</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uses the fair value based method of accounting for all its stock-based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Financial Accounting Standards Board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estimated fair value of the options and warrants that are ultimately expected to vest based on performance related conditions, as well as the options and warrants that are expected to vest based on future service, is recorded over the instrument’s requisite service period and charged to stock-based compensation. In determining the amount of options and warrants that are expected to vest, the Company takes into account, voluntary termination behavior as well as trends of actual option and warrant forfeitures. The Company estimated future unvested forfeitures at 0% for all periods presented.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accounts for stock-based awards based on the fair market value of the instrument using the Black-Scholes option pricing model utilizing certain weighted average assumptions including stock price volatility, expected term and risk-free interest rates at the grant date. The risk-free interest rate assumption is based upon observed interest rates appropriate for the expected term of the stock based award. The expected volatility is based on the historical volatility of the Company’s common stock on monthly intervals. The computation of the expected option term is based on the “simplified method,” as the Company issuances are considered “plain vanilla” options. For stock based awards with defined vesting, the Company recognizes compensation expense over the requisite service period or when designated milestones have been achieved.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ectPr>
          <w:pgSz w:w="11900" w:h="16838" w:orient="portrait"/>
          <w:cols w:equalWidth="0" w:num="1">
            <w:col w:w="11420"/>
          </w:cols>
          <w:pgMar w:left="240" w:top="125" w:right="239" w:bottom="1440" w:gutter="0" w:footer="0" w:header="0"/>
        </w:sectPr>
      </w:pPr>
    </w:p>
    <w:bookmarkStart w:id="186" w:name="page187"/>
    <w:bookmarkEnd w:id="186"/>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2 – Summary Significant Accounting Policies</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financial statement amounts related to prior year presentation have been reclassified in order to conform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presentation.</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Prior Period Adjustment - </w:t>
      </w:r>
      <w:r>
        <w:rPr>
          <w:rFonts w:ascii="Arial" w:cs="Arial" w:eastAsia="Arial" w:hAnsi="Arial"/>
          <w:sz w:val="18"/>
          <w:szCs w:val="18"/>
          <w:color w:val="auto"/>
        </w:rPr>
        <w:t>In 2017, the Company discovered that a past employee had vested 21,875 shares of common stock.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was adjusted retrospectively in the 2016 and 2015 Statement of Changes in Stockholders’ Deficit to account for these shares. This adjustment did not have any impact on total stockholders’ deficit or net loss as of and for the years ended December 31, 2016 and 2015.</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Research and Development Costs - </w:t>
      </w:r>
      <w:r>
        <w:rPr>
          <w:rFonts w:ascii="Arial" w:cs="Arial" w:eastAsia="Arial" w:hAnsi="Arial"/>
          <w:sz w:val="18"/>
          <w:szCs w:val="18"/>
          <w:color w:val="auto"/>
        </w:rPr>
        <w:t>The Company expenses its research and development costs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are comprised of costs incurred in performing research and development activities, including salaries and benefits, facility costs, overhead costs, clinical trial costs, contract services, license agreements and other outside costs.</w:t>
      </w:r>
    </w:p>
    <w:p>
      <w:pPr>
        <w:spacing w:after="0" w:line="1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The Company accounts for income taxes under ASC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using the asset and liability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of the asset and liability method is to establish deferred tax assets and liabilities for the temporary differences between the financial reporting basis and the tax basis for the Company’s assets and liabilities at enacted tax rates expected to be in effect when such amounts are realized or settled. The Company provides a valuation allowance for deferred tax assets for which it does not consider realization of such assets to be more likely than not.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Under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ASC 740 also provides guidance on de-recognition, classification, interest and penalties on income taxes, accounting in interim periods and requires increased disclosures. At the date of adoption and as of December 31, 2016 and 2015, the Company did not have a liability for unrecognized tax benefits.</w:t>
      </w:r>
    </w:p>
    <w:p>
      <w:pPr>
        <w:spacing w:after="0" w:line="2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Company’s policy is to record interest and penalties on uncertain tax positions as income tax expense. As of December 31, 2016 and 2015, the Company has no accrued interest or penalties related to uncertain tax positions.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3 – Accrued Expenses</w:t>
      </w: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Accrued expenses consisted of the following at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93"/>
        </w:trPr>
        <w:tc>
          <w:tcPr>
            <w:tcW w:w="6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2015</w:t>
            </w:r>
          </w:p>
        </w:tc>
      </w:tr>
      <w:tr>
        <w:trPr>
          <w:trHeight w:val="486"/>
        </w:trPr>
        <w:tc>
          <w:tcPr>
            <w:tcW w:w="6320" w:type="dxa"/>
            <w:vAlign w:val="bottom"/>
          </w:tcPr>
          <w:p>
            <w:pPr>
              <w:spacing w:after="0"/>
              <w:rPr>
                <w:sz w:val="20"/>
                <w:szCs w:val="20"/>
                <w:color w:val="auto"/>
              </w:rPr>
            </w:pPr>
            <w:r>
              <w:rPr>
                <w:rFonts w:ascii="Arial" w:cs="Arial" w:eastAsia="Arial" w:hAnsi="Arial"/>
                <w:sz w:val="18"/>
                <w:szCs w:val="18"/>
                <w:color w:val="auto"/>
              </w:rPr>
              <w:t>Accrued interest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1,068,023</w:t>
            </w:r>
          </w:p>
        </w:tc>
        <w:tc>
          <w:tcPr>
            <w:tcW w:w="3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758,512</w:t>
            </w: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83,230</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81,230</w:t>
            </w:r>
          </w:p>
        </w:tc>
      </w:tr>
      <w:tr>
        <w:trPr>
          <w:trHeight w:val="480"/>
        </w:trPr>
        <w:tc>
          <w:tcPr>
            <w:tcW w:w="632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1,151,253</w:t>
            </w:r>
          </w:p>
        </w:tc>
        <w:tc>
          <w:tcPr>
            <w:tcW w:w="3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839,742</w:t>
            </w:r>
          </w:p>
        </w:tc>
      </w:tr>
      <w:tr>
        <w:trPr>
          <w:trHeight w:val="20"/>
        </w:trPr>
        <w:tc>
          <w:tcPr>
            <w:tcW w:w="6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4 – Notes Payable</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2014, a vendor to whom the Company was indebted for services provided, agreed to convert the outstanding balance of account payable into a note payable amounting to $75,000. The note is unsecured, bears interest at 8% per annum and was due February 28, 2017 or sooner if there is a change of control, as defined. The balance on this note was $75,000 at December 31, 2016 and 2015, which was paid in full subsequent to year end.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ectPr>
          <w:pgSz w:w="11900" w:h="16838" w:orient="portrait"/>
          <w:cols w:equalWidth="0" w:num="1">
            <w:col w:w="11420"/>
          </w:cols>
          <w:pgMar w:left="240" w:top="125" w:right="239" w:bottom="1440" w:gutter="0" w:footer="0" w:header="0"/>
        </w:sectPr>
      </w:pPr>
    </w:p>
    <w:bookmarkStart w:id="187" w:name="page188"/>
    <w:bookmarkEnd w:id="187"/>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4 – Notes Payable</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2016, a vendor to whom the Company was indebted for services provided, agreed to convert the outstanding balance of an account payable into a note payable amounting to $100,000. The note is unsecured, bears interest at 8% per annum, has monthly principal payments of $3,000, and was due January 2, 2017. The remaining balance of this note was $78,662 at December 31, 2016, which was paid in full subsequent to year end.</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5 – Bridge Loans</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enters into bridge loan agreements with its preferred stockholders through the issuance and sale of secured, convertible promissory notes that typically mature one year after issuance. As each tranche of bridge loans is issued, certain provisions of the previous bridge loans are modified to include the previous balances along with any new financing received and the terms are updated to reflect the most recent agreement. Each time a bridge loan is issued, the Company grants warrants to cover a certain percentage of the financing (“warrant coverage”).</w:t>
      </w:r>
    </w:p>
    <w:p>
      <w:pPr>
        <w:spacing w:after="0" w:line="20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2015, the Company entered into additional bridge loans with its preferred stockholders totaling $600,000, originally set to mature in June 2016. In May 2016, the Company entered into additional bridge loans with its preferred stockholders totaling to $75,000, originally set to mature May 2017. In June 2016, the Company entered into additional bridge loans with its preferred stockholders totaling to $45,000, originally set to mature June 2017. In July 2016, the Company entered into additional bridge loans with its preferred stockholders totaling to $140,000, originally set to mature July 2017. In November 2016, the Company entered into additional bridge loans with its preferred stockholders totaling to $60,000, originally set to mature November 2017. The maturity date for all prior bridge loans was extended to November 17, 2017 in conjunction with the new bridge loan financing. The loans bear an interest rate of 8% per annum and automatically convert into the Company’s Series B Preferred Stock upon a Qualified Equity Financing or change of control, as defined. Due to the issuance of new bridge loans in 2017, all of the bridge loans were further extended through March 2018, however, as a part of the merger with Soleno Therapeutics, Inc. in March 2017, all bridge loans were converted into Company Series B Preferred Stock, which were then surrendered in exchange for shares of Soleno Therapeutics, Inc. common stock (Note 10).</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there is a change of control, the bridge loans plus any accrued interest are converted into preferred stock at $0.73 per share; otherwise, the bridge loans are due and payable in cash. In March 2017, all bridge loans were converted into Company Series B Preferred Stock (Note 10). In addition to the bridge financing, each series of financing included warrants issued to each lender based on their pro-rata share of financing as described in Note 7. The book value of the bridge loans would have been discounted by the value of the warrants issued, however, as the amortization of the discount is typically over one year, the term of each bridge loan, the unamortized discount at each extension and remaining at each year-end is immaterial and has been expensed to interest expense.</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July 2016, one of the Company’s professional service providers to whom the Company was contractually obligated for certain accrued compensation amounts, converted an aggregate of $51,253 past due amounts for prior services initially included in accrued expenses into a bridge loan for the same amount, along with warrants to purchase 7,021 shares of Series B Preferred Stock.</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Typically, the Company would record a beneficial conversion feature associated with the conversion feature of the bridge financing as a debt discount and amortize this balance to interest expense using the effective interest method over the life of the bridge loans. However, management believes that there is no value associated with the conversion feature of the convertible bridge loans as of December 31, 2016. Although the Company experienced a chance in control with its acquisition by Soleno Therapeutics, Inc., the bridge loans converted to Company Series B Preferred Stock in March 2017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ectPr>
          <w:pgSz w:w="11900" w:h="16838" w:orient="portrait"/>
          <w:cols w:equalWidth="0" w:num="1">
            <w:col w:w="11420"/>
          </w:cols>
          <w:pgMar w:left="240" w:top="125" w:right="239" w:bottom="1440" w:gutter="0" w:footer="0" w:header="0"/>
        </w:sectPr>
      </w:pPr>
    </w:p>
    <w:bookmarkStart w:id="188" w:name="page189"/>
    <w:bookmarkEnd w:id="188"/>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5 – Bridge Loans</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Bridge loans consisted of the following at December 31:</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r>
      <w:tr>
        <w:trPr>
          <w:trHeight w:val="264"/>
        </w:trPr>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Issuance year</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Interest rate</w:t>
            </w: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Warrant coverage</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c>
          <w:tcPr>
            <w:tcW w:w="300" w:type="dxa"/>
            <w:vAlign w:val="bottom"/>
          </w:tcPr>
          <w:p>
            <w:pPr>
              <w:spacing w:after="0"/>
              <w:rPr>
                <w:sz w:val="21"/>
                <w:szCs w:val="21"/>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1"/>
                <w:szCs w:val="21"/>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2012</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2012</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370,760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370,760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7"/>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371,253</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574"/>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4,352,013</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3,980,760</w:t>
            </w:r>
          </w:p>
        </w:tc>
      </w:tr>
      <w:tr>
        <w:trPr>
          <w:trHeight w:val="20"/>
        </w:trPr>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Interest expense associated with the bridge loans for the years ended December 31, 2016 and 2015 was $315,844 and $350,549, respectively, which included debt discount expenses of $16,844 and $90,102,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6 – Convertible Preferred Stock</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July 23, 2012, the Company amended and restated its authorized number of shares available to 50,000,000 designated as common stock and 37,200,000 designated as preferred stock, each with a par value of $0.001 per share. The preferred stock currently can be issued in two designated series, 21,700,000 shares of Series A Preferred Stock and 15,500,000 shares of Series B Preferred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terms of the Series A and B Preferred Stock are as follows:</w:t>
      </w:r>
    </w:p>
    <w:p>
      <w:pPr>
        <w:spacing w:after="0" w:line="207" w:lineRule="exact"/>
        <w:rPr>
          <w:sz w:val="20"/>
          <w:szCs w:val="20"/>
          <w:color w:val="auto"/>
        </w:rPr>
      </w:pPr>
    </w:p>
    <w:p>
      <w:pPr>
        <w:jc w:val="both"/>
        <w:ind w:left="340" w:firstLine="324"/>
        <w:spacing w:after="0" w:line="261" w:lineRule="auto"/>
        <w:rPr>
          <w:sz w:val="20"/>
          <w:szCs w:val="20"/>
          <w:color w:val="auto"/>
        </w:rPr>
      </w:pPr>
      <w:r>
        <w:rPr>
          <w:rFonts w:ascii="Arial" w:cs="Arial" w:eastAsia="Arial" w:hAnsi="Arial"/>
          <w:sz w:val="18"/>
          <w:szCs w:val="18"/>
          <w:i w:val="1"/>
          <w:iCs w:val="1"/>
          <w:color w:val="auto"/>
        </w:rPr>
        <w:t xml:space="preserve">Conversion - </w:t>
      </w:r>
      <w:r>
        <w:rPr>
          <w:rFonts w:ascii="Arial" w:cs="Arial" w:eastAsia="Arial" w:hAnsi="Arial"/>
          <w:sz w:val="18"/>
          <w:szCs w:val="18"/>
          <w:color w:val="auto"/>
        </w:rPr>
        <w:t>Each share of Series A and B Preferred Stock shall be convertible, at the option of the holder, at any time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The conversion price for Series A is the original Series A price divided by the conversion price for the Series A Preferred Stock in effect at the time of the conversion. The conversion price for Series B is $0.73 divided by the conversion price for the Series B Preferred Stock in effect at the time of conversion.</w:t>
      </w:r>
    </w:p>
    <w:p>
      <w:pPr>
        <w:spacing w:after="0" w:line="198"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Each share of Series A and B Preferred Stock automatically converts into common stock immediately upon the earlier of (i) the Company’s sale of at least $0.40 per share of its common stock in a firm commitment underwritten public offering pursuant to a registration statement under the Securities Act of 1933, as amended, with aggregate gross proceeds to the Company of at least $30,000,000 or (ii) upon consent of at least 60% of the voting power represented by the then outstanding shares of Preferred Stock.</w:t>
      </w:r>
    </w:p>
    <w:p>
      <w:pPr>
        <w:spacing w:after="0" w:line="186" w:lineRule="exact"/>
        <w:rPr>
          <w:sz w:val="20"/>
          <w:szCs w:val="20"/>
          <w:color w:val="auto"/>
        </w:rPr>
      </w:pPr>
    </w:p>
    <w:p>
      <w:pPr>
        <w:jc w:val="both"/>
        <w:ind w:left="340" w:right="20" w:firstLine="324"/>
        <w:spacing w:after="0" w:line="282" w:lineRule="auto"/>
        <w:rPr>
          <w:sz w:val="20"/>
          <w:szCs w:val="20"/>
          <w:color w:val="auto"/>
        </w:rPr>
      </w:pPr>
      <w:r>
        <w:rPr>
          <w:rFonts w:ascii="Arial" w:cs="Arial" w:eastAsia="Arial" w:hAnsi="Arial"/>
          <w:sz w:val="18"/>
          <w:szCs w:val="18"/>
          <w:i w:val="1"/>
          <w:iCs w:val="1"/>
          <w:color w:val="auto"/>
        </w:rPr>
        <w:t xml:space="preserve">Liquidation Preference - </w:t>
      </w:r>
      <w:r>
        <w:rPr>
          <w:rFonts w:ascii="Arial" w:cs="Arial" w:eastAsia="Arial" w:hAnsi="Arial"/>
          <w:sz w:val="18"/>
          <w:szCs w:val="18"/>
          <w:color w:val="auto"/>
        </w:rPr>
        <w:t>Upon any liquidation, dissolution, or winding up of the Company, either voluntary or involuntary, the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funds of the Company available for distribution to stockholders shall be distributed as follows:</w:t>
      </w:r>
    </w:p>
    <w:p>
      <w:pPr>
        <w:spacing w:after="0" w:line="180"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First, the holders of shares of Series B Preferred Stock then outstanding shall be entitled to receive, out of the assets of the Corporation available for distribution to its stockholders, before any payment shall be made in respect of the Series A Preferred Stock or common stock, an amount equal to $3.65 per share of Series B, as adjusted for any recapitalization event plus all declared and unpaid dividends thereon.</w:t>
      </w:r>
    </w:p>
    <w:p>
      <w:pPr>
        <w:spacing w:after="0" w:line="204" w:lineRule="exact"/>
        <w:rPr>
          <w:sz w:val="20"/>
          <w:szCs w:val="20"/>
          <w:color w:val="auto"/>
        </w:rPr>
      </w:pPr>
    </w:p>
    <w:p>
      <w:pPr>
        <w:jc w:val="both"/>
        <w:ind w:left="340" w:firstLine="324"/>
        <w:spacing w:after="0" w:line="256" w:lineRule="auto"/>
        <w:rPr>
          <w:sz w:val="20"/>
          <w:szCs w:val="20"/>
          <w:color w:val="auto"/>
        </w:rPr>
      </w:pPr>
      <w:r>
        <w:rPr>
          <w:rFonts w:ascii="Arial" w:cs="Arial" w:eastAsia="Arial" w:hAnsi="Arial"/>
          <w:sz w:val="18"/>
          <w:szCs w:val="18"/>
          <w:color w:val="auto"/>
        </w:rPr>
        <w:t>Second, after the full Series B liquidation preference has been paid or set aside, the holders of shares of Series A Preferred Stock shall be entitled to receive an amount of $0.73 per share of Series A preferred stock, as adjusted for any recapitalization event plus all declared and unpaid dividends thereon.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ectPr>
          <w:pgSz w:w="11900" w:h="16838" w:orient="portrait"/>
          <w:cols w:equalWidth="0" w:num="1">
            <w:col w:w="11420"/>
          </w:cols>
          <w:pgMar w:left="240" w:top="125" w:right="239" w:bottom="1440" w:gutter="0" w:footer="0" w:header="0"/>
        </w:sectPr>
      </w:pPr>
    </w:p>
    <w:bookmarkStart w:id="189" w:name="page190"/>
    <w:bookmarkEnd w:id="189"/>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6 – Convertible Preferred Stock</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Lastly, after the full Series B and A Liquidation Preference due to holders of Series B and A Preferred Stock have been paid or set aside, the remaining assets of the Company available for distribution to its stockholders, if any, shall be distributed to the holders of common stock, Series A Preferred and Series B Preferred ratably in proportion to the number of shares of common stock then held, or issuable upon conversion of shares of Series A and B then held by each holder until such holders have received an aggregate of three times the original Series A price.</w:t>
      </w:r>
    </w:p>
    <w:p>
      <w:pPr>
        <w:spacing w:after="0" w:line="188" w:lineRule="exact"/>
        <w:rPr>
          <w:sz w:val="20"/>
          <w:szCs w:val="20"/>
          <w:color w:val="auto"/>
        </w:rPr>
      </w:pPr>
    </w:p>
    <w:p>
      <w:pPr>
        <w:jc w:val="both"/>
        <w:ind w:left="340" w:firstLine="324"/>
        <w:spacing w:after="0" w:line="266" w:lineRule="auto"/>
        <w:rPr>
          <w:sz w:val="20"/>
          <w:szCs w:val="20"/>
          <w:color w:val="auto"/>
        </w:rPr>
      </w:pPr>
      <w:r>
        <w:rPr>
          <w:rFonts w:ascii="Arial" w:cs="Arial" w:eastAsia="Arial" w:hAnsi="Arial"/>
          <w:sz w:val="18"/>
          <w:szCs w:val="18"/>
          <w:i w:val="1"/>
          <w:iCs w:val="1"/>
          <w:color w:val="auto"/>
        </w:rPr>
        <w:t xml:space="preserve">Voting - </w:t>
      </w:r>
      <w:r>
        <w:rPr>
          <w:rFonts w:ascii="Arial" w:cs="Arial" w:eastAsia="Arial" w:hAnsi="Arial"/>
          <w:sz w:val="18"/>
          <w:szCs w:val="18"/>
          <w:color w:val="auto"/>
        </w:rPr>
        <w:t>Each holder of preferred stock shall be entitled to a number of votes equal to the number of whole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into which such holder’s shares of Series B Preferred Stock could then be converted and, except as otherwise required by law, shall have voting rights and powers equal to the voting rights and powers of the common stock.</w:t>
      </w:r>
    </w:p>
    <w:p>
      <w:pPr>
        <w:spacing w:after="0" w:line="176" w:lineRule="exact"/>
        <w:rPr>
          <w:sz w:val="20"/>
          <w:szCs w:val="20"/>
          <w:color w:val="auto"/>
        </w:rPr>
      </w:pPr>
    </w:p>
    <w:p>
      <w:pPr>
        <w:jc w:val="both"/>
        <w:ind w:left="340" w:firstLine="324"/>
        <w:spacing w:after="0" w:line="258"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The holders of the issued Series A and B Preferred Stock shall be entitled to receive or simultaneously receive, when, as</w:t>
      </w:r>
      <w:r>
        <w:rPr>
          <w:rFonts w:ascii="Arial" w:cs="Arial" w:eastAsia="Arial" w:hAnsi="Arial"/>
          <w:sz w:val="18"/>
          <w:szCs w:val="18"/>
          <w:i w:val="1"/>
          <w:iCs w:val="1"/>
          <w:color w:val="auto"/>
        </w:rPr>
        <w:t xml:space="preserve"> </w:t>
      </w:r>
      <w:r>
        <w:rPr>
          <w:rFonts w:ascii="Arial" w:cs="Arial" w:eastAsia="Arial" w:hAnsi="Arial"/>
          <w:sz w:val="18"/>
          <w:szCs w:val="18"/>
          <w:color w:val="auto"/>
        </w:rPr>
        <w:t>and if declared by the Board of Directors out of assets legally available therefore, prior and in preference to any declaration or payment of any dividend to common stock dividends at the per share annual rate of $0.0584 per share of Series A and B Preferred Stock. The right to dividends on shares shall not be cumulative and no right shall accrue to holders of Series A and B Preferred Stock nor shall any undeclared or unpaid dividend bear or accrue interest. To date, the Board of Directors has not declared any dividends.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7 – Stock Options and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The Company follows the guidance of the accounting provisions of ASC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the fair-value based method to determine compensation for all arrangements under which employees and others receive shares of stock or equity instruments (warrants and options). In August 2005, the Company’s Board of Directors approved the 2005 Stock Plan (the “Plan”). Under the Plan, the Company may grant up to 2,750,000 shares of incentive stock options to eligible persons, including employees, nonemployees, members of the Board of Directors, consultants, and other independent advisors who provide services to the Company. In general, options are granted with an exercise price equal to the fair value of the underlying common stock on the date of the grant. Options granted typically have a contractual life of 10 years and vest over periods ranging from being fully vested as of the grant date to four years.</w:t>
      </w: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Years Ended December 31,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64"/>
        </w:trPr>
        <w:tc>
          <w:tcPr>
            <w:tcW w:w="31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58"/>
        </w:trPr>
        <w:tc>
          <w:tcPr>
            <w:tcW w:w="3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Weighted</w:t>
            </w:r>
          </w:p>
        </w:tc>
        <w:tc>
          <w:tcPr>
            <w:tcW w:w="1140" w:type="dxa"/>
            <w:vAlign w:val="bottom"/>
          </w:tcPr>
          <w:p>
            <w:pPr>
              <w:jc w:val="center"/>
              <w:spacing w:after="0"/>
              <w:rPr>
                <w:sz w:val="20"/>
                <w:szCs w:val="20"/>
                <w:color w:val="auto"/>
              </w:rPr>
            </w:pPr>
            <w:r>
              <w:rPr>
                <w:rFonts w:ascii="Arial" w:cs="Arial" w:eastAsia="Arial" w:hAnsi="Arial"/>
                <w:sz w:val="14"/>
                <w:szCs w:val="14"/>
                <w:color w:val="auto"/>
              </w:rPr>
              <w:t>Weighted</w:t>
            </w:r>
          </w:p>
        </w:tc>
      </w:tr>
      <w:tr>
        <w:trPr>
          <w:trHeight w:val="270"/>
        </w:trPr>
        <w:tc>
          <w:tcPr>
            <w:tcW w:w="3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Average</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Average</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Average</w:t>
            </w:r>
          </w:p>
        </w:tc>
      </w:tr>
      <w:tr>
        <w:trPr>
          <w:trHeight w:val="270"/>
        </w:trPr>
        <w:tc>
          <w:tcPr>
            <w:tcW w:w="3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Exercisable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Contractual</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Exercisable</w:t>
            </w:r>
          </w:p>
        </w:tc>
        <w:tc>
          <w:tcPr>
            <w:tcW w:w="1140" w:type="dxa"/>
            <w:vAlign w:val="bottom"/>
          </w:tcPr>
          <w:p>
            <w:pPr>
              <w:jc w:val="center"/>
              <w:spacing w:after="0"/>
              <w:rPr>
                <w:sz w:val="20"/>
                <w:szCs w:val="20"/>
                <w:color w:val="auto"/>
              </w:rPr>
            </w:pPr>
            <w:r>
              <w:rPr>
                <w:rFonts w:ascii="Arial" w:cs="Arial" w:eastAsia="Arial" w:hAnsi="Arial"/>
                <w:sz w:val="14"/>
                <w:szCs w:val="14"/>
                <w:color w:val="auto"/>
              </w:rPr>
              <w:t>Contractual</w:t>
            </w:r>
          </w:p>
        </w:tc>
      </w:tr>
      <w:tr>
        <w:trPr>
          <w:trHeight w:val="276"/>
        </w:trPr>
        <w:tc>
          <w:tcPr>
            <w:tcW w:w="3140" w:type="dxa"/>
            <w:vAlign w:val="bottom"/>
          </w:tcPr>
          <w:p>
            <w:pPr>
              <w:spacing w:after="0"/>
              <w:rPr>
                <w:sz w:val="24"/>
                <w:szCs w:val="2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Units</w:t>
            </w: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Life</w:t>
            </w:r>
          </w:p>
        </w:tc>
        <w:tc>
          <w:tcPr>
            <w:tcW w:w="1140" w:type="dxa"/>
            <w:vAlign w:val="bottom"/>
            <w:gridSpan w:val="2"/>
          </w:tcPr>
          <w:p>
            <w:pPr>
              <w:ind w:left="34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Price</w:t>
            </w:r>
          </w:p>
        </w:tc>
        <w:tc>
          <w:tcPr>
            <w:tcW w:w="1140" w:type="dxa"/>
            <w:vAlign w:val="bottom"/>
          </w:tcPr>
          <w:p>
            <w:pPr>
              <w:jc w:val="center"/>
              <w:spacing w:after="0"/>
              <w:rPr>
                <w:sz w:val="20"/>
                <w:szCs w:val="20"/>
                <w:color w:val="auto"/>
              </w:rPr>
            </w:pPr>
            <w:r>
              <w:rPr>
                <w:rFonts w:ascii="Arial" w:cs="Arial" w:eastAsia="Arial" w:hAnsi="Arial"/>
                <w:sz w:val="14"/>
                <w:szCs w:val="14"/>
                <w:color w:val="auto"/>
              </w:rPr>
              <w:t>Life</w:t>
            </w:r>
          </w:p>
        </w:tc>
      </w:tr>
      <w:tr>
        <w:trPr>
          <w:trHeight w:val="258"/>
        </w:trPr>
        <w:tc>
          <w:tcPr>
            <w:tcW w:w="3140" w:type="dxa"/>
            <w:vAlign w:val="bottom"/>
          </w:tcPr>
          <w:p>
            <w:pPr>
              <w:spacing w:after="0"/>
              <w:rPr>
                <w:sz w:val="20"/>
                <w:szCs w:val="20"/>
                <w:color w:val="auto"/>
              </w:rPr>
            </w:pPr>
            <w:r>
              <w:rPr>
                <w:rFonts w:ascii="Arial" w:cs="Arial" w:eastAsia="Arial" w:hAnsi="Arial"/>
                <w:sz w:val="14"/>
                <w:szCs w:val="14"/>
                <w:color w:val="auto"/>
              </w:rPr>
              <w:t>Outstanding at beginning of year</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4"/>
                <w:szCs w:val="14"/>
                <w:color w:val="auto"/>
              </w:rPr>
              <w:t>Granted at fair value</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4"/>
                <w:szCs w:val="14"/>
                <w:color w:val="auto"/>
              </w:rPr>
              <w:t>Exercised</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3140" w:type="dxa"/>
            <w:vAlign w:val="bottom"/>
          </w:tcPr>
          <w:p>
            <w:pPr>
              <w:spacing w:after="0"/>
              <w:rPr>
                <w:sz w:val="20"/>
                <w:szCs w:val="20"/>
                <w:color w:val="auto"/>
              </w:rPr>
            </w:pPr>
            <w:r>
              <w:rPr>
                <w:rFonts w:ascii="Arial" w:cs="Arial" w:eastAsia="Arial" w:hAnsi="Arial"/>
                <w:sz w:val="14"/>
                <w:szCs w:val="14"/>
                <w:color w:val="auto"/>
              </w:rPr>
              <w:t>Canceled/Forfeited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4"/>
                <w:szCs w:val="14"/>
                <w:color w:val="auto"/>
              </w:rPr>
              <w:t>Outstanding at end of year</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162,000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0"/>
        </w:trPr>
        <w:tc>
          <w:tcPr>
            <w:tcW w:w="3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4"/>
                <w:szCs w:val="14"/>
                <w:color w:val="auto"/>
              </w:rPr>
              <w:t>Fully vested at end of year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162,000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0"/>
        </w:trPr>
        <w:tc>
          <w:tcPr>
            <w:tcW w:w="3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 options were granted, exercised, or canceled during the years ended December 31, 2016 and 2015. The number of forfeited options was 180,000 and 0 during the years ended December 31, 2016 and 2015, respectively. Intrinsic value represents the amount by which the market price of the common stock exceeds the exercise price of the options. The intrinsic value of exercisable options at December 31, 2016 and 2015 was $45,360 and $88,920, respectively. There is no unrecognized compensation cost for unvested stock-based compensation awards as of December 31, 2016. In March 2017, the Company merged with Soleno Therapeutics, Inc., and all unexercised options were terminated (Note 10).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ectPr>
          <w:pgSz w:w="11900" w:h="16838" w:orient="portrait"/>
          <w:cols w:equalWidth="0" w:num="1">
            <w:col w:w="11420"/>
          </w:cols>
          <w:pgMar w:left="240" w:top="125" w:right="239" w:bottom="1440" w:gutter="0" w:footer="0" w:header="0"/>
        </w:sectPr>
      </w:pPr>
    </w:p>
    <w:bookmarkStart w:id="190" w:name="page191"/>
    <w:bookmarkEnd w:id="190"/>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7 – Stock Options and Warrants</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connection with the series of bridge financing with its preferred stockholders, the Company issued warrants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Series A and Series B Preferred Stock. The number of warrants issued was variable and is determined by the loan amount multiplied by the warrant coverage and divided by the warrant stock price at the time of issuance. The warrant stock price is either the share price of the Qualified Equity Financing (as defined as a capital raise with a minimum value issued to non-related investors, as defined) or $0.73 per share if no Qualified Equity Financing is raised by maturity date or if there is a change of control. In March 2017, the Company merged with Soleno Therapeutics, Inc., and all Company warrants were either exercised in full or, if not exercised in full, terminated, canceled, or automatically converted into shares of Company common stock or preferred stock (Note 10).</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May and December 2009 and the January and May 2010 bridge loans issued (the bridge loans were converted into shares of Series A Preferred Stock in 2011), the warrant coverage was 20% of the bridge loan plus 5% per month for each month the bridge loan was outstanding up to 50%. For the December 2011 and March 2012 series of bridge loans issued, the warrant coverage was equal to 20% of the total bridge financing. For the series of bridge loans issued from July 2012 through November 2016, the warrant coverage was equal to 10% of the total bridge financing.</w:t>
      </w:r>
    </w:p>
    <w:p>
      <w:pPr>
        <w:spacing w:after="0" w:line="20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years ended December 31, 2016 and 2015, the fair value of the warrants issued totaled $996,770 and $979,926, respectively, using an estimated exercise price of $0.73 per share. This value was recorded to additional paid-in capital and as a discount to the book value of the bridge loans and was to be amortized over the term of the bridge loans to interest expense. However, as each modification to the original warrant is made based on the extension and new bridge financing, each warrant’s life is extended and the fair value is re-computed based on the new estimated fair value, management has elected to expense each modification and new debt discount as each new bridge financing is made. For the years ended December 31, 2016 and 2015, the Company recognized $16,844 and $90,102 of interest expense associated with the debt discount, respectively.</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used the Black-Scholes option pricing model to calculate both the initial debt discount and the change in fair value due to each modification, with the following assumptions for the years ended December 31:</w:t>
      </w:r>
    </w:p>
    <w:p>
      <w:pPr>
        <w:spacing w:after="0" w:line="156"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5820" w:type="dxa"/>
            <w:vAlign w:val="bottom"/>
          </w:tcPr>
          <w:p>
            <w:pPr>
              <w:spacing w:after="0"/>
              <w:rPr>
                <w:sz w:val="19"/>
                <w:szCs w:val="19"/>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2016</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2015</w:t>
            </w:r>
          </w:p>
        </w:tc>
      </w:tr>
      <w:tr>
        <w:trPr>
          <w:trHeight w:val="581"/>
        </w:trPr>
        <w:tc>
          <w:tcPr>
            <w:tcW w:w="5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0" w:type="dxa"/>
            <w:vAlign w:val="bottom"/>
          </w:tcPr>
          <w:p>
            <w:pPr>
              <w:ind w:left="20"/>
              <w:spacing w:after="0"/>
              <w:rPr>
                <w:sz w:val="20"/>
                <w:szCs w:val="20"/>
                <w:color w:val="auto"/>
              </w:rPr>
            </w:pPr>
            <w:r>
              <w:rPr>
                <w:rFonts w:ascii="Arial" w:cs="Arial" w:eastAsia="Arial" w:hAnsi="Arial"/>
                <w:sz w:val="18"/>
                <w:szCs w:val="18"/>
                <w:color w:val="auto"/>
              </w:rPr>
              <w:t>- 1.7%</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1.7%</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5"/>
              </w:rPr>
              <w:t>5.0</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5.0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105.7%</w:t>
            </w:r>
          </w:p>
        </w:tc>
        <w:tc>
          <w:tcPr>
            <w:tcW w:w="1000" w:type="dxa"/>
            <w:vAlign w:val="bottom"/>
          </w:tcPr>
          <w:p>
            <w:pPr>
              <w:ind w:left="20"/>
              <w:spacing w:after="0"/>
              <w:rPr>
                <w:sz w:val="20"/>
                <w:szCs w:val="20"/>
                <w:color w:val="auto"/>
              </w:rPr>
            </w:pPr>
            <w:r>
              <w:rPr>
                <w:rFonts w:ascii="Arial" w:cs="Arial" w:eastAsia="Arial" w:hAnsi="Arial"/>
                <w:sz w:val="18"/>
                <w:szCs w:val="18"/>
                <w:color w:val="auto"/>
              </w:rPr>
              <w:t>- 107.7%</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116.1%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warrants available to exercise at December 31, 2016 are as follows: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Number of</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70"/>
        </w:trPr>
        <w:tc>
          <w:tcPr>
            <w:tcW w:w="37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shares</w:t>
            </w:r>
          </w:p>
        </w:tc>
        <w:tc>
          <w:tcPr>
            <w:tcW w:w="280" w:type="dxa"/>
            <w:vAlign w:val="bottom"/>
          </w:tcPr>
          <w:p>
            <w:pPr>
              <w:spacing w:after="0"/>
              <w:rPr>
                <w:sz w:val="23"/>
                <w:szCs w:val="2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Exercise</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Expiration</w:t>
            </w:r>
          </w:p>
        </w:tc>
      </w:tr>
      <w:tr>
        <w:trPr>
          <w:trHeight w:val="277"/>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Summary of outstanding warrants: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exercisable</w:t>
            </w:r>
          </w:p>
        </w:tc>
        <w:tc>
          <w:tcPr>
            <w:tcW w:w="2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price</w:t>
            </w: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date</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Series A Preferred Stock warrants</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330,249</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$0.01</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1/26/2017</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Series A Preferred Stock warrants</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511,265</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$0.01</w:t>
            </w:r>
          </w:p>
        </w:tc>
        <w:tc>
          <w:tcPr>
            <w:tcW w:w="2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5/5/2017</w:t>
            </w:r>
          </w:p>
        </w:tc>
      </w:tr>
      <w:tr>
        <w:trPr>
          <w:trHeight w:val="277"/>
        </w:trPr>
        <w:tc>
          <w:tcPr>
            <w:tcW w:w="3760" w:type="dxa"/>
            <w:vAlign w:val="bottom"/>
          </w:tcPr>
          <w:p>
            <w:pPr>
              <w:ind w:left="20"/>
              <w:spacing w:after="0"/>
              <w:rPr>
                <w:sz w:val="20"/>
                <w:szCs w:val="20"/>
                <w:color w:val="auto"/>
              </w:rPr>
            </w:pPr>
            <w:r>
              <w:rPr>
                <w:rFonts w:ascii="Arial" w:cs="Arial" w:eastAsia="Arial" w:hAnsi="Arial"/>
                <w:sz w:val="18"/>
                <w:szCs w:val="18"/>
                <w:color w:val="auto"/>
              </w:rPr>
              <w:t>Series B Preferred Stock warrants</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835,889</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$0.73</w:t>
            </w: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11/17/2026</w:t>
            </w:r>
          </w:p>
        </w:tc>
      </w:tr>
      <w:tr>
        <w:trPr>
          <w:trHeight w:val="574"/>
        </w:trPr>
        <w:tc>
          <w:tcPr>
            <w:tcW w:w="3760" w:type="dxa"/>
            <w:vAlign w:val="bottom"/>
          </w:tcPr>
          <w:p>
            <w:pPr>
              <w:spacing w:after="0"/>
              <w:rPr>
                <w:sz w:val="24"/>
                <w:szCs w:val="24"/>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1,677,403</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There were 684,932 and 0 Series A Preferred Stock warrants cancelled during the years ended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25" w:right="239" w:bottom="1440" w:gutter="0" w:footer="0" w:header="0"/>
        </w:sectPr>
      </w:pPr>
    </w:p>
    <w:bookmarkStart w:id="191" w:name="page192"/>
    <w:bookmarkEnd w:id="191"/>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8 – Income Taxes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December 31, 2016, the Company had net operating loss carry forwards available to reduce future taxable income, if any, of approximately $29,145,000 for Federal income tax purposes. The Federal net operating loss carry forwards begin to expire in 2026. At December 31, 2016, the Company had California net operating losses carry forwards of approximately $25,681,000 that expire in various years beginning in 2017. During the year ended December 31, 2016, $2,810,000 of California net operating losses expired. Pursuant to Internal Revenue Code Sections 382 and 383, use of the Company's net operating loss carry forwards may be limited if a cumulative change in ownership of more than 50% occurs within a three-year period.</w:t>
      </w:r>
    </w:p>
    <w:p>
      <w:pPr>
        <w:spacing w:after="0" w:line="2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files income taxes in the U.S. Federal jurisdiction and the state of California. The Company is subject to U.S. federal or state income tax examinations by tax authorities for years after 2013. During the periods open to examination, the Company has net operating losses carry forwards for U.S. Federal and state tax purposes that have attributes from closed periods. Since these net operating losses and tax credit carry forwards may be utilized in future periods, they remain subject to examination.</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years ended December 31, 2016 and 2015,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research and development credits for these years. If an adjustment is required, this adjustment would be offset by an adjustment to the deferred tax asset established for the research and development credit carryforwards and the valuation allowance.</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Temporary differences between the carrying amounts of assets for financial reporting purposes and the amounts used for income tax purposes and net operating loss carry forwards give rise to the Company's deferred tax assets. The components of the Company's deferred tax assets as of December 31, 2016 and 2015 are as follows: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2015</w:t>
            </w: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Net operating loss carry forwards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11,408,000</w:t>
            </w:r>
          </w:p>
        </w:tc>
        <w:tc>
          <w:tcPr>
            <w:tcW w:w="2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12,141,000</w:t>
            </w: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Acquisition costs</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161,000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Intangibles</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17,000</w:t>
            </w:r>
          </w:p>
        </w:tc>
      </w:tr>
      <w:tr>
        <w:trPr>
          <w:trHeight w:val="277"/>
        </w:trPr>
        <w:tc>
          <w:tcPr>
            <w:tcW w:w="5420" w:type="dxa"/>
            <w:vAlign w:val="bottom"/>
          </w:tcPr>
          <w:p>
            <w:pPr>
              <w:ind w:left="6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11,584,000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12,160,000</w:t>
            </w:r>
          </w:p>
        </w:tc>
      </w:tr>
      <w:tr>
        <w:trPr>
          <w:trHeight w:val="601"/>
        </w:trPr>
        <w:tc>
          <w:tcPr>
            <w:tcW w:w="5420" w:type="dxa"/>
            <w:vAlign w:val="bottom"/>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(12,160,000)</w:t>
            </w:r>
          </w:p>
        </w:tc>
      </w:tr>
      <w:tr>
        <w:trPr>
          <w:trHeight w:val="581"/>
        </w:trPr>
        <w:tc>
          <w:tcPr>
            <w:tcW w:w="54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20" w:type="dxa"/>
            <w:vAlign w:val="bottom"/>
          </w:tcPr>
          <w:p>
            <w:pPr>
              <w:spacing w:after="0"/>
              <w:rPr>
                <w:sz w:val="24"/>
                <w:szCs w:val="24"/>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valuation allowance has been recorded against the deferred tax assets, as the ultimate realization of these assets are considered uncertain at this early development stage of the Company. The change in the valuation allowance for the years ended December 31, 2016 and 2015 amounted to approximately ($576,000) and $356,000,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20"/>
          </w:cols>
          <w:pgMar w:left="240" w:top="125" w:right="239" w:bottom="1440" w:gutter="0" w:footer="0" w:header="0"/>
        </w:sectPr>
      </w:pPr>
    </w:p>
    <w:bookmarkStart w:id="192" w:name="page193"/>
    <w:bookmarkEnd w:id="192"/>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A reconciliation of the effective tax with the Federal statutory rate is as follow</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85"/>
        </w:trPr>
        <w:tc>
          <w:tcPr>
            <w:tcW w:w="574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2015</w:t>
            </w:r>
          </w:p>
        </w:tc>
      </w:tr>
      <w:tr>
        <w:trPr>
          <w:trHeight w:val="581"/>
        </w:trPr>
        <w:tc>
          <w:tcPr>
            <w:tcW w:w="5740" w:type="dxa"/>
            <w:vAlign w:val="bottom"/>
          </w:tcPr>
          <w:p>
            <w:pPr>
              <w:ind w:left="320"/>
              <w:spacing w:after="0"/>
              <w:rPr>
                <w:sz w:val="20"/>
                <w:szCs w:val="20"/>
                <w:color w:val="auto"/>
              </w:rPr>
            </w:pPr>
            <w:r>
              <w:rPr>
                <w:rFonts w:ascii="Arial" w:cs="Arial" w:eastAsia="Arial" w:hAnsi="Arial"/>
                <w:sz w:val="18"/>
                <w:szCs w:val="18"/>
                <w:color w:val="auto"/>
              </w:rPr>
              <w:t>Federal income tax benefit at statutory rate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(416,000)</w:t>
            </w:r>
          </w:p>
        </w:tc>
        <w:tc>
          <w:tcPr>
            <w:tcW w:w="2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(332,000)</w:t>
            </w: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Non-deductible expenses</w:t>
            </w:r>
          </w:p>
        </w:tc>
        <w:tc>
          <w:tcPr>
            <w:tcW w:w="138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31,000</w:t>
            </w: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True-ups and expired net operating losses</w:t>
            </w:r>
          </w:p>
        </w:tc>
        <w:tc>
          <w:tcPr>
            <w:tcW w:w="1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992,000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tcPr>
          <w:p>
            <w:pPr>
              <w:ind w:left="320"/>
              <w:spacing w:after="0"/>
              <w:rPr>
                <w:sz w:val="20"/>
                <w:szCs w:val="20"/>
                <w:color w:val="auto"/>
              </w:rPr>
            </w:pPr>
            <w:r>
              <w:rPr>
                <w:rFonts w:ascii="Arial" w:cs="Arial" w:eastAsia="Arial" w:hAnsi="Arial"/>
                <w:sz w:val="18"/>
                <w:szCs w:val="18"/>
                <w:color w:val="auto"/>
              </w:rPr>
              <w:t>Change in federal valuation allowance</w:t>
            </w:r>
          </w:p>
        </w:tc>
        <w:tc>
          <w:tcPr>
            <w:tcW w:w="1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301,000</w:t>
            </w:r>
          </w:p>
        </w:tc>
      </w:tr>
      <w:tr>
        <w:trPr>
          <w:trHeight w:val="581"/>
        </w:trPr>
        <w:tc>
          <w:tcPr>
            <w:tcW w:w="5740" w:type="dxa"/>
            <w:vAlign w:val="bottom"/>
          </w:tcPr>
          <w:p>
            <w:pPr>
              <w:ind w:left="920"/>
              <w:spacing w:after="0"/>
              <w:rPr>
                <w:sz w:val="20"/>
                <w:szCs w:val="20"/>
                <w:color w:val="auto"/>
              </w:rPr>
            </w:pPr>
            <w:r>
              <w:rPr>
                <w:rFonts w:ascii="Arial" w:cs="Arial" w:eastAsia="Arial" w:hAnsi="Arial"/>
                <w:sz w:val="18"/>
                <w:szCs w:val="18"/>
                <w:color w:val="auto"/>
              </w:rPr>
              <w:t>Total benefit from taxes</w:t>
            </w:r>
          </w:p>
        </w:tc>
        <w:tc>
          <w:tcPr>
            <w:tcW w:w="13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Licenses </w:t>
      </w:r>
      <w:r>
        <w:rPr>
          <w:rFonts w:ascii="Arial" w:cs="Arial" w:eastAsia="Arial" w:hAnsi="Arial"/>
          <w:sz w:val="18"/>
          <w:szCs w:val="18"/>
          <w:color w:val="auto"/>
        </w:rPr>
        <w:t>– In July 2014, the Company entered into a research agreement with a foundation which also provided a grant. Under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and research arrangement, the Company is obligated to pay the foundation a royalty of one percent of all revenues realized from the sale or usage of any product derived from the research. These royalty payments are payable each quarter until the royalty paid equals six times the grant received by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Other than normally recurring legal action, there has not been any additional claims instituted against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does not believe that there are any matters that may result in litigation that will have a material adverse effect on the financial position of the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has a month-to-month storage lease in Carlsbad, California.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10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Management has evaluated subsequent events, as defined by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through the date that the financial statements were available to be issued on March 27, 2017.</w:t>
      </w:r>
    </w:p>
    <w:p>
      <w:pPr>
        <w:spacing w:after="0" w:line="1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entered into two additional bridge loan tranches in 2017 for approximately $1,546,000 with an interest rate of 8% and with warrant coverage of 10%.</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21, 2016, the Company entered into a merger agreement (“Merger Agreement”) with Soleno Therapeutics, Inc., a Delaware corporation (“Soleno Therapeutics”). On March 7, 2017, the merger was closed and a certificate of merger was executed. Effective on the date of closing, all Company options that were not exercised were terminated and all Company warrants were either exercised in full or, if not exercised in full, terminated, canceled, or automatically converted into shares of Company common stock or preferred stock. All Company common stock were automatically cancelled and retired. All bridge loans were automatically converted into Company Series B Preferred Stock at $0.73 per share. In conjunction with the merger, Soleno Therapeutics issued 18,916,940 shares of Soleno Therapeutics common stock to stockholders of the Company. Soleno Therapeutics held back 913,379 shares of common stock as partial recourse to satisfy indemnification claims, and such shares will be issued to the Company’s stockholders on the 1 year anniversary of the closing of the merger. Soleno Therapeutics is also obligated to issue an additional 4,566,948 shares of common stock to the Company’s stockholders upon the achievement of a development milestone. Assuming that Soleno Therapeutics issues all of the shares of common stock held back and the development milestone is achieved, Soleno Therapeutics would issue a total of 24,397,267 shares of common stock to the Company’s stockholders. Additionally, upon the achievement of certain commercial milestones associated with the sale of the Company’s product in accordance with the terms of the Merger Agreement, Soleno Therapeutics is obligated to make cash earnout payments of up to a maximum of $30 million to the Company’s stockholders. The merger consideration described above will be reduced by any such shares of common stock issuable, or cash earnout payments payable, to the Company’s management carve-out plan participants and other service providers of the Company in each case, in accordance with the terms of the Merger Agreement. As a result of the merger, Soleno Therapeutics obtained 100% ownership of the Company.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ectPr>
          <w:pgSz w:w="11900" w:h="16838" w:orient="portrait"/>
          <w:cols w:equalWidth="0" w:num="1">
            <w:col w:w="11420"/>
          </w:cols>
          <w:pgMar w:left="240" w:top="125" w:right="239" w:bottom="1440" w:gutter="0" w:footer="0" w:header="0"/>
        </w:sectPr>
      </w:pPr>
    </w:p>
    <w:bookmarkStart w:id="193" w:name="page194"/>
    <w:bookmarkEnd w:id="193"/>
    <w:p>
      <w:pPr>
        <w:ind w:left="340"/>
        <w:spacing w:after="0"/>
        <w:rPr>
          <w:sz w:val="20"/>
          <w:szCs w:val="20"/>
          <w:color w:val="auto"/>
        </w:rPr>
      </w:pPr>
      <w:r>
        <w:rPr>
          <w:rFonts w:ascii="Arial" w:cs="Arial" w:eastAsia="Arial" w:hAnsi="Arial"/>
          <w:sz w:val="18"/>
          <w:szCs w:val="18"/>
          <w:color w:val="auto"/>
        </w:rPr>
        <w:t>Soleno Therapeutics,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CONDENSED COMBINED FINANCIAL STATEMENTS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22, Soleno Therapeutics, Inc. (formerly known as Capnia, Inc.) (the “Company”) agreed to acquire Essentialis, Inc. (“Essentialis”) a privately-held development stage company. The Company completed the merger on March 7, 2017.The Company acquired all outstanding shares of Essentialis in exchange for 24.4 million shares of Soleno Therapeutics common stock and cash payments contingent on attainment of cumulative future revenue milestones. The following unaudited pro forma condensed combined balance sheet as of December 31, 2016 is based on the historical consolidated financial statements of the Company, the historical financial statements of Essentialis and the impact of the acquisition of Essentialis on the Company’s financial position. The unaudited pro forma condensed combined statement of income present the combined results of the Company’s operations with Essentialis as if the acquisition of the assets had occurred at the beginning of the period presented and include adjustments that are directly attributable to the acquisition, are expected to have a continuing impact on the combined results, and are factually supportable. The unaudited pro forma condensed combined financial statements are not necessarily indicative of what our financial position or results of operations actually would have been had we completed the acquisition of the assets at the dates indicated. In addition, the unaudited pro forma condensed combined financial information does not purport to project the future financial position or operating results of the combined company.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Pro Forma Condensed Financial Statements should be read in conjunction with the:</w:t>
      </w:r>
    </w:p>
    <w:p>
      <w:pPr>
        <w:spacing w:after="0" w:line="225" w:lineRule="exact"/>
        <w:rPr>
          <w:sz w:val="20"/>
          <w:szCs w:val="20"/>
          <w:color w:val="auto"/>
        </w:rPr>
      </w:pPr>
    </w:p>
    <w:p>
      <w:pPr>
        <w:ind w:left="660" w:right="35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Separate historical financial statements of the Company as of and for the year ended December 31, 2016 included in the Company's Annual Report on Form 10K;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Separate historical financial statements of Essentialis as of and for the years ended December 31, 2016 and December 31, 2015 as Exhibit 99.1;</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transaction has been accounted for as an asset acquisition under the acquisition method of accounting. Accordingly, the identifiable intangible assets acquired have been recorded at fair value (see Note 2). The Company’s historical consolidated financial information has been adjusted to give effect to the impact of the consideration paid in connection with the acquisition. The amounts allocated to the assets in the Unaudited Pro Forma Condensed Combined Balance Sheet are based on the fair value (see Note 2) of the assets as of March 7, 2017. The Company did not assume any liabilities that would be recorded on the Unaudited Pro Forma Condensed Combined Balance Sheet.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- 62</w:t>
      </w:r>
    </w:p>
    <w:p>
      <w:pPr>
        <w:sectPr>
          <w:pgSz w:w="11900" w:h="16838" w:orient="portrait"/>
          <w:cols w:equalWidth="0" w:num="1">
            <w:col w:w="11340"/>
          </w:cols>
          <w:pgMar w:left="240" w:top="598" w:right="319" w:bottom="1440" w:gutter="0" w:footer="0" w:header="0"/>
        </w:sectPr>
      </w:pPr>
    </w:p>
    <w:bookmarkStart w:id="194" w:name="page195"/>
    <w:bookmarkEnd w:id="194"/>
    <w:p>
      <w:pPr>
        <w:ind w:left="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Pro Forma Condensed Consolidated Statements of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2016</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Proforma Adjustments</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70"/>
        </w:trPr>
        <w:tc>
          <w:tcPr>
            <w:tcW w:w="4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8"/>
              </w:rPr>
              <w:t>Soleno Therapeutics</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Essentialis</w:t>
            </w:r>
          </w:p>
        </w:tc>
        <w:tc>
          <w:tcPr>
            <w:tcW w:w="100" w:type="dxa"/>
            <w:vAlign w:val="bottom"/>
            <w:vMerge w:val="restart"/>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BFE4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BFE4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BFE4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(Note 3)</w:t>
            </w:r>
          </w:p>
        </w:tc>
        <w:tc>
          <w:tcPr>
            <w:tcW w:w="900" w:type="dxa"/>
            <w:vAlign w:val="bottom"/>
            <w:tcBorders>
              <w:bottom w:val="single" w:sz="8" w:color="BFE4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1,451</w:t>
            </w:r>
          </w:p>
        </w:tc>
        <w:tc>
          <w:tcPr>
            <w:tcW w:w="2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(a)</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BFE4FF"/>
            </w:tcBorders>
            <w:shd w:val="clear" w:color="auto" w:fill="BFE4FF"/>
          </w:tcPr>
          <w:p>
            <w:pPr>
              <w:spacing w:after="0"/>
              <w:rPr>
                <w:sz w:val="22"/>
                <w:szCs w:val="22"/>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Change in fair value of warrants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Cease-use expense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Loss before provision for deferred taxes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Provision for deferred taxes</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Loss on extinguishment of convertible preferred stock</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tcBorders>
              <w:bottom w:val="single" w:sz="8" w:color="BFE4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BFE4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89"/>
        </w:trPr>
        <w:tc>
          <w:tcPr>
            <w:tcW w:w="4660" w:type="dxa"/>
            <w:vAlign w:val="bottom"/>
            <w:tcBorders>
              <w:top w:val="single" w:sz="8" w:color="BFE4FF"/>
            </w:tcBorders>
            <w:shd w:val="clear" w:color="auto" w:fill="BFE4FF"/>
          </w:tcPr>
          <w:p>
            <w:pPr>
              <w:ind w:left="20"/>
              <w:spacing w:after="0" w:line="189" w:lineRule="exact"/>
              <w:rPr>
                <w:sz w:val="20"/>
                <w:szCs w:val="20"/>
                <w:color w:val="auto"/>
              </w:rPr>
            </w:pPr>
            <w:r>
              <w:rPr>
                <w:rFonts w:ascii="Arial" w:cs="Arial" w:eastAsia="Arial" w:hAnsi="Arial"/>
                <w:sz w:val="18"/>
                <w:szCs w:val="18"/>
                <w:color w:val="auto"/>
                <w:w w:val="89"/>
              </w:rPr>
              <w:t>Weighted-average common shares outstanding used to calculate</w:t>
            </w:r>
          </w:p>
        </w:tc>
        <w:tc>
          <w:tcPr>
            <w:tcW w:w="120" w:type="dxa"/>
            <w:vAlign w:val="bottom"/>
            <w:tcBorders>
              <w:top w:val="single" w:sz="8" w:color="auto"/>
            </w:tcBorders>
            <w:shd w:val="clear" w:color="auto" w:fill="BFE4FF"/>
          </w:tcPr>
          <w:p>
            <w:pPr>
              <w:spacing w:after="0"/>
              <w:rPr>
                <w:sz w:val="16"/>
                <w:szCs w:val="16"/>
                <w:color w:val="auto"/>
              </w:rPr>
            </w:pPr>
          </w:p>
        </w:tc>
        <w:tc>
          <w:tcPr>
            <w:tcW w:w="138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180" w:type="dxa"/>
            <w:vAlign w:val="bottom"/>
            <w:tcBorders>
              <w:top w:val="single" w:sz="8" w:color="BFE4FF"/>
            </w:tcBorders>
            <w:shd w:val="clear" w:color="auto" w:fill="BFE4FF"/>
          </w:tcPr>
          <w:p>
            <w:pPr>
              <w:spacing w:after="0"/>
              <w:rPr>
                <w:sz w:val="16"/>
                <w:szCs w:val="16"/>
                <w:color w:val="auto"/>
              </w:rPr>
            </w:pPr>
          </w:p>
        </w:tc>
        <w:tc>
          <w:tcPr>
            <w:tcW w:w="960" w:type="dxa"/>
            <w:vAlign w:val="bottom"/>
            <w:tcBorders>
              <w:top w:val="single" w:sz="8" w:color="BFE4FF"/>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300" w:type="dxa"/>
            <w:vAlign w:val="bottom"/>
            <w:tcBorders>
              <w:top w:val="single" w:sz="8" w:color="BFE4FF"/>
            </w:tcBorders>
            <w:shd w:val="clear" w:color="auto" w:fill="BFE4FF"/>
          </w:tcPr>
          <w:p>
            <w:pPr>
              <w:spacing w:after="0"/>
              <w:rPr>
                <w:sz w:val="16"/>
                <w:szCs w:val="16"/>
                <w:color w:val="auto"/>
              </w:rPr>
            </w:pPr>
          </w:p>
        </w:tc>
        <w:tc>
          <w:tcPr>
            <w:tcW w:w="1180" w:type="dxa"/>
            <w:vAlign w:val="bottom"/>
            <w:tcBorders>
              <w:top w:val="single" w:sz="8" w:color="BFE4FF"/>
            </w:tcBorders>
            <w:shd w:val="clear" w:color="auto" w:fill="BFE4FF"/>
          </w:tcPr>
          <w:p>
            <w:pPr>
              <w:spacing w:after="0"/>
              <w:rPr>
                <w:sz w:val="16"/>
                <w:szCs w:val="16"/>
                <w:color w:val="auto"/>
              </w:rPr>
            </w:pPr>
          </w:p>
        </w:tc>
        <w:tc>
          <w:tcPr>
            <w:tcW w:w="900" w:type="dxa"/>
            <w:vAlign w:val="bottom"/>
            <w:tcBorders>
              <w:top w:val="single" w:sz="8" w:color="BFE4FF"/>
            </w:tcBorders>
            <w:shd w:val="clear" w:color="auto" w:fill="BFE4FF"/>
          </w:tcPr>
          <w:p>
            <w:pPr>
              <w:spacing w:after="0"/>
              <w:rPr>
                <w:sz w:val="16"/>
                <w:szCs w:val="16"/>
                <w:color w:val="auto"/>
              </w:rPr>
            </w:pPr>
          </w:p>
        </w:tc>
        <w:tc>
          <w:tcPr>
            <w:tcW w:w="260" w:type="dxa"/>
            <w:vAlign w:val="bottom"/>
            <w:tcBorders>
              <w:top w:val="single" w:sz="8" w:color="auto"/>
            </w:tcBorders>
            <w:shd w:val="clear" w:color="auto" w:fill="BFE4FF"/>
          </w:tcPr>
          <w:p>
            <w:pPr>
              <w:spacing w:after="0"/>
              <w:rPr>
                <w:sz w:val="16"/>
                <w:szCs w:val="16"/>
                <w:color w:val="auto"/>
              </w:rPr>
            </w:pPr>
          </w:p>
        </w:tc>
        <w:tc>
          <w:tcPr>
            <w:tcW w:w="1220" w:type="dxa"/>
            <w:vAlign w:val="bottom"/>
            <w:tcBorders>
              <w:top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15,507,484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34,813,972</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(b)(k)(l)</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50,321,456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- 63</w:t>
      </w:r>
    </w:p>
    <w:p>
      <w:pPr>
        <w:sectPr>
          <w:pgSz w:w="11900" w:h="16838" w:orient="portrait"/>
          <w:cols w:equalWidth="0" w:num="1">
            <w:col w:w="11360"/>
          </w:cols>
          <w:pgMar w:left="280" w:top="756" w:right="259" w:bottom="1440" w:gutter="0" w:footer="0" w:header="0"/>
        </w:sectPr>
      </w:pPr>
    </w:p>
    <w:bookmarkStart w:id="195" w:name="page196"/>
    <w:bookmarkEnd w:id="195"/>
    <w:p>
      <w:pPr>
        <w:ind w:left="20"/>
        <w:spacing w:after="0"/>
        <w:rPr>
          <w:sz w:val="20"/>
          <w:szCs w:val="20"/>
          <w:color w:val="auto"/>
        </w:rPr>
      </w:pPr>
      <w:r>
        <w:rPr>
          <w:rFonts w:ascii="Arial" w:cs="Arial" w:eastAsia="Arial" w:hAnsi="Arial"/>
          <w:sz w:val="18"/>
          <w:szCs w:val="18"/>
          <w:b w:val="1"/>
          <w:bCs w:val="1"/>
          <w:color w:val="auto"/>
        </w:rPr>
        <w:t>Soleno Therapeutics, Inc. (formerly known 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Capnia, Inc.)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2016</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data)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Soleno Therapeutics</w:t>
            </w:r>
          </w:p>
        </w:tc>
        <w:tc>
          <w:tcPr>
            <w:tcW w:w="26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Essentialis</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Proforma Adjustments</w:t>
            </w:r>
          </w:p>
        </w:tc>
        <w:tc>
          <w:tcPr>
            <w:tcW w:w="114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91"/>
              <w:spacing w:after="0"/>
              <w:rPr>
                <w:sz w:val="20"/>
                <w:szCs w:val="20"/>
                <w:color w:val="auto"/>
              </w:rPr>
            </w:pPr>
            <w:r>
              <w:rPr>
                <w:rFonts w:ascii="Arial" w:cs="Arial" w:eastAsia="Arial" w:hAnsi="Arial"/>
                <w:sz w:val="14"/>
                <w:szCs w:val="14"/>
                <w:b w:val="1"/>
                <w:bCs w:val="1"/>
                <w:color w:val="auto"/>
              </w:rPr>
              <w:t>(Note 3)</w:t>
            </w:r>
          </w:p>
        </w:tc>
        <w:tc>
          <w:tcPr>
            <w:tcW w:w="1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239"/>
              <w:spacing w:after="0"/>
              <w:rPr>
                <w:sz w:val="20"/>
                <w:szCs w:val="20"/>
                <w:color w:val="auto"/>
              </w:rPr>
            </w:pPr>
            <w:r>
              <w:rPr>
                <w:rFonts w:ascii="Arial" w:cs="Arial" w:eastAsia="Arial" w:hAnsi="Arial"/>
                <w:sz w:val="18"/>
                <w:szCs w:val="18"/>
                <w:color w:val="auto"/>
              </w:rPr>
              <w:t>(d)(e)(k)(l) $</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10,000</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20,449</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(f)</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13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30,449</w:t>
            </w:r>
          </w:p>
        </w:tc>
        <w:tc>
          <w:tcPr>
            <w:tcW w:w="1580" w:type="dxa"/>
            <w:vAlign w:val="bottom"/>
            <w:gridSpan w:val="2"/>
            <w:shd w:val="clear" w:color="auto" w:fill="BFE4FF"/>
          </w:tcPr>
          <w:p>
            <w:pPr>
              <w:jc w:val="right"/>
              <w:ind w:right="239"/>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0"/>
        </w:trPr>
        <w:tc>
          <w:tcPr>
            <w:tcW w:w="41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580" w:type="dxa"/>
            <w:vAlign w:val="bottom"/>
            <w:gridSpan w:val="2"/>
          </w:tcPr>
          <w:p>
            <w:pPr>
              <w:jc w:val="right"/>
              <w:ind w:right="239"/>
              <w:spacing w:after="0"/>
              <w:rPr>
                <w:sz w:val="20"/>
                <w:szCs w:val="20"/>
                <w:color w:val="auto"/>
              </w:rPr>
            </w:pPr>
            <w:r>
              <w:rPr>
                <w:rFonts w:ascii="Arial" w:cs="Arial" w:eastAsia="Arial" w:hAnsi="Arial"/>
                <w:sz w:val="18"/>
                <w:szCs w:val="18"/>
                <w:color w:val="auto"/>
              </w:rPr>
              <w:t>(c)(d) $</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Accrued 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(1,068)</w:t>
            </w:r>
          </w:p>
        </w:tc>
        <w:tc>
          <w:tcPr>
            <w:tcW w:w="1580" w:type="dxa"/>
            <w:vAlign w:val="bottom"/>
            <w:tcBorders>
              <w:bottom w:val="single" w:sz="8" w:color="BFE4FF"/>
            </w:tcBorders>
            <w:gridSpan w:val="2"/>
            <w:shd w:val="clear" w:color="auto" w:fill="BFE4FF"/>
          </w:tcPr>
          <w:p>
            <w:pPr>
              <w:jc w:val="right"/>
              <w:ind w:right="239"/>
              <w:spacing w:after="0"/>
              <w:rPr>
                <w:sz w:val="20"/>
                <w:szCs w:val="20"/>
                <w:color w:val="auto"/>
              </w:rPr>
            </w:pPr>
            <w:r>
              <w:rPr>
                <w:rFonts w:ascii="Arial" w:cs="Arial" w:eastAsia="Arial" w:hAnsi="Arial"/>
                <w:sz w:val="18"/>
                <w:szCs w:val="18"/>
                <w:color w:val="auto"/>
              </w:rPr>
              <w:t>(i) $</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(4,506)</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(i)</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w w:val="98"/>
              </w:rPr>
              <w:t>Accrued compensation and other current liabilities</w:t>
            </w:r>
          </w:p>
        </w:tc>
        <w:tc>
          <w:tcPr>
            <w:tcW w:w="120" w:type="dxa"/>
            <w:vAlign w:val="bottom"/>
            <w:tcBorders>
              <w:bottom w:val="single" w:sz="8" w:color="BFE4FF"/>
            </w:tcBorders>
            <w:shd w:val="clear" w:color="auto" w:fill="BFE4FF"/>
          </w:tcPr>
          <w:p>
            <w:pPr>
              <w:spacing w:after="0"/>
              <w:rPr>
                <w:sz w:val="23"/>
                <w:szCs w:val="23"/>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4,136</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(d)(h)</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Series A warrant liability</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Series C warrant liability</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(g)</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(466)</w:t>
            </w:r>
          </w:p>
        </w:tc>
        <w:tc>
          <w:tcPr>
            <w:tcW w:w="114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20"/>
              <w:spacing w:after="0"/>
              <w:rPr>
                <w:sz w:val="20"/>
                <w:szCs w:val="20"/>
                <w:color w:val="auto"/>
              </w:rPr>
            </w:pPr>
            <w:r>
              <w:rPr>
                <w:rFonts w:ascii="Arial" w:cs="Arial" w:eastAsia="Arial" w:hAnsi="Arial"/>
                <w:sz w:val="18"/>
                <w:szCs w:val="18"/>
                <w:color w:val="auto"/>
                <w:w w:val="94"/>
              </w:rPr>
              <w:t>Preferred Stock, $0.001 par value, 10,000,000 shares</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authorized:</w:t>
            </w:r>
          </w:p>
        </w:tc>
        <w:tc>
          <w:tcPr>
            <w:tcW w:w="120" w:type="dxa"/>
            <w:vAlign w:val="bottom"/>
            <w:tcBorders>
              <w:bottom w:val="single" w:sz="8" w:color="BFE4FF"/>
            </w:tcBorders>
            <w:shd w:val="clear" w:color="auto" w:fill="BFE4FF"/>
          </w:tcPr>
          <w:p>
            <w:pPr>
              <w:spacing w:after="0"/>
              <w:rPr>
                <w:sz w:val="20"/>
                <w:szCs w:val="20"/>
                <w:color w:val="auto"/>
              </w:rPr>
            </w:pPr>
          </w:p>
        </w:tc>
        <w:tc>
          <w:tcPr>
            <w:tcW w:w="13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w w:val="91"/>
              </w:rPr>
              <w:t>Series A convertible stock, 10,000 shares designated;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w w:val="91"/>
              </w:rPr>
              <w:t>zero issued and outstanding as of December 31, 2016</w:t>
            </w: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1"/>
              </w:rPr>
              <w:t>Series B convertible stock, 13,780 shares designated;</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6"/>
              </w:rPr>
              <w:t>12,780 issued and outstanding as of December 31,</w:t>
            </w:r>
          </w:p>
        </w:tc>
        <w:tc>
          <w:tcPr>
            <w:tcW w:w="120" w:type="dxa"/>
            <w:vAlign w:val="bottom"/>
            <w:shd w:val="clear" w:color="auto" w:fill="BFE4FF"/>
          </w:tcPr>
          <w:p>
            <w:pPr>
              <w:spacing w:after="0"/>
              <w:rPr>
                <w:sz w:val="18"/>
                <w:szCs w:val="18"/>
                <w:color w:val="auto"/>
              </w:rPr>
            </w:pPr>
          </w:p>
        </w:tc>
        <w:tc>
          <w:tcPr>
            <w:tcW w:w="13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0"/>
                <w:szCs w:val="20"/>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w w:val="91"/>
              </w:rPr>
              <w:t>Series A convertible preferred stock, $0.001 par value</w:t>
            </w:r>
          </w:p>
        </w:tc>
        <w:tc>
          <w:tcPr>
            <w:tcW w:w="1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w w:val="91"/>
              </w:rPr>
              <w:t>Series B convertible preferred stock, $0.001 par value</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0"/>
              </w:rPr>
              <w:t>Common stock, $0.001 par value, 100,000,000 shares</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0"/>
              </w:rPr>
              <w:t>authorized, 16,786,952 shares issued and outstanding</w:t>
            </w:r>
          </w:p>
        </w:tc>
        <w:tc>
          <w:tcPr>
            <w:tcW w:w="120" w:type="dxa"/>
            <w:vAlign w:val="bottom"/>
            <w:shd w:val="clear" w:color="auto" w:fill="BFE4FF"/>
          </w:tcPr>
          <w:p>
            <w:pPr>
              <w:spacing w:after="0"/>
              <w:rPr>
                <w:sz w:val="18"/>
                <w:szCs w:val="18"/>
                <w:color w:val="auto"/>
              </w:rPr>
            </w:pPr>
          </w:p>
        </w:tc>
        <w:tc>
          <w:tcPr>
            <w:tcW w:w="13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at December 31, 2016</w:t>
            </w:r>
          </w:p>
        </w:tc>
        <w:tc>
          <w:tcPr>
            <w:tcW w:w="120" w:type="dxa"/>
            <w:vAlign w:val="bottom"/>
            <w:tcBorders>
              <w:bottom w:val="single" w:sz="8" w:color="BFE4FF"/>
            </w:tcBorders>
            <w:shd w:val="clear" w:color="auto" w:fill="BFE4FF"/>
          </w:tcPr>
          <w:p>
            <w:pPr>
              <w:spacing w:after="0"/>
              <w:rPr>
                <w:sz w:val="20"/>
                <w:szCs w:val="20"/>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(b)(j)(k)(l)</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Additional paid-in-capital</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101,730</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23,814</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718</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(d)(e)(f)(j)</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126,262</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30,198</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(c)(j)</w:t>
            </w:r>
          </w:p>
        </w:tc>
        <w:tc>
          <w:tcPr>
            <w:tcW w:w="104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30,915</w:t>
            </w:r>
          </w:p>
        </w:tc>
        <w:tc>
          <w:tcPr>
            <w:tcW w:w="114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57"/>
        </w:trPr>
        <w:tc>
          <w:tcPr>
            <w:tcW w:w="41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30,449</w:t>
            </w:r>
          </w:p>
        </w:tc>
        <w:tc>
          <w:tcPr>
            <w:tcW w:w="1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3" w:right="25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- 64</w:t>
      </w:r>
    </w:p>
    <w:p>
      <w:pPr>
        <w:sectPr>
          <w:pgSz w:w="11900" w:h="16838" w:orient="portrait"/>
          <w:cols w:equalWidth="0" w:num="1">
            <w:col w:w="11360"/>
          </w:cols>
          <w:pgMar w:left="280" w:top="743" w:right="259" w:bottom="1440" w:gutter="0" w:footer="0" w:header="0"/>
          <w:type w:val="continuous"/>
        </w:sectPr>
      </w:pPr>
    </w:p>
    <w:bookmarkStart w:id="196" w:name="page197"/>
    <w:bookmarkEnd w:id="196"/>
    <w:p>
      <w:pPr>
        <w:ind w:left="340"/>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COMBINED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Description of transaction and basis of presentation</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 December 22, 2016, Soleno Therapeutics, Inc. (formerly known as Capnia, Inc.), or the Company agreed to acquire Essentialis, Inc. or Essentialis, a privately-held development stage business, to accelerate the development of new therapeutics for selected rare diseases. On March 7, 2017, the Company completed the merger and acquired all outstanding shares of Essentialis in exchange for 24.4 million shares of the Company common stock and future cash payments if certain cumulative revenue milestones are achieved from oral dosage products containing diazoxide choline as an active pharmaceutical ingredient. As of March 7, 2017, the merger was valued at approximately $19.9 million based on the closing price of Soleno Therapeutics common stock and the estimated fair value of the milestone payments. The milestone payments of $10 million and $20 million, when cumulative net sales equal $100 million and $200 million, respectively, were valued at $1.1 million, the discounted present value. The Company’s obligation to make milestone payments expires December 31, 2030. The Company incurred transaction costs of $0.6 million that were capitalized.</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At the close on March 7, 2017, the Company released seventy-seven percent (18.9 million shares) of the stock consideration. Four percent (0.9 million shares) was held back for one year and reserved for potential breaches of representations and warranties. Twenty percent (4.6 million shares) of the Company's common stock to be issued will be released upon the initiation of a Phase II/III clinical trial on or before December 31, 2020 for an oral dosage product containing diazoxide choline as an active pharmaceutical ingredient. The Company believes it is likely that such a Phase II/III clinical will be initiated in 2017 and therefore, the fair value of these shares has not been discounted.</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accordance with ASC 2017-01, the Company early adopted the guidance and accounted for the transaction as an asset acquisition, as it was determined that all of the fair value of the gross assets acquired was concentrated in a single identifiable asset.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90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Note 2: Purchase price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The aggregate purchase price consideration is as follows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66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w w:val="90"/>
                <w:shd w:val="clear" w:color="auto" w:fill="BFE4FF"/>
              </w:rPr>
              <w:t>Fair value of Soleno Therapeutics Common Stock Consideration</w:t>
            </w:r>
          </w:p>
        </w:tc>
        <w:tc>
          <w:tcPr>
            <w:tcW w:w="5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18,786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Fair value of contingent cash consideration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4660" w:type="dxa"/>
            <w:vAlign w:val="bottom"/>
            <w:tcBorders>
              <w:bottom w:val="single" w:sz="8" w:color="BFE4FF"/>
            </w:tcBorders>
          </w:tcPr>
          <w:p>
            <w:pPr>
              <w:spacing w:after="0"/>
              <w:rPr>
                <w:sz w:val="2"/>
                <w:szCs w:val="2"/>
                <w:color w:val="auto"/>
              </w:rPr>
            </w:pPr>
          </w:p>
        </w:tc>
        <w:tc>
          <w:tcPr>
            <w:tcW w:w="524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BFE4FF"/>
            </w:tcBorders>
            <w:shd w:val="clear" w:color="auto" w:fill="BFE4FF"/>
          </w:tcPr>
          <w:p>
            <w:pPr>
              <w:spacing w:after="0"/>
              <w:rPr>
                <w:sz w:val="22"/>
                <w:szCs w:val="22"/>
                <w:color w:val="auto"/>
              </w:rPr>
            </w:pPr>
          </w:p>
        </w:tc>
        <w:tc>
          <w:tcPr>
            <w:tcW w:w="4660" w:type="dxa"/>
            <w:vAlign w:val="bottom"/>
            <w:tcBorders>
              <w:bottom w:val="single" w:sz="8" w:color="BFE4FF"/>
            </w:tcBorders>
            <w:shd w:val="clear" w:color="auto" w:fill="BFE4FF"/>
          </w:tcPr>
          <w:p>
            <w:pPr>
              <w:spacing w:after="0"/>
              <w:rPr>
                <w:sz w:val="22"/>
                <w:szCs w:val="22"/>
                <w:color w:val="auto"/>
              </w:rPr>
            </w:pPr>
          </w:p>
        </w:tc>
        <w:tc>
          <w:tcPr>
            <w:tcW w:w="5240" w:type="dxa"/>
            <w:vAlign w:val="bottom"/>
            <w:tcBorders>
              <w:bottom w:val="single" w:sz="8" w:color="BFE4FF"/>
            </w:tcBorders>
            <w:shd w:val="clear" w:color="auto" w:fill="BFE4FF"/>
          </w:tcPr>
          <w:p>
            <w:pPr>
              <w:ind w:left="4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restart"/>
          </w:tcPr>
          <w:p>
            <w:pPr>
              <w:ind w:left="620"/>
              <w:spacing w:after="0"/>
              <w:rPr>
                <w:sz w:val="20"/>
                <w:szCs w:val="20"/>
                <w:color w:val="auto"/>
              </w:rPr>
            </w:pPr>
            <w:r>
              <w:rPr>
                <w:rFonts w:ascii="Arial" w:cs="Arial" w:eastAsia="Arial" w:hAnsi="Arial"/>
                <w:sz w:val="18"/>
                <w:szCs w:val="18"/>
                <w:color w:val="auto"/>
              </w:rPr>
              <w:t>At the closing, the Company does not anticipate acquiring any assets other than intellectual property, or</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assuming any significant liabilities. On March 7, 2017, Essentialis had a negative net working capital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approximately $16,000.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The agreement to make milestone payments in the future resulted in the recognition of a contingent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consideration, which is recognized at the inception of the transaction, and subsequent changes to the estimated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amounts of contingent consideration to be paid will be recognized as charges or credits in the statement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operations. Based on studies which document the likelihood of all drug indications moving from Phase II through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approval, the probability of paying the contingent cash consideration was estimated at 15.3%. In the event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success, the fair value of $1,090,125 was determined by discounting the payments at a rate of 21% to 30%, which is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commensurate with the Company’s cost of capital.</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For the purpose of this pro forma analysis, the purchase price has been allocated entirely to an identifiable</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intangible asset based on its estimated fair value, as follows: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66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shd w:val="clear" w:color="auto" w:fill="BFE4FF"/>
              </w:rPr>
              <w:t>Patents and intellectual property</w:t>
            </w:r>
          </w:p>
        </w:tc>
        <w:tc>
          <w:tcPr>
            <w:tcW w:w="5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shd w:val="clear" w:color="auto" w:fill="BFE4FF"/>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shd w:val="clear" w:color="auto" w:fill="BFE4FF"/>
              </w:rPr>
              <w:t>19,876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Asset acquisition costs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4660" w:type="dxa"/>
            <w:vAlign w:val="bottom"/>
            <w:tcBorders>
              <w:bottom w:val="single" w:sz="8" w:color="BFE4FF"/>
            </w:tcBorders>
          </w:tcPr>
          <w:p>
            <w:pPr>
              <w:spacing w:after="0"/>
              <w:rPr>
                <w:sz w:val="2"/>
                <w:szCs w:val="2"/>
                <w:color w:val="auto"/>
              </w:rPr>
            </w:pPr>
          </w:p>
        </w:tc>
        <w:tc>
          <w:tcPr>
            <w:tcW w:w="524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BFE4FF"/>
            </w:tcBorders>
            <w:shd w:val="clear" w:color="auto" w:fill="BFE4FF"/>
          </w:tcPr>
          <w:p>
            <w:pPr>
              <w:spacing w:after="0"/>
              <w:rPr>
                <w:sz w:val="22"/>
                <w:szCs w:val="22"/>
                <w:color w:val="auto"/>
              </w:rPr>
            </w:pPr>
          </w:p>
        </w:tc>
        <w:tc>
          <w:tcPr>
            <w:tcW w:w="4660" w:type="dxa"/>
            <w:vAlign w:val="bottom"/>
            <w:tcBorders>
              <w:bottom w:val="single" w:sz="8" w:color="BFE4FF"/>
            </w:tcBorders>
            <w:shd w:val="clear" w:color="auto" w:fill="BFE4FF"/>
          </w:tcPr>
          <w:p>
            <w:pPr>
              <w:spacing w:after="0"/>
              <w:rPr>
                <w:sz w:val="22"/>
                <w:szCs w:val="22"/>
                <w:color w:val="auto"/>
              </w:rPr>
            </w:pPr>
          </w:p>
        </w:tc>
        <w:tc>
          <w:tcPr>
            <w:tcW w:w="5240" w:type="dxa"/>
            <w:vAlign w:val="bottom"/>
            <w:tcBorders>
              <w:bottom w:val="single" w:sz="8" w:color="BFE4FF"/>
            </w:tcBorders>
            <w:shd w:val="clear" w:color="auto" w:fill="BFE4FF"/>
          </w:tcPr>
          <w:p>
            <w:pPr>
              <w:ind w:left="47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shd w:val="clear" w:color="auto" w:fill="BFE4FF"/>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shd w:val="clear" w:color="auto" w:fill="BFE4FF"/>
              </w:rPr>
              <w:t>20,449</w:t>
            </w:r>
          </w:p>
        </w:tc>
        <w:tc>
          <w:tcPr>
            <w:tcW w:w="0" w:type="dxa"/>
            <w:vAlign w:val="bottom"/>
          </w:tcPr>
          <w:p>
            <w:pPr>
              <w:spacing w:after="0"/>
              <w:rPr>
                <w:sz w:val="1"/>
                <w:szCs w:val="1"/>
                <w:color w:val="auto"/>
              </w:rPr>
            </w:pP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4660" w:type="dxa"/>
            <w:vAlign w:val="bottom"/>
            <w:tcBorders>
              <w:top w:val="single" w:sz="8" w:color="BFE4FF"/>
            </w:tcBorders>
          </w:tcPr>
          <w:p>
            <w:pPr>
              <w:spacing w:after="0" w:line="20" w:lineRule="exact"/>
              <w:rPr>
                <w:sz w:val="1"/>
                <w:szCs w:val="1"/>
                <w:color w:val="auto"/>
              </w:rPr>
            </w:pPr>
          </w:p>
        </w:tc>
        <w:tc>
          <w:tcPr>
            <w:tcW w:w="5240" w:type="dxa"/>
            <w:vAlign w:val="bottom"/>
            <w:tcBorders>
              <w:top w:val="single" w:sz="8" w:color="BFE4FF"/>
              <w:bottom w:val="single" w:sz="8" w:color="BFE4FF"/>
            </w:tcBorders>
            <w:vMerge w:val="restart"/>
          </w:tcPr>
          <w:p>
            <w:pPr>
              <w:ind w:left="800"/>
              <w:spacing w:after="0"/>
              <w:rPr>
                <w:sz w:val="20"/>
                <w:szCs w:val="20"/>
                <w:color w:val="auto"/>
              </w:rPr>
            </w:pPr>
            <w:r>
              <w:rPr>
                <w:rFonts w:ascii="Arial" w:cs="Arial" w:eastAsia="Arial" w:hAnsi="Arial"/>
                <w:sz w:val="18"/>
                <w:szCs w:val="18"/>
                <w:color w:val="auto"/>
              </w:rPr>
              <w:t>F - 65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7" w:name="page198"/>
    <w:bookmarkEnd w:id="197"/>
    <w:p>
      <w:pPr>
        <w:ind w:left="340"/>
        <w:spacing w:after="0"/>
        <w:rPr>
          <w:sz w:val="20"/>
          <w:szCs w:val="20"/>
          <w:color w:val="auto"/>
        </w:rPr>
      </w:pPr>
      <w:r>
        <w:rPr>
          <w:rFonts w:ascii="Arial" w:cs="Arial" w:eastAsia="Arial" w:hAnsi="Arial"/>
          <w:sz w:val="18"/>
          <w:szCs w:val="18"/>
          <w:b w:val="1"/>
          <w:bCs w:val="1"/>
          <w:color w:val="auto"/>
        </w:rPr>
        <w:t>Note 3: Pro forma adjustments</w:t>
      </w:r>
    </w:p>
    <w:p>
      <w:pPr>
        <w:spacing w:after="0" w:line="229" w:lineRule="exact"/>
        <w:rPr>
          <w:sz w:val="20"/>
          <w:szCs w:val="20"/>
          <w:color w:val="auto"/>
        </w:rPr>
      </w:pPr>
    </w:p>
    <w:p>
      <w:pPr>
        <w:ind w:right="3280" w:firstLine="648"/>
        <w:spacing w:after="0" w:line="264" w:lineRule="auto"/>
        <w:rPr>
          <w:sz w:val="20"/>
          <w:szCs w:val="20"/>
          <w:color w:val="auto"/>
        </w:rPr>
      </w:pPr>
      <w:r>
        <w:rPr>
          <w:rFonts w:ascii="Arial" w:cs="Arial" w:eastAsia="Arial" w:hAnsi="Arial"/>
          <w:sz w:val="18"/>
          <w:szCs w:val="18"/>
          <w:color w:val="auto"/>
        </w:rPr>
        <w:t>Pro forma adjustments are necessary to reflect the estimated purchase price and the fair valuation of acquired assets. The pro forma adjustments included in the unaudited pro forma condensed combined financial statements are as follows:</w:t>
      </w:r>
    </w:p>
    <w:p>
      <w:pPr>
        <w:spacing w:after="0" w:line="181" w:lineRule="exact"/>
        <w:rPr>
          <w:sz w:val="20"/>
          <w:szCs w:val="20"/>
          <w:color w:val="auto"/>
        </w:rPr>
      </w:pPr>
    </w:p>
    <w:p>
      <w:pPr>
        <w:ind w:left="660" w:right="2880" w:hanging="4"/>
        <w:spacing w:after="0" w:line="342" w:lineRule="auto"/>
        <w:tabs>
          <w:tab w:leader="none" w:pos="9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adjustment for the amortization of the intellectual property acquired over the legal remaining patent life of 14 years assuming that the acquisition of the intellectual property occurred as of January 1, 2015.</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for the issuance of 24.4 million shares of the Company's common stock in the merger.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to accrue estimated transaction costs of $572,594 for the Company.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to payoff $1.5 million of liabilities of Essentialis prior to the completion of the merger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for $1.5 million of additional capital required by Essentialis to satisfy all liabilities prior to closing.</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for the purchase price of the intangible asset of $19.9 million, plus acquisition costs of $572,594 (See Note 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to record the discounted present value of $1.1 million for the cash milestone payments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to record the value of $4.2 million for the holdback and milestone shares.</w:t>
      </w:r>
    </w:p>
    <w:p>
      <w:pPr>
        <w:spacing w:after="0" w:line="225" w:lineRule="exact"/>
        <w:rPr>
          <w:rFonts w:ascii="Arial" w:cs="Arial" w:eastAsia="Arial" w:hAnsi="Arial"/>
          <w:sz w:val="18"/>
          <w:szCs w:val="18"/>
          <w:color w:val="auto"/>
        </w:rPr>
      </w:pPr>
    </w:p>
    <w:p>
      <w:pPr>
        <w:ind w:left="900" w:right="400" w:hanging="244"/>
        <w:spacing w:after="0" w:line="277" w:lineRule="auto"/>
        <w:tabs>
          <w:tab w:leader="none" w:pos="8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pre-merger adjustment to the balance sheet of Essentialis, Inc. to convert $4.5 million of related party debt and $1.1 million of accrued interest to equity.</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adjustment to eliminate the Convertible preferred stock, common stock, additional paid in capital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accumulated deficit of Essentialis.</w:t>
      </w:r>
    </w:p>
    <w:p>
      <w:pPr>
        <w:spacing w:after="0" w:line="211" w:lineRule="exact"/>
        <w:rPr>
          <w:sz w:val="20"/>
          <w:szCs w:val="20"/>
          <w:color w:val="auto"/>
        </w:rPr>
      </w:pPr>
    </w:p>
    <w:p>
      <w:pPr>
        <w:ind w:left="900" w:right="2620" w:hanging="244"/>
        <w:spacing w:after="0" w:line="277" w:lineRule="auto"/>
        <w:tabs>
          <w:tab w:leader="none" w:pos="9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issuance of 8.3 million shares of the Company's common stock at $0.96 per share for gross proceeds of $8 million in the merger financing.</w:t>
      </w:r>
    </w:p>
    <w:p>
      <w:pPr>
        <w:spacing w:after="0" w:line="170" w:lineRule="exact"/>
        <w:rPr>
          <w:rFonts w:ascii="Arial" w:cs="Arial" w:eastAsia="Arial" w:hAnsi="Arial"/>
          <w:sz w:val="18"/>
          <w:szCs w:val="18"/>
          <w:color w:val="auto"/>
        </w:rPr>
      </w:pPr>
    </w:p>
    <w:p>
      <w:pPr>
        <w:ind w:left="900" w:hanging="244"/>
        <w:spacing w:after="0" w:line="277" w:lineRule="auto"/>
        <w:tabs>
          <w:tab w:leader="none" w:pos="8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issuance of 2.1 million shares of the Company's common stock at $0.96 per share for gross proceeds of $2 million from Aspire Capital LLC in the Aspire financing.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- 66</w:t>
      </w:r>
    </w:p>
    <w:p>
      <w:pPr>
        <w:sectPr>
          <w:pgSz w:w="11900" w:h="16838" w:orient="portrait"/>
          <w:cols w:equalWidth="0" w:num="1">
            <w:col w:w="11280"/>
          </w:cols>
          <w:pgMar w:left="240" w:top="580" w:right="379" w:bottom="1440" w:gutter="0" w:footer="0" w:header="0"/>
        </w:sectPr>
      </w:pPr>
    </w:p>
    <w:bookmarkStart w:id="198" w:name="page199"/>
    <w:bookmarkEnd w:id="198"/>
    <w:p>
      <w:pPr>
        <w:jc w:val="center"/>
        <w:ind w:left="3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Unaudited Pro Forma Condensed Consolidated Financial Statements</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18, 2017, Soleno Therapeutics, Inc. (formerly known as Capnia, Inc.) (the “Company”) completed the sale of stock of its 100% owned subsidiary, NeoForce, Inc. ("NFI") primarily related to the Company’s portfolio of neonatology resuscitation products (the "Disposition") pursuant to a Stock Purchase Agreement (the “Purchase Agreement”), dated July 18, 2017, with NeoForce Holdings, Inc. ("Holdings"), a 100% owned subsidiary of Flexicare Medical Limited, a privately held United Kingdom company, for $720,000, plus the Company will also receive proceeds for the total outstanding accounts receivable and inventory held by NFI at the date of sale, as it is collected or sold, respectively. The Disposition was completed in accordance with the Purchase Agreement between the Company and Holdings, dated July 18, 2017.</w:t>
      </w:r>
    </w:p>
    <w:p>
      <w:pPr>
        <w:spacing w:after="0" w:line="17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following unaudited pro forma condensed consolidated financial statements give effect to the Disposition, the receipt of proceeds from the Disposition, and the other assumptions and adjustments described in the accompanying notes to the unaudited pro forma condensed consolidated financial statements. These adjustments are based upon information and assumptions available at the time of the filing of this financial information in this prospectus.</w:t>
      </w:r>
    </w:p>
    <w:p>
      <w:pPr>
        <w:spacing w:after="0" w:line="14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unaudited pro forma financial information is based on financial statements prepared in accordance with U.S. generally accepted accounting principles, which are subject to change and interpretation. The unaudited pro forma condensed consolidated financial statements were based on and derived from the Company’s historical consolidated financial statements, adjusted for those amounts which were determined to be directly attributable to the Disposition, factually supportable, and with respect to the Unaudited Pro Forma Condensed Consolidated Statements of Operations, expected to have a continuing impact on the consolidated results. Actual adjustments, however, may differ materially from the information presented.</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unaudited pro forma financial information is based upon available information and assumptions that management considers to be reasonable, and such assumptions have been made solely for purposes of developing such unaudited pro forma financial information for illustrative purposes in compliance with the disclosure requirements of the Securities and Exchange Commission. The unaudited pro forma financial information is not necessarily indicative of the financial position or results of operations that would have actually occurred had the Disposition occurred on the dates indicated. In addition, these unaudited pro forma condensed consolidated financial statements should not be considered to be indicative of the future financial performance and results of operations of the Company.</w:t>
      </w:r>
    </w:p>
    <w:p>
      <w:pPr>
        <w:spacing w:after="0" w:line="19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unaudited pro forma condensed consolidated balance sheet as of March 31, 2017 gives effect to the Disposition and adjustments as if it occurred on the date of the balance sheet.</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unaudited pro forma condensed consolidated statements of operations for the fiscal years ended December 31, 2016 and three months ended March 31, 2016 and 2017, give effect to the Disposition and adjustments as if they had occurred on January 1, 2016 and carried forward through to the latest period presented.</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unaudited pro forma condensed consolidated financial statements should be read in conjunction with the Company’s historical audited consolidated financial statements and notes thereto included elsewhere in this prospectus for the year ended December 31, 2016 and its Quarterly Reports on Form 10-Q for the three months ended March 31, 2016 and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condensed consolidated pro forma financial statements are prepared in accordance with Article 11 of Regulation S-X.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- 67</w:t>
      </w:r>
    </w:p>
    <w:p>
      <w:pPr>
        <w:sectPr>
          <w:pgSz w:w="11900" w:h="16838" w:orient="portrait"/>
          <w:cols w:equalWidth="0" w:num="1">
            <w:col w:w="11320"/>
          </w:cols>
          <w:pgMar w:left="240" w:top="797" w:right="339" w:bottom="1440" w:gutter="0" w:footer="0" w:header="0"/>
        </w:sectPr>
      </w:pPr>
    </w:p>
    <w:bookmarkStart w:id="199" w:name="page200"/>
    <w:bookmarkEnd w:id="199"/>
    <w:p>
      <w:pPr>
        <w:jc w:val="center"/>
        <w:ind w:left="34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of March 31,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Proceeds from</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 of NFI (a)</w:t>
            </w:r>
          </w:p>
        </w:tc>
        <w:tc>
          <w:tcPr>
            <w:tcW w:w="14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Sale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10,539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(b)   $</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Receivable from sale of NFI</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(c)</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Long-term assets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94"/>
        </w:trPr>
        <w:tc>
          <w:tcPr>
            <w:tcW w:w="488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Series A warrant liability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Series C warrant liability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(100,013)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- 68</w:t>
      </w:r>
    </w:p>
    <w:p>
      <w:pPr>
        <w:sectPr>
          <w:pgSz w:w="11900" w:h="16838" w:orient="portrait"/>
          <w:cols w:equalWidth="0" w:num="1">
            <w:col w:w="11380"/>
          </w:cols>
          <w:pgMar w:left="280" w:top="580" w:right="239" w:bottom="1440" w:gutter="0" w:footer="0" w:header="0"/>
          <w:type w:val="continuous"/>
        </w:sectPr>
      </w:pPr>
    </w:p>
    <w:bookmarkStart w:id="200" w:name="page201"/>
    <w:bookmarkEnd w:id="200"/>
    <w:p>
      <w:pPr>
        <w:jc w:val="center"/>
        <w:ind w:left="34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As Reported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Sale of NFI</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360" w:type="dxa"/>
            <w:vAlign w:val="bottom"/>
          </w:tcPr>
          <w:p>
            <w:pPr>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515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636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147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252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355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754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12,798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594"/>
        </w:trPr>
        <w:tc>
          <w:tcPr>
            <w:tcW w:w="63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Cease-use expense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Net loss after provision for Income Taxes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2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63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(15,716)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360" w:type="dxa"/>
            <w:vAlign w:val="bottom"/>
          </w:tcPr>
          <w:p>
            <w:pPr>
              <w:spacing w:after="0"/>
              <w:rPr>
                <w:sz w:val="20"/>
                <w:szCs w:val="20"/>
                <w:color w:val="auto"/>
              </w:rPr>
            </w:pPr>
            <w:r>
              <w:rPr>
                <w:rFonts w:ascii="Arial" w:cs="Arial" w:eastAsia="Arial" w:hAnsi="Arial"/>
                <w:sz w:val="18"/>
                <w:szCs w:val="18"/>
                <w:color w:val="auto"/>
              </w:rPr>
              <w:t>Basic and diluted net loss per share applicable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common share:</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36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15,507,484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15,507,484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- 69</w:t>
      </w:r>
    </w:p>
    <w:p>
      <w:pPr>
        <w:sectPr>
          <w:pgSz w:w="11900" w:h="16838" w:orient="portrait"/>
          <w:cols w:equalWidth="0" w:num="1">
            <w:col w:w="11380"/>
          </w:cols>
          <w:pgMar w:left="280" w:top="581" w:right="239" w:bottom="1440" w:gutter="0" w:footer="0" w:header="0"/>
        </w:sectPr>
      </w:pPr>
    </w:p>
    <w:bookmarkStart w:id="201" w:name="page202"/>
    <w:bookmarkEnd w:id="201"/>
    <w:p>
      <w:pPr>
        <w:jc w:val="center"/>
        <w:ind w:left="2560" w:right="740"/>
        <w:spacing w:after="0" w:line="261" w:lineRule="auto"/>
        <w:rPr>
          <w:sz w:val="20"/>
          <w:szCs w:val="20"/>
          <w:color w:val="auto"/>
        </w:rPr>
      </w:pPr>
      <w:r>
        <w:rPr>
          <w:rFonts w:ascii="Arial" w:cs="Arial" w:eastAsia="Arial" w:hAnsi="Arial"/>
          <w:sz w:val="18"/>
          <w:szCs w:val="18"/>
          <w:b w:val="1"/>
          <w:bCs w:val="1"/>
          <w:color w:val="auto"/>
        </w:rPr>
        <w:t>Soleno Therapeutics, Inc. (formerly known as Capnia, Inc.) Unaudited Pro Forma Condensed Consolidated Statements of Operations for the Three Months Ended March 31, 2016 (in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94"/>
              </w:rPr>
              <w:t>Sale of NFI</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340" w:type="dxa"/>
            <w:vAlign w:val="bottom"/>
          </w:tcPr>
          <w:p>
            <w:pPr>
              <w:spacing w:after="0"/>
              <w:rPr>
                <w:sz w:val="20"/>
                <w:szCs w:val="20"/>
                <w:color w:val="auto"/>
              </w:rPr>
            </w:pPr>
            <w:r>
              <w:rPr>
                <w:rFonts w:ascii="Arial" w:cs="Arial" w:eastAsia="Arial" w:hAnsi="Arial"/>
                <w:sz w:val="18"/>
                <w:szCs w:val="18"/>
                <w:color w:val="auto"/>
              </w:rPr>
              <w:t>Product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322  (d)  $</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194 (d)</w:t>
            </w:r>
          </w:p>
        </w:tc>
        <w:tc>
          <w:tcPr>
            <w:tcW w:w="11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127  (d)</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29 (d)</w:t>
            </w:r>
          </w:p>
        </w:tc>
        <w:tc>
          <w:tcPr>
            <w:tcW w:w="116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51 (d)</w:t>
            </w: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90 (d)</w:t>
            </w:r>
          </w:p>
        </w:tc>
        <w:tc>
          <w:tcPr>
            <w:tcW w:w="116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170 (d)</w:t>
            </w:r>
          </w:p>
        </w:tc>
        <w:tc>
          <w:tcPr>
            <w:tcW w:w="1160" w:type="dxa"/>
            <w:vAlign w:val="bottom"/>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594"/>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Cease-use expense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(43) (d)</w:t>
            </w:r>
          </w:p>
        </w:tc>
        <w:tc>
          <w:tcPr>
            <w:tcW w:w="1160" w:type="dxa"/>
            <w:vAlign w:val="bottom"/>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60" w:type="dxa"/>
            <w:vAlign w:val="bottom"/>
            <w:gridSpan w:val="2"/>
          </w:tcPr>
          <w:p>
            <w:pPr>
              <w:spacing w:after="0"/>
              <w:rPr>
                <w:sz w:val="20"/>
                <w:szCs w:val="20"/>
                <w:color w:val="auto"/>
              </w:rPr>
            </w:pPr>
            <w:r>
              <w:rPr>
                <w:rFonts w:ascii="Arial" w:cs="Arial" w:eastAsia="Arial" w:hAnsi="Arial"/>
                <w:sz w:val="18"/>
                <w:szCs w:val="18"/>
                <w:color w:val="auto"/>
                <w:w w:val="90"/>
              </w:rPr>
              <w:t>Weighted-average common shares outstanding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common share:</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3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14,796,119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14,796,119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w w:val="89"/>
              </w:rPr>
              <w:t>F - 70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202" w:name="page203"/>
    <w:bookmarkEnd w:id="202"/>
    <w:p>
      <w:pPr>
        <w:jc w:val="center"/>
        <w:ind w:right="-299"/>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b w:val="1"/>
                <w:bCs w:val="1"/>
                <w:color w:val="auto"/>
              </w:rPr>
              <w:t>As Reported</w:t>
            </w:r>
          </w:p>
        </w:tc>
        <w:tc>
          <w:tcPr>
            <w:tcW w:w="52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Sale of NFI</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00" w:type="dxa"/>
            <w:vAlign w:val="bottom"/>
          </w:tcPr>
          <w:p>
            <w:pPr>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994</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1,158</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2,266</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(2,210)</w:t>
            </w:r>
          </w:p>
        </w:tc>
        <w:tc>
          <w:tcPr>
            <w:tcW w:w="5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554"/>
        </w:trPr>
        <w:tc>
          <w:tcPr>
            <w:tcW w:w="410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(602)</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Cease-use expense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(677)</w:t>
            </w:r>
          </w:p>
        </w:tc>
        <w:tc>
          <w:tcPr>
            <w:tcW w:w="5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(2,887)</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10"/>
              <w:spacing w:after="0"/>
              <w:rPr>
                <w:sz w:val="20"/>
                <w:szCs w:val="20"/>
                <w:color w:val="auto"/>
              </w:rPr>
            </w:pPr>
            <w:r>
              <w:rPr>
                <w:rFonts w:ascii="Arial" w:cs="Arial" w:eastAsia="Arial" w:hAnsi="Arial"/>
                <w:sz w:val="18"/>
                <w:szCs w:val="18"/>
                <w:color w:val="auto"/>
              </w:rPr>
              <w:t>(131) (d)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applicable to</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100" w:type="dxa"/>
            <w:vAlign w:val="bottom"/>
            <w:vMerge w:val="continue"/>
          </w:tcPr>
          <w:p>
            <w:pPr>
              <w:spacing w:after="0"/>
              <w:rPr>
                <w:sz w:val="24"/>
                <w:szCs w:val="24"/>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common stockholders</w:t>
            </w:r>
          </w:p>
        </w:tc>
        <w:tc>
          <w:tcPr>
            <w:tcW w:w="28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common share:</w:t>
            </w: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10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26,853,433</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26,853,433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- 71</w:t>
      </w:r>
    </w:p>
    <w:p>
      <w:pPr>
        <w:sectPr>
          <w:pgSz w:w="11900" w:h="16838" w:orient="portrait"/>
          <w:cols w:equalWidth="0" w:num="1">
            <w:col w:w="10540"/>
          </w:cols>
          <w:pgMar w:left="700" w:top="581" w:right="659" w:bottom="1440" w:gutter="0" w:footer="0" w:header="0"/>
        </w:sectPr>
      </w:pPr>
    </w:p>
    <w:bookmarkStart w:id="203" w:name="page204"/>
    <w:bookmarkEnd w:id="203"/>
    <w:p>
      <w:pPr>
        <w:jc w:val="center"/>
        <w:ind w:left="3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unaudited proforma condensed consolidated statements of operations for the year ended December 31, 2016 were derived from the historical audited consolidated financial statements for the year ended December 31, 2016 included in the Company’s Annual Report on Form 10-K for the year ended December 31, 2016. The unaudited pro forma condensed consolidated balance sheet as of March 31, 2017 and the unaudited pro forma condensed consolidated statement of operations for the three months ended March 31, 2016 and 2017 were derived from the unaudited condensed consolidated financial statements included in the Company’s Quarterly Report on Form 10-Q as of and for the three months ended March 31, 2016 and 2017.</w:t>
      </w:r>
    </w:p>
    <w:p>
      <w:pPr>
        <w:spacing w:after="0" w:line="154"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Disposition of NFI</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July 18, 2017, Soleno Therapeutics, Inc. (the “Company”) completed the sale of stock of its 100% owned subsidiary, NeoForce, Inc. ("NFI") primarily related to the Company’s portfolio of neonatology resuscitation products (the "Disposition")pursuant to a Stock Purchase Agreement (the “Purchase Agreement”), dated as of July 18, 2017, with NeoForce Holdings, Inc. ("Holdings") for $720,000 and adjustments for inventory and the current cash balances held at NFI. The Company will also receive proceeds for the total outstanding accounts receivable and inventory held by NFI at the date of sale, as it is collected or sold, respectively. The Disposition was completed in accordance with the Purchase Agreement between the Company and Holdings, dated July 18, 2017.</w:t>
      </w:r>
    </w:p>
    <w:p>
      <w:pPr>
        <w:spacing w:after="0" w:line="19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Transaction costs consisting of legal, tax, accounting and other professional fees, employee severance payments and other costs are approximately $69 thousand; and the net book value of assets being transferred in the Disposition was $1.1 million as of March 31, 2017.</w:t>
      </w:r>
    </w:p>
    <w:p>
      <w:pPr>
        <w:spacing w:after="0" w:line="166"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consolidated balance sheet as of March 31, 2017 reflects the following adjustments:</w:t>
      </w:r>
    </w:p>
    <w:p>
      <w:pPr>
        <w:spacing w:after="0" w:line="225" w:lineRule="exact"/>
        <w:rPr>
          <w:sz w:val="20"/>
          <w:szCs w:val="20"/>
          <w:color w:val="auto"/>
        </w:rPr>
      </w:pPr>
    </w:p>
    <w:p>
      <w:pPr>
        <w:ind w:left="1140" w:right="180" w:hanging="646"/>
        <w:spacing w:after="0" w:line="277"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the amounts of NFI assets and liabilities which were sold or transferred to Holdings as if the Disposition had occurred on March 31, 2017.</w:t>
      </w:r>
    </w:p>
    <w:p>
      <w:pPr>
        <w:spacing w:after="0" w:line="170" w:lineRule="exact"/>
        <w:rPr>
          <w:rFonts w:ascii="Arial" w:cs="Arial" w:eastAsia="Arial" w:hAnsi="Arial"/>
          <w:sz w:val="18"/>
          <w:szCs w:val="18"/>
          <w:color w:val="auto"/>
        </w:rPr>
      </w:pPr>
    </w:p>
    <w:p>
      <w:pPr>
        <w:ind w:left="1140" w:right="240" w:hanging="646"/>
        <w:spacing w:after="0" w:line="264"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Reflects the proceeds received at closing from the Disposition. The sale price of $720,000 was reduced by (1) approximately $69,000 for estimated transaction expenses assumed to be paid at closing and increased by $20,000, representing $20,000 of the maximum of $100,000 saleable inventory for purposes of this calculation.</w:t>
      </w:r>
    </w:p>
    <w:p>
      <w:pPr>
        <w:spacing w:after="0" w:line="181" w:lineRule="exact"/>
        <w:rPr>
          <w:rFonts w:ascii="Arial" w:cs="Arial" w:eastAsia="Arial" w:hAnsi="Arial"/>
          <w:sz w:val="18"/>
          <w:szCs w:val="18"/>
          <w:color w:val="auto"/>
        </w:rPr>
      </w:pPr>
    </w:p>
    <w:p>
      <w:pPr>
        <w:ind w:left="1140" w:hanging="646"/>
        <w:spacing w:after="0" w:line="277"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Reflects the proceeds receivable from the sale of NFI for the remaining saleable inventory of $110,841 and accounts receivable of $126,565 to be received by the Company as sold or collected,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condensed consolidated statements of operations for the three months ended March 31, 2016 and 2017 and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reflect the following adjustments:</w:t>
      </w:r>
    </w:p>
    <w:p>
      <w:pPr>
        <w:spacing w:after="0" w:line="211" w:lineRule="exact"/>
        <w:rPr>
          <w:sz w:val="20"/>
          <w:szCs w:val="20"/>
          <w:color w:val="auto"/>
        </w:rPr>
      </w:pPr>
    </w:p>
    <w:p>
      <w:pPr>
        <w:ind w:left="1140" w:right="220" w:hanging="646"/>
        <w:spacing w:after="0" w:line="264"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elimination of operating results of NFI business in the unaudited condensed consolidated statements of operations for the Company for the three months ended March 31, 2016 and 2017 and the year ended December 31, 2016, as if the Disposition had occurred on January 1,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- 72</w:t>
      </w:r>
    </w:p>
    <w:p>
      <w:pPr>
        <w:sectPr>
          <w:pgSz w:w="11900" w:h="16838" w:orient="portrait"/>
          <w:cols w:equalWidth="0" w:num="1">
            <w:col w:w="11400"/>
          </w:cols>
          <w:pgMar w:left="240" w:top="581" w:right="25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following table sets forth the estimated costs and expenses to be incurred in connection with the issuance and distribution of the securities registered under this Registration Statement. All amounts are estimates except the Securities and Exchange Commission registration fee.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95"/>
              <w:spacing w:after="0"/>
              <w:rPr>
                <w:sz w:val="20"/>
                <w:szCs w:val="20"/>
                <w:color w:val="auto"/>
              </w:rPr>
            </w:pPr>
            <w:r>
              <w:rPr>
                <w:rFonts w:ascii="Arial" w:cs="Arial" w:eastAsia="Arial" w:hAnsi="Arial"/>
                <w:sz w:val="14"/>
                <w:szCs w:val="14"/>
                <w:b w:val="1"/>
                <w:bCs w:val="1"/>
                <w:color w:val="auto"/>
              </w:rPr>
              <w:t>Amount</w:t>
            </w:r>
          </w:p>
        </w:tc>
      </w:tr>
      <w:tr>
        <w:trPr>
          <w:trHeight w:val="192"/>
        </w:trPr>
        <w:tc>
          <w:tcPr>
            <w:tcW w:w="9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 be Paid</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 registration fee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2,314.00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Legal fees and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25,000.00</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Accountant’s fees and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Miscellaneous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42,314.00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Section 145 of the Delaware General Corporation Law, or the Delaware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Under Section 145 of the Delaware Law, a corporation shall indemnify an agent of the corporation for expenses actually and reasonably incurred if and to the extent such person was successful on the merits in a proceeding or in defense of any claim, issue or matter therein.</w:t>
      </w:r>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Section 145 of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amended and restated certificate of incorporation and bylaws provide for indemnification of our directors, officers, employees and other agents to the maximum extent permitted by the Delaware Law. We have also entered into agreements with its directors and officers that will require us, among other things, to indemnify them against certain liabilities that may arise by reason of their status or service as directors or officers to the fullest extent not prohibited by law. Insofar as indemnification for liabilities arising under the Securities Act may be permitted to our directors, officers or persons controlling our company pursuant to such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There is no litigation pending or, to the best of our knowledge, threatened which might or could result in a claim for indemnification by a director or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with Essentialis, Inc.</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is also obligated to issue an additional 4,566,948 shares of common stock to Essentialis stockholders upon the achievement of a development milestone. Assuming that we issues all of the shares of our common stock held back and the development milestone is achieved, we would issue a total of 24,397,267 shares of common stock to Essentialis stockholders.</w:t>
      </w:r>
    </w:p>
    <w:p>
      <w:pPr>
        <w:spacing w:after="0" w:line="20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796" w:right="239" w:bottom="1440" w:gutter="0" w:footer="0" w:header="0"/>
        </w:sectPr>
      </w:pPr>
    </w:p>
    <w:bookmarkStart w:id="205" w:name="page206"/>
    <w:bookmarkEnd w:id="205"/>
    <w:p>
      <w:pPr>
        <w:ind w:firstLine="324"/>
        <w:spacing w:after="0" w:line="259"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Concurrently with entering into the Merger Agreement, we agreed to file one or more registration statements, including the registration statement of which this prospectus is a part, as permissible and necessary to register under the Securities Act of 1933, as amended, or the Securities Act, the sale of the shares of our common stock that have been issued to the selling stockholders under the Merger Agreement.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included as part of this Form S-1.</w:t>
      </w:r>
    </w:p>
    <w:p>
      <w:pPr>
        <w:spacing w:after="0" w:line="25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00"/>
          </w:cols>
          <w:pgMar w:left="240" w:top="693" w:right="359" w:bottom="1440" w:gutter="0" w:footer="0" w:header="0"/>
        </w:sectPr>
      </w:pPr>
    </w:p>
    <w:bookmarkStart w:id="206" w:name="page207"/>
    <w:bookmarkEnd w:id="206"/>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8"/>
              </w:rPr>
              <w:t>Exhibit</w:t>
            </w:r>
          </w:p>
        </w:tc>
        <w:tc>
          <w:tcPr>
            <w:tcW w:w="5520" w:type="dxa"/>
            <w:vAlign w:val="bottom"/>
            <w:gridSpan w:val="3"/>
            <w:vMerge w:val="restart"/>
          </w:tcPr>
          <w:p>
            <w:pPr>
              <w:ind w:left="2060"/>
              <w:spacing w:after="0"/>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Registrant’s</w:t>
            </w:r>
          </w:p>
        </w:tc>
        <w:tc>
          <w:tcPr>
            <w:tcW w:w="204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Date Filed</w:t>
            </w: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Exhibit</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3"/>
                <w:szCs w:val="13"/>
                <w:color w:val="auto"/>
              </w:rPr>
            </w:pPr>
          </w:p>
        </w:tc>
        <w:tc>
          <w:tcPr>
            <w:tcW w:w="5520" w:type="dxa"/>
            <w:vAlign w:val="bottom"/>
            <w:gridSpan w:val="3"/>
            <w:vMerge w:val="continue"/>
          </w:tcPr>
          <w:p>
            <w:pPr>
              <w:spacing w:after="0"/>
              <w:rPr>
                <w:sz w:val="13"/>
                <w:szCs w:val="13"/>
                <w:color w:val="auto"/>
              </w:rPr>
            </w:pPr>
          </w:p>
        </w:tc>
        <w:tc>
          <w:tcPr>
            <w:tcW w:w="11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Form</w:t>
            </w:r>
          </w:p>
        </w:tc>
        <w:tc>
          <w:tcPr>
            <w:tcW w:w="204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with the SEC</w:t>
            </w:r>
          </w:p>
        </w:tc>
        <w:tc>
          <w:tcPr>
            <w:tcW w:w="9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line="20" w:lineRule="exact"/>
              <w:rPr>
                <w:sz w:val="1"/>
                <w:szCs w:val="1"/>
                <w:color w:val="auto"/>
              </w:rPr>
            </w:pPr>
          </w:p>
        </w:tc>
        <w:tc>
          <w:tcPr>
            <w:tcW w:w="5520" w:type="dxa"/>
            <w:vAlign w:val="bottom"/>
            <w:gridSpan w:val="3"/>
            <w:vMerge w:val="restart"/>
          </w:tcPr>
          <w:p>
            <w:pPr>
              <w:ind w:left="160"/>
              <w:spacing w:after="0"/>
              <w:rPr>
                <w:sz w:val="20"/>
                <w:szCs w:val="20"/>
                <w:color w:val="auto"/>
              </w:rPr>
            </w:pPr>
            <w:r>
              <w:rPr>
                <w:rFonts w:ascii="Arial" w:cs="Arial" w:eastAsia="Arial" w:hAnsi="Arial"/>
                <w:sz w:val="18"/>
                <w:szCs w:val="18"/>
                <w:color w:val="auto"/>
                <w:w w:val="99"/>
              </w:rPr>
              <w:t>Amended and Restated Certificate of Incorporation of the Company</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vMerge w:val="continue"/>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August 7, 2014</w:t>
            </w:r>
          </w:p>
        </w:tc>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the Company</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1, 2014</w:t>
            </w:r>
          </w:p>
        </w:tc>
        <w:tc>
          <w:tcPr>
            <w:tcW w:w="80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Certificate of Designation of Preferences, Rights and Limitations of</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Series A Convertible Preferred Stock.</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Certificate of Designation of Preferences, Rights and Limitations of</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Series B Convertible Preferred Stock</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6"/>
              </w:rPr>
              <w:t>Certificate of Amendment of the Amended and Restated Certificate of</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May 11, 2017</w:t>
            </w:r>
          </w:p>
        </w:tc>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the common stock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August 5, 2014</w:t>
            </w:r>
          </w:p>
        </w:tc>
        <w:tc>
          <w:tcPr>
            <w:tcW w:w="8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Investors’ Rights Agreement, dated March 20,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2008, by and among the Company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and certain holders of the Company’s capital stock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Series A Warrant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August 7, 2014</w:t>
            </w:r>
          </w:p>
        </w:tc>
        <w:tc>
          <w:tcPr>
            <w:tcW w:w="80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the Series A Warrant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1, 2014</w:t>
            </w:r>
          </w:p>
        </w:tc>
        <w:tc>
          <w:tcPr>
            <w:tcW w:w="80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Underwriters’ Compensation Warrant.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Convertible Promissory Note issued in February 2010 and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March 2010 in 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1"/>
              </w:rPr>
              <w:t>Form of Warrant to Purchase Shares issued in February 2010 and March</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2010 in 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Convertible Promissory Note issued in November 2010 in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Warrant to Purchase Shares issued in November 2010 in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Convertible Promissory Note issued in January 2012 in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connection 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2"/>
                <w:szCs w:val="22"/>
                <w:color w:val="auto"/>
              </w:rPr>
            </w:pPr>
          </w:p>
        </w:tc>
        <w:tc>
          <w:tcPr>
            <w:tcW w:w="6660" w:type="dxa"/>
            <w:vAlign w:val="bottom"/>
            <w:gridSpan w:val="5"/>
          </w:tcPr>
          <w:p>
            <w:pPr>
              <w:ind w:left="160"/>
              <w:spacing w:after="0"/>
              <w:rPr>
                <w:sz w:val="20"/>
                <w:szCs w:val="20"/>
                <w:color w:val="auto"/>
              </w:rPr>
            </w:pPr>
            <w:r>
              <w:rPr>
                <w:rFonts w:ascii="Arial" w:cs="Arial" w:eastAsia="Arial" w:hAnsi="Arial"/>
                <w:sz w:val="18"/>
                <w:szCs w:val="18"/>
                <w:color w:val="auto"/>
              </w:rPr>
              <w:t>Form of Warrant to Purchase Shares issued in January 2012 in connection 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with the Company’s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Form of Convertible Promissory Note issued in July 2012 and August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2012 in connection 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0"/>
              </w:rPr>
              <w:t>Form of Warrant to Purchase Shares issued in July 2012 and August 2012</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in connection 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Convertible Promissory Note issued in April, August and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October 2014 in connection with the 2014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1"/>
              </w:rPr>
              <w:t>Form of Warrant to Purchase Shares issued in April, August and October</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2014 in connection with the 2014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unit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1, 2014</w:t>
            </w:r>
          </w:p>
        </w:tc>
        <w:tc>
          <w:tcPr>
            <w:tcW w:w="800" w:type="dxa"/>
            <w:vAlign w:val="bottom"/>
          </w:tcPr>
          <w:p>
            <w:pPr>
              <w:ind w:left="2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Series B Warrant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August 7, 2014</w:t>
            </w:r>
          </w:p>
        </w:tc>
        <w:tc>
          <w:tcPr>
            <w:tcW w:w="800" w:type="dxa"/>
            <w:vAlign w:val="bottom"/>
          </w:tcPr>
          <w:p>
            <w:pPr>
              <w:ind w:left="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the Series B Warrant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1, 2014</w:t>
            </w:r>
          </w:p>
        </w:tc>
        <w:tc>
          <w:tcPr>
            <w:tcW w:w="800" w:type="dxa"/>
            <w:vAlign w:val="bottom"/>
          </w:tcPr>
          <w:p>
            <w:pPr>
              <w:ind w:left="2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the Series C Warrant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April 1, 2015</w:t>
            </w:r>
          </w:p>
        </w:tc>
        <w:tc>
          <w:tcPr>
            <w:tcW w:w="800" w:type="dxa"/>
            <w:vAlign w:val="bottom"/>
          </w:tcPr>
          <w:p>
            <w:pPr>
              <w:ind w:left="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the Series C Warrant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April 1, 2015</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420" w:top="796"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520" w:type="dxa"/>
            <w:vAlign w:val="bottom"/>
            <w:gridSpan w:val="3"/>
            <w:vMerge w:val="restart"/>
          </w:tcPr>
          <w:p>
            <w:pPr>
              <w:ind w:left="2060"/>
              <w:spacing w:after="0"/>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Registrant’s</w:t>
            </w:r>
          </w:p>
        </w:tc>
        <w:tc>
          <w:tcPr>
            <w:tcW w:w="204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Date Filed</w:t>
            </w: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Exhibit</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3"/>
                <w:szCs w:val="13"/>
                <w:color w:val="auto"/>
              </w:rPr>
            </w:pPr>
          </w:p>
        </w:tc>
        <w:tc>
          <w:tcPr>
            <w:tcW w:w="5520" w:type="dxa"/>
            <w:vAlign w:val="bottom"/>
            <w:gridSpan w:val="3"/>
            <w:vMerge w:val="continue"/>
          </w:tcPr>
          <w:p>
            <w:pPr>
              <w:spacing w:after="0"/>
              <w:rPr>
                <w:sz w:val="13"/>
                <w:szCs w:val="13"/>
                <w:color w:val="auto"/>
              </w:rPr>
            </w:pPr>
          </w:p>
        </w:tc>
        <w:tc>
          <w:tcPr>
            <w:tcW w:w="11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Form</w:t>
            </w:r>
          </w:p>
        </w:tc>
        <w:tc>
          <w:tcPr>
            <w:tcW w:w="204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with the SEC</w:t>
            </w:r>
          </w:p>
        </w:tc>
        <w:tc>
          <w:tcPr>
            <w:tcW w:w="9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0" w:type="dxa"/>
            <w:vAlign w:val="bottom"/>
            <w:gridSpan w:val="2"/>
            <w:vMerge w:val="restart"/>
          </w:tcPr>
          <w:p>
            <w:pPr>
              <w:jc w:val="right"/>
              <w:ind w:right="288"/>
              <w:spacing w:after="0"/>
              <w:rPr>
                <w:sz w:val="20"/>
                <w:szCs w:val="20"/>
                <w:color w:val="auto"/>
              </w:rPr>
            </w:pPr>
            <w:r>
              <w:rPr>
                <w:rFonts w:ascii="Arial" w:cs="Arial" w:eastAsia="Arial" w:hAnsi="Arial"/>
                <w:sz w:val="18"/>
                <w:szCs w:val="18"/>
                <w:color w:val="auto"/>
                <w:w w:val="79"/>
              </w:rPr>
              <w:t>4.21</w:t>
            </w:r>
          </w:p>
        </w:tc>
        <w:tc>
          <w:tcPr>
            <w:tcW w:w="180" w:type="dxa"/>
            <w:vAlign w:val="bottom"/>
          </w:tcPr>
          <w:p>
            <w:pPr>
              <w:spacing w:after="0" w:line="20" w:lineRule="exact"/>
              <w:rPr>
                <w:sz w:val="1"/>
                <w:szCs w:val="1"/>
                <w:color w:val="auto"/>
              </w:rPr>
            </w:pPr>
          </w:p>
        </w:tc>
        <w:tc>
          <w:tcPr>
            <w:tcW w:w="5520" w:type="dxa"/>
            <w:vAlign w:val="bottom"/>
            <w:gridSpan w:val="3"/>
            <w:vMerge w:val="restart"/>
          </w:tcPr>
          <w:p>
            <w:pPr>
              <w:ind w:left="160"/>
              <w:spacing w:after="0"/>
              <w:rPr>
                <w:sz w:val="20"/>
                <w:szCs w:val="20"/>
                <w:color w:val="auto"/>
              </w:rPr>
            </w:pPr>
            <w:r>
              <w:rPr>
                <w:rFonts w:ascii="Arial" w:cs="Arial" w:eastAsia="Arial" w:hAnsi="Arial"/>
                <w:sz w:val="18"/>
                <w:szCs w:val="18"/>
                <w:color w:val="auto"/>
              </w:rPr>
              <w:t>Form of Series D Common Stock Purchase Warrant.</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vMerge w:val="continue"/>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4.22</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Placement Agent Warrant.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4.23</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Series D common stock Warrant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4.24</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Series A Convertible Preferred Stock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4.25</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Placement Agent Warrant.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4.26</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Series B Convertible Preferred Stock Certificate.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5.01</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Opinion of Wilson Sonsini Goodrich &amp; Rosati, Professional Corporation.</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9.10</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Voting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9.20</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Voting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9.30</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Voting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December 27, 2016</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288"/>
              <w:spacing w:after="0"/>
              <w:rPr>
                <w:sz w:val="20"/>
                <w:szCs w:val="20"/>
                <w:color w:val="auto"/>
              </w:rPr>
            </w:pPr>
            <w:r>
              <w:rPr>
                <w:rFonts w:ascii="Arial" w:cs="Arial" w:eastAsia="Arial" w:hAnsi="Arial"/>
                <w:sz w:val="18"/>
                <w:szCs w:val="18"/>
                <w:color w:val="auto"/>
                <w:w w:val="79"/>
              </w:rPr>
              <w:t>10.1</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Form of Indemnification Agreement between the Registrant and each of</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its directors and executive officers.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420" w:top="738"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270"/>
              <w:spacing w:after="0"/>
              <w:rPr>
                <w:sz w:val="20"/>
                <w:szCs w:val="20"/>
                <w:color w:val="auto"/>
              </w:rPr>
            </w:pPr>
            <w:r>
              <w:rPr>
                <w:rFonts w:ascii="Arial" w:cs="Arial" w:eastAsia="Arial" w:hAnsi="Arial"/>
                <w:sz w:val="18"/>
                <w:szCs w:val="18"/>
                <w:color w:val="auto"/>
                <w:w w:val="79"/>
              </w:rPr>
              <w:t>10.2</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4260" w:type="dxa"/>
            <w:vAlign w:val="bottom"/>
          </w:tcPr>
          <w:p>
            <w:pPr>
              <w:ind w:left="20"/>
              <w:spacing w:after="0"/>
              <w:rPr>
                <w:sz w:val="20"/>
                <w:szCs w:val="20"/>
                <w:color w:val="auto"/>
              </w:rPr>
            </w:pPr>
            <w:r>
              <w:rPr>
                <w:rFonts w:ascii="Arial" w:cs="Arial" w:eastAsia="Arial" w:hAnsi="Arial"/>
                <w:sz w:val="18"/>
                <w:szCs w:val="18"/>
                <w:color w:val="auto"/>
                <w:w w:val="90"/>
              </w:rPr>
              <w:t>Incentive Stock Plan and forms of agreements thereunder.</w:t>
            </w:r>
          </w:p>
        </w:tc>
      </w:tr>
      <w:tr>
        <w:trPr>
          <w:trHeight w:val="270"/>
        </w:trPr>
        <w:tc>
          <w:tcPr>
            <w:tcW w:w="660" w:type="dxa"/>
            <w:vAlign w:val="bottom"/>
          </w:tcPr>
          <w:p>
            <w:pPr>
              <w:jc w:val="right"/>
              <w:ind w:right="270"/>
              <w:spacing w:after="0"/>
              <w:rPr>
                <w:sz w:val="20"/>
                <w:szCs w:val="20"/>
                <w:color w:val="auto"/>
              </w:rPr>
            </w:pPr>
            <w:r>
              <w:rPr>
                <w:rFonts w:ascii="Arial" w:cs="Arial" w:eastAsia="Arial" w:hAnsi="Arial"/>
                <w:sz w:val="18"/>
                <w:szCs w:val="18"/>
                <w:color w:val="auto"/>
                <w:w w:val="79"/>
              </w:rPr>
              <w:t>10.3</w:t>
            </w: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4260" w:type="dxa"/>
            <w:vAlign w:val="bottom"/>
          </w:tcPr>
          <w:p>
            <w:pPr>
              <w:ind w:left="20"/>
              <w:spacing w:after="0"/>
              <w:rPr>
                <w:sz w:val="20"/>
                <w:szCs w:val="20"/>
                <w:color w:val="auto"/>
              </w:rPr>
            </w:pPr>
            <w:r>
              <w:rPr>
                <w:rFonts w:ascii="Arial" w:cs="Arial" w:eastAsia="Arial" w:hAnsi="Arial"/>
                <w:sz w:val="18"/>
                <w:szCs w:val="18"/>
                <w:color w:val="auto"/>
                <w:w w:val="89"/>
              </w:rPr>
              <w:t>Equity Incentive Plan and forms of agreements thereunder.</w:t>
            </w:r>
          </w:p>
        </w:tc>
      </w:tr>
      <w:tr>
        <w:trPr>
          <w:trHeight w:val="270"/>
        </w:trPr>
        <w:tc>
          <w:tcPr>
            <w:tcW w:w="660" w:type="dxa"/>
            <w:vAlign w:val="bottom"/>
          </w:tcPr>
          <w:p>
            <w:pPr>
              <w:jc w:val="right"/>
              <w:ind w:right="270"/>
              <w:spacing w:after="0"/>
              <w:rPr>
                <w:sz w:val="20"/>
                <w:szCs w:val="20"/>
                <w:color w:val="auto"/>
              </w:rPr>
            </w:pPr>
            <w:r>
              <w:rPr>
                <w:rFonts w:ascii="Arial" w:cs="Arial" w:eastAsia="Arial" w:hAnsi="Arial"/>
                <w:sz w:val="18"/>
                <w:szCs w:val="18"/>
                <w:color w:val="auto"/>
                <w:w w:val="79"/>
              </w:rPr>
              <w:t>10.4</w:t>
            </w:r>
          </w:p>
        </w:tc>
        <w:tc>
          <w:tcPr>
            <w:tcW w:w="720" w:type="dxa"/>
            <w:vAlign w:val="bottom"/>
          </w:tcPr>
          <w:p>
            <w:pPr>
              <w:jc w:val="right"/>
              <w:spacing w:after="0"/>
              <w:rPr>
                <w:sz w:val="20"/>
                <w:szCs w:val="20"/>
                <w:color w:val="auto"/>
              </w:rPr>
            </w:pPr>
            <w:r>
              <w:rPr>
                <w:rFonts w:ascii="Arial" w:cs="Arial" w:eastAsia="Arial" w:hAnsi="Arial"/>
                <w:sz w:val="18"/>
                <w:szCs w:val="18"/>
                <w:color w:val="auto"/>
              </w:rPr>
              <w:t>2014</w:t>
            </w:r>
          </w:p>
        </w:tc>
        <w:tc>
          <w:tcPr>
            <w:tcW w:w="4260" w:type="dxa"/>
            <w:vAlign w:val="bottom"/>
          </w:tcPr>
          <w:p>
            <w:pPr>
              <w:ind w:left="20"/>
              <w:spacing w:after="0"/>
              <w:rPr>
                <w:sz w:val="20"/>
                <w:szCs w:val="20"/>
                <w:color w:val="auto"/>
              </w:rPr>
            </w:pPr>
            <w:r>
              <w:rPr>
                <w:rFonts w:ascii="Arial" w:cs="Arial" w:eastAsia="Arial" w:hAnsi="Arial"/>
                <w:sz w:val="18"/>
                <w:szCs w:val="18"/>
                <w:color w:val="auto"/>
                <w:w w:val="89"/>
              </w:rPr>
              <w:t>Equity Incentive Plan and forms of agreements thereunder.</w:t>
            </w:r>
          </w:p>
        </w:tc>
      </w:tr>
      <w:tr>
        <w:trPr>
          <w:trHeight w:val="270"/>
        </w:trPr>
        <w:tc>
          <w:tcPr>
            <w:tcW w:w="660" w:type="dxa"/>
            <w:vAlign w:val="bottom"/>
          </w:tcPr>
          <w:p>
            <w:pPr>
              <w:jc w:val="right"/>
              <w:ind w:right="270"/>
              <w:spacing w:after="0"/>
              <w:rPr>
                <w:sz w:val="20"/>
                <w:szCs w:val="20"/>
                <w:color w:val="auto"/>
              </w:rPr>
            </w:pPr>
            <w:r>
              <w:rPr>
                <w:rFonts w:ascii="Arial" w:cs="Arial" w:eastAsia="Arial" w:hAnsi="Arial"/>
                <w:sz w:val="18"/>
                <w:szCs w:val="18"/>
                <w:color w:val="auto"/>
                <w:w w:val="79"/>
              </w:rPr>
              <w:t>10.5</w:t>
            </w:r>
          </w:p>
        </w:tc>
        <w:tc>
          <w:tcPr>
            <w:tcW w:w="720" w:type="dxa"/>
            <w:vAlign w:val="bottom"/>
          </w:tcPr>
          <w:p>
            <w:pPr>
              <w:jc w:val="right"/>
              <w:spacing w:after="0"/>
              <w:rPr>
                <w:sz w:val="20"/>
                <w:szCs w:val="20"/>
                <w:color w:val="auto"/>
              </w:rPr>
            </w:pPr>
            <w:r>
              <w:rPr>
                <w:rFonts w:ascii="Arial" w:cs="Arial" w:eastAsia="Arial" w:hAnsi="Arial"/>
                <w:sz w:val="18"/>
                <w:szCs w:val="18"/>
                <w:color w:val="auto"/>
              </w:rPr>
              <w:t>2014</w:t>
            </w:r>
          </w:p>
        </w:tc>
        <w:tc>
          <w:tcPr>
            <w:tcW w:w="4260" w:type="dxa"/>
            <w:vAlign w:val="bottom"/>
          </w:tcPr>
          <w:p>
            <w:pPr>
              <w:ind w:left="20"/>
              <w:spacing w:after="0"/>
              <w:rPr>
                <w:sz w:val="20"/>
                <w:szCs w:val="20"/>
                <w:color w:val="auto"/>
              </w:rPr>
            </w:pPr>
            <w:r>
              <w:rPr>
                <w:rFonts w:ascii="Arial" w:cs="Arial" w:eastAsia="Arial" w:hAnsi="Arial"/>
                <w:sz w:val="18"/>
                <w:szCs w:val="18"/>
                <w:color w:val="auto"/>
                <w:w w:val="92"/>
              </w:rPr>
              <w:t>Employee Stock Purchase Plan and forms of agreements</w:t>
            </w:r>
          </w:p>
        </w:tc>
      </w:tr>
    </w:tbl>
    <w:p>
      <w:pPr>
        <w:ind w:left="1000"/>
        <w:spacing w:after="0"/>
        <w:rPr>
          <w:sz w:val="20"/>
          <w:szCs w:val="20"/>
          <w:color w:val="auto"/>
        </w:rPr>
      </w:pPr>
      <w:r>
        <w:rPr>
          <w:rFonts w:ascii="Arial" w:cs="Arial" w:eastAsia="Arial" w:hAnsi="Arial"/>
          <w:sz w:val="18"/>
          <w:szCs w:val="18"/>
          <w:color w:val="auto"/>
        </w:rPr>
        <w:t>thereunder.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July 1,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July 1,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55" w:lineRule="exact"/>
        <w:rPr>
          <w:sz w:val="20"/>
          <w:szCs w:val="20"/>
          <w:color w:val="auto"/>
        </w:rPr>
      </w:pPr>
    </w:p>
    <w:p>
      <w:pPr>
        <w:sectPr>
          <w:pgSz w:w="11900" w:h="16838" w:orient="portrait"/>
          <w:cols w:equalWidth="0" w:num="2">
            <w:col w:w="5660" w:space="720"/>
            <w:col w:w="4860"/>
          </w:cols>
          <w:pgMar w:left="42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5560" w:type="dxa"/>
            <w:vAlign w:val="bottom"/>
          </w:tcPr>
          <w:p>
            <w:pPr>
              <w:ind w:left="300"/>
              <w:spacing w:after="0"/>
              <w:rPr>
                <w:sz w:val="20"/>
                <w:szCs w:val="20"/>
                <w:color w:val="auto"/>
              </w:rPr>
            </w:pPr>
            <w:r>
              <w:rPr>
                <w:rFonts w:ascii="Arial" w:cs="Arial" w:eastAsia="Arial" w:hAnsi="Arial"/>
                <w:sz w:val="18"/>
                <w:szCs w:val="18"/>
                <w:color w:val="auto"/>
                <w:w w:val="95"/>
              </w:rPr>
              <w:t>Offer Letter, dated June 22, 2007, by and between the Company and</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Ernest Mario, Ph.D.</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5560" w:type="dxa"/>
            <w:vAlign w:val="bottom"/>
          </w:tcPr>
          <w:p>
            <w:pPr>
              <w:ind w:left="300"/>
              <w:spacing w:after="0"/>
              <w:rPr>
                <w:sz w:val="20"/>
                <w:szCs w:val="20"/>
                <w:color w:val="auto"/>
              </w:rPr>
            </w:pPr>
            <w:r>
              <w:rPr>
                <w:rFonts w:ascii="Arial" w:cs="Arial" w:eastAsia="Arial" w:hAnsi="Arial"/>
                <w:sz w:val="18"/>
                <w:szCs w:val="18"/>
                <w:color w:val="auto"/>
              </w:rPr>
              <w:t>Employment Agreement, dated April 6, 2010, by and between the</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Company and Anish Bhatnagar.</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5560" w:type="dxa"/>
            <w:vAlign w:val="bottom"/>
          </w:tcPr>
          <w:p>
            <w:pPr>
              <w:ind w:left="300"/>
              <w:spacing w:after="0"/>
              <w:rPr>
                <w:sz w:val="20"/>
                <w:szCs w:val="20"/>
                <w:color w:val="auto"/>
              </w:rPr>
            </w:pPr>
            <w:r>
              <w:rPr>
                <w:rFonts w:ascii="Arial" w:cs="Arial" w:eastAsia="Arial" w:hAnsi="Arial"/>
                <w:sz w:val="18"/>
                <w:szCs w:val="18"/>
                <w:color w:val="auto"/>
                <w:w w:val="94"/>
              </w:rPr>
              <w:t>Offer Letter, dated May 29, 2013, between the Company and Anthony</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Wondka.</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5560" w:type="dxa"/>
            <w:vAlign w:val="bottom"/>
          </w:tcPr>
          <w:p>
            <w:pPr>
              <w:ind w:left="300"/>
              <w:spacing w:after="0"/>
              <w:rPr>
                <w:sz w:val="20"/>
                <w:szCs w:val="20"/>
                <w:color w:val="auto"/>
              </w:rPr>
            </w:pPr>
            <w:r>
              <w:rPr>
                <w:rFonts w:ascii="Arial" w:cs="Arial" w:eastAsia="Arial" w:hAnsi="Arial"/>
                <w:sz w:val="18"/>
                <w:szCs w:val="18"/>
                <w:color w:val="auto"/>
                <w:w w:val="95"/>
              </w:rPr>
              <w:t>Offer Letter, dated April 17, 2014, by and between the Company and</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Antoun Nabhan.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5560" w:type="dxa"/>
            <w:vAlign w:val="bottom"/>
          </w:tcPr>
          <w:p>
            <w:pPr>
              <w:ind w:left="300"/>
              <w:spacing w:after="0"/>
              <w:rPr>
                <w:sz w:val="20"/>
                <w:szCs w:val="20"/>
                <w:color w:val="auto"/>
              </w:rPr>
            </w:pPr>
            <w:r>
              <w:rPr>
                <w:rFonts w:ascii="Arial" w:cs="Arial" w:eastAsia="Arial" w:hAnsi="Arial"/>
                <w:sz w:val="18"/>
                <w:szCs w:val="18"/>
                <w:color w:val="auto"/>
                <w:w w:val="95"/>
              </w:rPr>
              <w:t>Asset Purchase Agreement dated May 11, 2010, by and between the</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Company and BioMedical Drug Development Inc.</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5560" w:type="dxa"/>
            <w:vAlign w:val="bottom"/>
          </w:tcPr>
          <w:p>
            <w:pPr>
              <w:ind w:left="300"/>
              <w:spacing w:after="0"/>
              <w:rPr>
                <w:sz w:val="20"/>
                <w:szCs w:val="20"/>
                <w:color w:val="auto"/>
              </w:rPr>
            </w:pPr>
            <w:r>
              <w:rPr>
                <w:rFonts w:ascii="Arial" w:cs="Arial" w:eastAsia="Arial" w:hAnsi="Arial"/>
                <w:sz w:val="18"/>
                <w:szCs w:val="18"/>
                <w:color w:val="auto"/>
                <w:w w:val="91"/>
              </w:rPr>
              <w:t>Convertible Note and Warrant Purchase Agreement, dated February 10,</w:t>
            </w:r>
          </w:p>
        </w:tc>
        <w:tc>
          <w:tcPr>
            <w:tcW w:w="820" w:type="dxa"/>
            <w:vAlign w:val="bottom"/>
          </w:tcPr>
          <w:p>
            <w:pPr>
              <w:ind w:left="12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w w:val="96"/>
              </w:rPr>
              <w:t>2010, by and among the Company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6380" w:type="dxa"/>
            <w:vAlign w:val="bottom"/>
            <w:gridSpan w:val="2"/>
          </w:tcPr>
          <w:p>
            <w:pPr>
              <w:ind w:left="300"/>
              <w:spacing w:after="0"/>
              <w:rPr>
                <w:sz w:val="20"/>
                <w:szCs w:val="20"/>
                <w:color w:val="auto"/>
              </w:rPr>
            </w:pPr>
            <w:r>
              <w:rPr>
                <w:rFonts w:ascii="Arial" w:cs="Arial" w:eastAsia="Arial" w:hAnsi="Arial"/>
                <w:sz w:val="18"/>
                <w:szCs w:val="18"/>
                <w:color w:val="auto"/>
                <w:w w:val="97"/>
              </w:rPr>
              <w:t>Amendment No. 1 to Convertible Note and Warrant Purchase Agreement, 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0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w w:val="92"/>
              </w:rPr>
              <w:t>Convertible Promissory Notes and Warrants to Purchase Shares, dated</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w w:val="97"/>
              </w:rPr>
              <w:t>November 10, 2010, by and among the Company and the investors</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240"/>
          </w:cols>
          <w:pgMar w:left="42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10.13</w:t>
            </w:r>
          </w:p>
        </w:tc>
        <w:tc>
          <w:tcPr>
            <w:tcW w:w="680" w:type="dxa"/>
            <w:vAlign w:val="bottom"/>
          </w:tcPr>
          <w:p>
            <w:pPr>
              <w:jc w:val="right"/>
              <w:spacing w:after="0"/>
              <w:rPr>
                <w:sz w:val="20"/>
                <w:szCs w:val="20"/>
                <w:color w:val="auto"/>
              </w:rPr>
            </w:pPr>
            <w:r>
              <w:rPr>
                <w:rFonts w:ascii="Arial" w:cs="Arial" w:eastAsia="Arial" w:hAnsi="Arial"/>
                <w:sz w:val="18"/>
                <w:szCs w:val="18"/>
                <w:color w:val="auto"/>
              </w:rPr>
              <w:t>2010</w:t>
            </w:r>
          </w:p>
        </w:tc>
        <w:tc>
          <w:tcPr>
            <w:tcW w:w="4260" w:type="dxa"/>
            <w:vAlign w:val="bottom"/>
          </w:tcPr>
          <w:p>
            <w:pPr>
              <w:ind w:left="20"/>
              <w:spacing w:after="0"/>
              <w:rPr>
                <w:sz w:val="20"/>
                <w:szCs w:val="20"/>
                <w:color w:val="auto"/>
              </w:rPr>
            </w:pPr>
            <w:r>
              <w:rPr>
                <w:rFonts w:ascii="Arial" w:cs="Arial" w:eastAsia="Arial" w:hAnsi="Arial"/>
                <w:sz w:val="18"/>
                <w:szCs w:val="18"/>
                <w:color w:val="auto"/>
                <w:w w:val="89"/>
              </w:rPr>
              <w:t>Equity Incentive Plan and forms of agreements thereunder.</w:t>
            </w:r>
          </w:p>
        </w:tc>
      </w:tr>
      <w:tr>
        <w:trPr>
          <w:trHeight w:val="270"/>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10.14</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4260" w:type="dxa"/>
            <w:vAlign w:val="bottom"/>
          </w:tcPr>
          <w:p>
            <w:pPr>
              <w:ind w:left="20"/>
              <w:spacing w:after="0"/>
              <w:rPr>
                <w:sz w:val="20"/>
                <w:szCs w:val="20"/>
                <w:color w:val="auto"/>
              </w:rPr>
            </w:pPr>
            <w:r>
              <w:rPr>
                <w:rFonts w:ascii="Arial" w:cs="Arial" w:eastAsia="Arial" w:hAnsi="Arial"/>
                <w:sz w:val="18"/>
                <w:szCs w:val="18"/>
                <w:color w:val="auto"/>
                <w:w w:val="89"/>
              </w:rPr>
              <w:t>Equity Incentive Plan and forms of agreements thereunder.</w:t>
            </w:r>
          </w:p>
        </w:tc>
      </w:tr>
      <w:tr>
        <w:trPr>
          <w:trHeight w:val="270"/>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10.15</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4260" w:type="dxa"/>
            <w:vAlign w:val="bottom"/>
          </w:tcPr>
          <w:p>
            <w:pPr>
              <w:ind w:left="20"/>
              <w:spacing w:after="0"/>
              <w:rPr>
                <w:sz w:val="20"/>
                <w:szCs w:val="20"/>
                <w:color w:val="auto"/>
              </w:rPr>
            </w:pPr>
            <w:r>
              <w:rPr>
                <w:rFonts w:ascii="Arial" w:cs="Arial" w:eastAsia="Arial" w:hAnsi="Arial"/>
                <w:sz w:val="18"/>
                <w:szCs w:val="18"/>
                <w:color w:val="auto"/>
                <w:w w:val="92"/>
              </w:rPr>
              <w:t>Employee Stock Purchase Plan and forms of agreements</w:t>
            </w:r>
          </w:p>
        </w:tc>
      </w:tr>
    </w:tbl>
    <w:p>
      <w:pPr>
        <w:ind w:left="1000"/>
        <w:spacing w:after="0"/>
        <w:rPr>
          <w:sz w:val="20"/>
          <w:szCs w:val="20"/>
          <w:color w:val="auto"/>
        </w:rPr>
      </w:pPr>
      <w:r>
        <w:rPr>
          <w:rFonts w:ascii="Arial" w:cs="Arial" w:eastAsia="Arial" w:hAnsi="Arial"/>
          <w:sz w:val="18"/>
          <w:szCs w:val="18"/>
          <w:color w:val="auto"/>
        </w:rPr>
        <w:t>thereunder.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July 1,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S-1/A</w:t>
            </w:r>
          </w:p>
        </w:tc>
        <w:tc>
          <w:tcPr>
            <w:tcW w:w="1880" w:type="dxa"/>
            <w:vAlign w:val="bottom"/>
          </w:tcPr>
          <w:p>
            <w:pPr>
              <w:ind w:left="360"/>
              <w:spacing w:after="0"/>
              <w:rPr>
                <w:sz w:val="20"/>
                <w:szCs w:val="20"/>
                <w:color w:val="auto"/>
              </w:rPr>
            </w:pPr>
            <w:r>
              <w:rPr>
                <w:rFonts w:ascii="Arial" w:cs="Arial" w:eastAsia="Arial" w:hAnsi="Arial"/>
                <w:sz w:val="18"/>
                <w:szCs w:val="18"/>
                <w:color w:val="auto"/>
              </w:rPr>
              <w:t>July 1,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55" w:lineRule="exact"/>
        <w:rPr>
          <w:sz w:val="20"/>
          <w:szCs w:val="20"/>
          <w:color w:val="auto"/>
        </w:rPr>
      </w:pPr>
    </w:p>
    <w:p>
      <w:pPr>
        <w:sectPr>
          <w:pgSz w:w="11900" w:h="16838" w:orient="portrait"/>
          <w:cols w:equalWidth="0" w:num="2">
            <w:col w:w="5660" w:space="720"/>
            <w:col w:w="4860"/>
          </w:cols>
          <w:pgMar w:left="42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10.16</w:t>
            </w:r>
          </w:p>
        </w:tc>
        <w:tc>
          <w:tcPr>
            <w:tcW w:w="5520" w:type="dxa"/>
            <w:vAlign w:val="bottom"/>
          </w:tcPr>
          <w:p>
            <w:pPr>
              <w:ind w:left="300"/>
              <w:spacing w:after="0"/>
              <w:rPr>
                <w:sz w:val="20"/>
                <w:szCs w:val="20"/>
                <w:color w:val="auto"/>
              </w:rPr>
            </w:pPr>
            <w:r>
              <w:rPr>
                <w:rFonts w:ascii="Arial" w:cs="Arial" w:eastAsia="Arial" w:hAnsi="Arial"/>
                <w:sz w:val="18"/>
                <w:szCs w:val="18"/>
                <w:color w:val="auto"/>
                <w:w w:val="94"/>
              </w:rPr>
              <w:t>Offer Letter, dated June 22, 2007, by and between the Company and</w:t>
            </w:r>
          </w:p>
        </w:tc>
        <w:tc>
          <w:tcPr>
            <w:tcW w:w="860" w:type="dxa"/>
            <w:vAlign w:val="bottom"/>
          </w:tcPr>
          <w:p>
            <w:pPr>
              <w:ind w:left="16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00" w:type="dxa"/>
            <w:vAlign w:val="bottom"/>
          </w:tcPr>
          <w:p>
            <w:pPr>
              <w:spacing w:after="0"/>
              <w:rPr>
                <w:sz w:val="20"/>
                <w:szCs w:val="20"/>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Ernest Mario, Ph.D.</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10.17</w:t>
            </w:r>
          </w:p>
        </w:tc>
        <w:tc>
          <w:tcPr>
            <w:tcW w:w="5520" w:type="dxa"/>
            <w:vAlign w:val="bottom"/>
          </w:tcPr>
          <w:p>
            <w:pPr>
              <w:ind w:left="300"/>
              <w:spacing w:after="0"/>
              <w:rPr>
                <w:sz w:val="20"/>
                <w:szCs w:val="20"/>
                <w:color w:val="auto"/>
              </w:rPr>
            </w:pPr>
            <w:r>
              <w:rPr>
                <w:rFonts w:ascii="Arial" w:cs="Arial" w:eastAsia="Arial" w:hAnsi="Arial"/>
                <w:sz w:val="18"/>
                <w:szCs w:val="18"/>
                <w:color w:val="auto"/>
                <w:w w:val="99"/>
              </w:rPr>
              <w:t>Employment Agreement, dated April 6, 2010, by and between the</w:t>
            </w:r>
          </w:p>
        </w:tc>
        <w:tc>
          <w:tcPr>
            <w:tcW w:w="860" w:type="dxa"/>
            <w:vAlign w:val="bottom"/>
          </w:tcPr>
          <w:p>
            <w:pPr>
              <w:ind w:left="16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00" w:type="dxa"/>
            <w:vAlign w:val="bottom"/>
          </w:tcPr>
          <w:p>
            <w:pPr>
              <w:spacing w:after="0"/>
              <w:rPr>
                <w:sz w:val="20"/>
                <w:szCs w:val="20"/>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Company and Anish Bhatnagar.</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10.18</w:t>
            </w:r>
          </w:p>
        </w:tc>
        <w:tc>
          <w:tcPr>
            <w:tcW w:w="5520" w:type="dxa"/>
            <w:vAlign w:val="bottom"/>
          </w:tcPr>
          <w:p>
            <w:pPr>
              <w:ind w:left="300"/>
              <w:spacing w:after="0"/>
              <w:rPr>
                <w:sz w:val="20"/>
                <w:szCs w:val="20"/>
                <w:color w:val="auto"/>
              </w:rPr>
            </w:pPr>
            <w:r>
              <w:rPr>
                <w:rFonts w:ascii="Arial" w:cs="Arial" w:eastAsia="Arial" w:hAnsi="Arial"/>
                <w:sz w:val="18"/>
                <w:szCs w:val="18"/>
                <w:color w:val="auto"/>
                <w:w w:val="93"/>
              </w:rPr>
              <w:t>Offer Letter, dated May 29, 2013, between the Company and Anthony</w:t>
            </w:r>
          </w:p>
        </w:tc>
        <w:tc>
          <w:tcPr>
            <w:tcW w:w="860" w:type="dxa"/>
            <w:vAlign w:val="bottom"/>
          </w:tcPr>
          <w:p>
            <w:pPr>
              <w:ind w:left="160"/>
              <w:spacing w:after="0"/>
              <w:rPr>
                <w:sz w:val="20"/>
                <w:szCs w:val="20"/>
                <w:color w:val="auto"/>
              </w:rPr>
            </w:pPr>
            <w:r>
              <w:rPr>
                <w:rFonts w:ascii="Arial" w:cs="Arial" w:eastAsia="Arial" w:hAnsi="Arial"/>
                <w:sz w:val="18"/>
                <w:szCs w:val="18"/>
                <w:color w:val="auto"/>
              </w:rPr>
              <w:t>S-1</w:t>
            </w:r>
          </w:p>
        </w:tc>
        <w:tc>
          <w:tcPr>
            <w:tcW w:w="1960" w:type="dxa"/>
            <w:vAlign w:val="bottom"/>
          </w:tcPr>
          <w:p>
            <w:pPr>
              <w:ind w:left="440"/>
              <w:spacing w:after="0"/>
              <w:rPr>
                <w:sz w:val="20"/>
                <w:szCs w:val="20"/>
                <w:color w:val="auto"/>
              </w:rPr>
            </w:pPr>
            <w:r>
              <w:rPr>
                <w:rFonts w:ascii="Arial" w:cs="Arial" w:eastAsia="Arial" w:hAnsi="Arial"/>
                <w:sz w:val="18"/>
                <w:szCs w:val="18"/>
                <w:color w:val="auto"/>
              </w:rPr>
              <w:t>June 10, 2014</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700" w:type="dxa"/>
            <w:vAlign w:val="bottom"/>
          </w:tcPr>
          <w:p>
            <w:pPr>
              <w:spacing w:after="0"/>
              <w:rPr>
                <w:sz w:val="20"/>
                <w:szCs w:val="20"/>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Wondka.</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420" w:top="738" w:right="23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520" w:type="dxa"/>
            <w:vAlign w:val="bottom"/>
            <w:gridSpan w:val="3"/>
            <w:vMerge w:val="restart"/>
          </w:tcPr>
          <w:p>
            <w:pPr>
              <w:ind w:left="2060"/>
              <w:spacing w:after="0"/>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Registrant’s</w:t>
            </w:r>
          </w:p>
        </w:tc>
        <w:tc>
          <w:tcPr>
            <w:tcW w:w="204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Date Filed</w:t>
            </w: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Exhibit</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3"/>
                <w:szCs w:val="13"/>
                <w:color w:val="auto"/>
              </w:rPr>
            </w:pPr>
          </w:p>
        </w:tc>
        <w:tc>
          <w:tcPr>
            <w:tcW w:w="5520" w:type="dxa"/>
            <w:vAlign w:val="bottom"/>
            <w:gridSpan w:val="3"/>
            <w:vMerge w:val="continue"/>
          </w:tcPr>
          <w:p>
            <w:pPr>
              <w:spacing w:after="0"/>
              <w:rPr>
                <w:sz w:val="13"/>
                <w:szCs w:val="13"/>
                <w:color w:val="auto"/>
              </w:rPr>
            </w:pPr>
          </w:p>
        </w:tc>
        <w:tc>
          <w:tcPr>
            <w:tcW w:w="11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Form</w:t>
            </w:r>
          </w:p>
        </w:tc>
        <w:tc>
          <w:tcPr>
            <w:tcW w:w="204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with the SEC</w:t>
            </w:r>
          </w:p>
        </w:tc>
        <w:tc>
          <w:tcPr>
            <w:tcW w:w="9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0" w:type="dxa"/>
            <w:vAlign w:val="bottom"/>
            <w:gridSpan w:val="2"/>
            <w:vMerge w:val="restart"/>
          </w:tcPr>
          <w:p>
            <w:pPr>
              <w:jc w:val="right"/>
              <w:ind w:right="188"/>
              <w:spacing w:after="0"/>
              <w:rPr>
                <w:sz w:val="20"/>
                <w:szCs w:val="20"/>
                <w:color w:val="auto"/>
              </w:rPr>
            </w:pPr>
            <w:r>
              <w:rPr>
                <w:rFonts w:ascii="Arial" w:cs="Arial" w:eastAsia="Arial" w:hAnsi="Arial"/>
                <w:sz w:val="18"/>
                <w:szCs w:val="18"/>
                <w:color w:val="auto"/>
                <w:w w:val="84"/>
              </w:rPr>
              <w:t>10.19</w:t>
            </w:r>
          </w:p>
        </w:tc>
        <w:tc>
          <w:tcPr>
            <w:tcW w:w="180" w:type="dxa"/>
            <w:vAlign w:val="bottom"/>
          </w:tcPr>
          <w:p>
            <w:pPr>
              <w:spacing w:after="0" w:line="20" w:lineRule="exact"/>
              <w:rPr>
                <w:sz w:val="1"/>
                <w:szCs w:val="1"/>
                <w:color w:val="auto"/>
              </w:rPr>
            </w:pPr>
          </w:p>
        </w:tc>
        <w:tc>
          <w:tcPr>
            <w:tcW w:w="5520" w:type="dxa"/>
            <w:vAlign w:val="bottom"/>
            <w:gridSpan w:val="3"/>
            <w:vMerge w:val="restart"/>
          </w:tcPr>
          <w:p>
            <w:pPr>
              <w:ind w:left="160"/>
              <w:spacing w:after="0"/>
              <w:rPr>
                <w:sz w:val="20"/>
                <w:szCs w:val="20"/>
                <w:color w:val="auto"/>
              </w:rPr>
            </w:pPr>
            <w:r>
              <w:rPr>
                <w:rFonts w:ascii="Arial" w:cs="Arial" w:eastAsia="Arial" w:hAnsi="Arial"/>
                <w:sz w:val="18"/>
                <w:szCs w:val="18"/>
                <w:color w:val="auto"/>
                <w:w w:val="97"/>
              </w:rPr>
              <w:t>Offer Letter, dated April 17, 2014, by and between the Company and</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vMerge w:val="continue"/>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Antoun Nabhan.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10.20</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Asset Purchase Agreement dated May 11, 2010, by and between the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Company and BioMedical Drug Development Inc.</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10.21</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2"/>
              </w:rPr>
              <w:t>Convertible Note and Warrant Purchase Agreement, dated February 10,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8"/>
              </w:rPr>
              <w:t>2010, by and among the Company and the investors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10.22</w:t>
            </w:r>
          </w:p>
        </w:tc>
        <w:tc>
          <w:tcPr>
            <w:tcW w:w="180" w:type="dxa"/>
            <w:vAlign w:val="bottom"/>
          </w:tcPr>
          <w:p>
            <w:pPr>
              <w:spacing w:after="0"/>
              <w:rPr>
                <w:sz w:val="22"/>
                <w:szCs w:val="22"/>
                <w:color w:val="auto"/>
              </w:rPr>
            </w:pPr>
          </w:p>
        </w:tc>
        <w:tc>
          <w:tcPr>
            <w:tcW w:w="6660" w:type="dxa"/>
            <w:vAlign w:val="bottom"/>
            <w:gridSpan w:val="5"/>
          </w:tcPr>
          <w:p>
            <w:pPr>
              <w:ind w:left="160"/>
              <w:spacing w:after="0"/>
              <w:rPr>
                <w:sz w:val="20"/>
                <w:szCs w:val="20"/>
                <w:color w:val="auto"/>
              </w:rPr>
            </w:pPr>
            <w:r>
              <w:rPr>
                <w:rFonts w:ascii="Arial" w:cs="Arial" w:eastAsia="Arial" w:hAnsi="Arial"/>
                <w:sz w:val="18"/>
                <w:szCs w:val="18"/>
                <w:color w:val="auto"/>
              </w:rPr>
              <w:t>Amendment No. 1 to Convertible Note and Warrant Purchase Agreement, 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Convertible Promissory Notes and Warrants to Purchase Shares, dated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9"/>
              </w:rPr>
              <w:t>November 10, 2010, by and among the Company and the investors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10.23</w:t>
            </w:r>
          </w:p>
        </w:tc>
        <w:tc>
          <w:tcPr>
            <w:tcW w:w="180" w:type="dxa"/>
            <w:vAlign w:val="bottom"/>
          </w:tcPr>
          <w:p>
            <w:pPr>
              <w:spacing w:after="0"/>
              <w:rPr>
                <w:sz w:val="22"/>
                <w:szCs w:val="22"/>
                <w:color w:val="auto"/>
              </w:rPr>
            </w:pPr>
          </w:p>
        </w:tc>
        <w:tc>
          <w:tcPr>
            <w:tcW w:w="6660" w:type="dxa"/>
            <w:vAlign w:val="bottom"/>
            <w:gridSpan w:val="5"/>
          </w:tcPr>
          <w:p>
            <w:pPr>
              <w:ind w:left="160"/>
              <w:spacing w:after="0"/>
              <w:rPr>
                <w:sz w:val="20"/>
                <w:szCs w:val="20"/>
                <w:color w:val="auto"/>
              </w:rPr>
            </w:pPr>
            <w:r>
              <w:rPr>
                <w:rFonts w:ascii="Arial" w:cs="Arial" w:eastAsia="Arial" w:hAnsi="Arial"/>
                <w:sz w:val="18"/>
                <w:szCs w:val="18"/>
                <w:color w:val="auto"/>
              </w:rPr>
              <w:t>Amendment No. 2 to Convertible Note and Warrant Purchase Agreement, 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Convertible Promissory Notes and Warrants to Purchase Shares, dated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2"/>
              </w:rPr>
              <w:t>January 17, 2012, by and among the Company and the investors named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10.24</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4"/>
              </w:rPr>
              <w:t>Convertible Note and Warrant Purchase Agreement, dated January 16,</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8"/>
              </w:rPr>
              <w:t>2012, by and among the Company and the investors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10.25</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Omnibus Amendment to Convertible Note and Warrant Purchase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Agreement, Convertible Promissory Notes and Warrants to Purchase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Shares, dated July 31, 2012, by and among the Company and the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investors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10.26</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Omnibus Amendment to Convertible Promissory Notes and Warrants to</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2"/>
              </w:rPr>
              <w:t>Purchase Shares, dated April 28, 2014, by and among the Company and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the investors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10.27</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9"/>
              </w:rPr>
              <w:t>Convertible Note and Warrant Purchase Agreement, dated April 28,</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8"/>
              </w:rPr>
              <w:t>2014, by and among the Company and the investors 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10.28</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Omnibus Amendment to Convertible Note and Warrant Purchase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June 10,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Agreement, Convertible Promissory Notes and Warrants to Purchase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89"/>
              </w:rPr>
              <w:t>Shares, dated May 5, 2014, by and among the Company and the investors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10.29</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Sublease, dated May 20, 2014, by and among the Company and Silicon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1,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Valley Finance Group.</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10.30</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Offer Letter, dated June 24, 2014, by and between the Company and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22,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David D. O’Toole.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10.31</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2"/>
              </w:rPr>
              <w:t>Loan Agreement by and between the Company and the investors named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September 29,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therein, dated September 29, 2014.</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10.32</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5"/>
              </w:rPr>
              <w:t>Revised Second Tranche Closing Notice and Letter Amendment dated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November 4,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August 18, 2014 relating to the August 2014 Notes.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10.33</w:t>
            </w:r>
          </w:p>
        </w:tc>
        <w:tc>
          <w:tcPr>
            <w:tcW w:w="180" w:type="dxa"/>
            <w:vAlign w:val="bottom"/>
          </w:tcPr>
          <w:p>
            <w:pPr>
              <w:spacing w:after="0"/>
              <w:rPr>
                <w:sz w:val="22"/>
                <w:szCs w:val="22"/>
                <w:color w:val="auto"/>
              </w:rPr>
            </w:pPr>
          </w:p>
        </w:tc>
        <w:tc>
          <w:tcPr>
            <w:tcW w:w="6660" w:type="dxa"/>
            <w:vAlign w:val="bottom"/>
            <w:gridSpan w:val="5"/>
          </w:tcPr>
          <w:p>
            <w:pPr>
              <w:ind w:left="160"/>
              <w:spacing w:after="0"/>
              <w:rPr>
                <w:sz w:val="20"/>
                <w:szCs w:val="20"/>
                <w:color w:val="auto"/>
              </w:rPr>
            </w:pPr>
            <w:r>
              <w:rPr>
                <w:rFonts w:ascii="Arial" w:cs="Arial" w:eastAsia="Arial" w:hAnsi="Arial"/>
                <w:sz w:val="18"/>
                <w:szCs w:val="18"/>
                <w:color w:val="auto"/>
              </w:rPr>
              <w:t>Second Tranche Subsequent Closing Notice and Letter Amendment dated 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November 4, 2014</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October 22, 2014 relating to the October 2014 Notes.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10.34</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Warrant Exercise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March 6, 2015</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10.35</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6"/>
              </w:rPr>
              <w:t>Advisory Agreement by and between the Company and Maxim Group</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April 1, 2014</w:t>
            </w:r>
          </w:p>
        </w:tc>
        <w:tc>
          <w:tcPr>
            <w:tcW w:w="8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LLC, dated March 4, 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10.36</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1"/>
              </w:rPr>
              <w:t>Agreement and First Amendment to Asset Purchase Agreement between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7, 2015</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the Company, BDDI and affiliate of BDDI, dated June 30, 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10.37</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8"/>
              </w:rPr>
              <w:t>Common Stock Purchase Agreement between the Company and an</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7, 2015</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affiliate of BDDI, dated June 30, 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w w:val="84"/>
              </w:rPr>
              <w:t>10.38</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1"/>
              </w:rPr>
              <w:t>Registration Rights Agreement between the Company and Aspire Capital</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27, 2015</w:t>
            </w:r>
          </w:p>
        </w:tc>
        <w:tc>
          <w:tcPr>
            <w:tcW w:w="8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Fund, LLC, dated July 24, 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420" w:top="738" w:right="239" w:bottom="1440" w:gutter="0" w:footer="0" w:header="0"/>
        </w:sectPr>
      </w:pPr>
    </w:p>
    <w:bookmarkStart w:id="209" w:name="page210"/>
    <w:bookmarkEnd w:id="209"/>
    <w:tbl>
      <w:tblPr>
        <w:tblLayout w:type="fixed"/>
        <w:tblInd w:w="18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8"/>
              </w:rPr>
              <w:t>Exhibit</w:t>
            </w:r>
          </w:p>
        </w:tc>
        <w:tc>
          <w:tcPr>
            <w:tcW w:w="5520" w:type="dxa"/>
            <w:vAlign w:val="bottom"/>
            <w:gridSpan w:val="3"/>
            <w:vMerge w:val="restart"/>
          </w:tcPr>
          <w:p>
            <w:pPr>
              <w:ind w:left="2060"/>
              <w:spacing w:after="0"/>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Registrant’s</w:t>
            </w:r>
          </w:p>
        </w:tc>
        <w:tc>
          <w:tcPr>
            <w:tcW w:w="204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Date Filed</w:t>
            </w: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Exhibit</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3"/>
                <w:szCs w:val="13"/>
                <w:color w:val="auto"/>
              </w:rPr>
            </w:pPr>
          </w:p>
        </w:tc>
        <w:tc>
          <w:tcPr>
            <w:tcW w:w="5520" w:type="dxa"/>
            <w:vAlign w:val="bottom"/>
            <w:gridSpan w:val="3"/>
            <w:vMerge w:val="continue"/>
          </w:tcPr>
          <w:p>
            <w:pPr>
              <w:spacing w:after="0"/>
              <w:rPr>
                <w:sz w:val="13"/>
                <w:szCs w:val="13"/>
                <w:color w:val="auto"/>
              </w:rPr>
            </w:pPr>
          </w:p>
        </w:tc>
        <w:tc>
          <w:tcPr>
            <w:tcW w:w="11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Form</w:t>
            </w:r>
          </w:p>
        </w:tc>
        <w:tc>
          <w:tcPr>
            <w:tcW w:w="204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with the SEC</w:t>
            </w:r>
          </w:p>
        </w:tc>
        <w:tc>
          <w:tcPr>
            <w:tcW w:w="9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0" w:type="dxa"/>
            <w:vAlign w:val="bottom"/>
            <w:gridSpan w:val="2"/>
            <w:vMerge w:val="restart"/>
          </w:tcPr>
          <w:p>
            <w:pPr>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line="20" w:lineRule="exact"/>
              <w:rPr>
                <w:sz w:val="1"/>
                <w:szCs w:val="1"/>
                <w:color w:val="auto"/>
              </w:rPr>
            </w:pPr>
          </w:p>
        </w:tc>
        <w:tc>
          <w:tcPr>
            <w:tcW w:w="5520" w:type="dxa"/>
            <w:vAlign w:val="bottom"/>
            <w:gridSpan w:val="3"/>
            <w:vMerge w:val="restart"/>
          </w:tcPr>
          <w:p>
            <w:pPr>
              <w:ind w:left="160"/>
              <w:spacing w:after="0"/>
              <w:rPr>
                <w:sz w:val="20"/>
                <w:szCs w:val="20"/>
                <w:color w:val="auto"/>
              </w:rPr>
            </w:pPr>
            <w:r>
              <w:rPr>
                <w:rFonts w:ascii="Arial" w:cs="Arial" w:eastAsia="Arial" w:hAnsi="Arial"/>
                <w:sz w:val="18"/>
                <w:szCs w:val="18"/>
                <w:color w:val="auto"/>
                <w:w w:val="93"/>
              </w:rPr>
              <w:t>Common Stock Purchase Agreement between the Company and Aspire</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vMerge w:val="continue"/>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27, 2015</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Capital Fund, LLC, dated July 24, 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2"/>
                <w:szCs w:val="22"/>
                <w:color w:val="auto"/>
              </w:rPr>
            </w:pPr>
          </w:p>
        </w:tc>
        <w:tc>
          <w:tcPr>
            <w:tcW w:w="6660" w:type="dxa"/>
            <w:vAlign w:val="bottom"/>
            <w:gridSpan w:val="5"/>
          </w:tcPr>
          <w:p>
            <w:pPr>
              <w:ind w:left="160"/>
              <w:spacing w:after="0"/>
              <w:rPr>
                <w:sz w:val="20"/>
                <w:szCs w:val="20"/>
                <w:color w:val="auto"/>
              </w:rPr>
            </w:pPr>
            <w:r>
              <w:rPr>
                <w:rFonts w:ascii="Arial" w:cs="Arial" w:eastAsia="Arial" w:hAnsi="Arial"/>
                <w:sz w:val="18"/>
                <w:szCs w:val="18"/>
                <w:color w:val="auto"/>
              </w:rPr>
              <w:t>Engagement Letter dated September 17, 2015, between the Company and 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Maxim Group, LLC.</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Securities Purchase Agreement dated October 12, 2015.</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Registration Rights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Lock-Up Agreement.</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October 15, 2015</w:t>
            </w:r>
          </w:p>
        </w:tc>
        <w:tc>
          <w:tcPr>
            <w:tcW w:w="8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Amendment No. 1 to Securities Purchase Agreement dated October 29,</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December 22, 2015</w:t>
            </w:r>
          </w:p>
        </w:tc>
        <w:tc>
          <w:tcPr>
            <w:tcW w:w="8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2015.</w:t>
            </w:r>
          </w:p>
        </w:tc>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2"/>
              </w:rPr>
              <w:t>Transfer and Distribution Agreement: United States: by and between the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January 28, 2016</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Company and Bemes, Inc. signed January 26, 2016.</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Engagement Letter dated June 26, 2016, between the Company and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Maxim Group, LLC.</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Securities Purchase Agreement dated June 29, 2016.</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Form of Registration Rights Agreement dated June 29, 2016.</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6, 2016</w:t>
            </w: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4"/>
              </w:rPr>
              <w:t>Amendment No. 1 to Securities Purchase Agreement dated September</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September 23, 2016</w:t>
            </w:r>
          </w:p>
        </w:tc>
        <w:tc>
          <w:tcPr>
            <w:tcW w:w="8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20, 2016.</w:t>
            </w:r>
          </w:p>
        </w:tc>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Agreement and Plan of Merger and Reorganization, dated as of</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December 27, 2016</w:t>
            </w:r>
          </w:p>
        </w:tc>
        <w:tc>
          <w:tcPr>
            <w:tcW w:w="80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December 22, 2016, by and among the Company, a Delaware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corporation, Essentialis, Inc., a Delaware corporation, Company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E Merger Sub, Inc., a Delaware corporation and a wholly-owned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subsidiary of the Company, and Neil Cowen as the stockholders’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representative.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1"/>
              </w:rPr>
              <w:t>Registration Rights Agreement between the Company and Aspire Capital</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February 1, 2017</w:t>
            </w:r>
          </w:p>
        </w:tc>
        <w:tc>
          <w:tcPr>
            <w:tcW w:w="8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Fund, LLC, dated January 27, 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3"/>
              </w:rPr>
              <w:t>Common Stock Purchase Agreement between the Company and Aspire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February 1, 2017</w:t>
            </w:r>
          </w:p>
        </w:tc>
        <w:tc>
          <w:tcPr>
            <w:tcW w:w="8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Capital Fund, LLC, dated January 27, 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2"/>
          </w:tcPr>
          <w:p>
            <w:pPr>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Stock Purchase Agreement made by and between the Company and</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July 24, 2017</w:t>
            </w:r>
          </w:p>
        </w:tc>
        <w:tc>
          <w:tcPr>
            <w:tcW w:w="80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w w:val="97"/>
              </w:rPr>
              <w:t>NeoForce Holdings, Inc. a Delaware corporation dated July 18, 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Consent of Marcum LLP</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3"/>
                <w:szCs w:val="23"/>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Consent of PKF, LLP</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40" w:firstLine="332"/>
        <w:spacing w:after="0" w:line="277" w:lineRule="auto"/>
        <w:tabs>
          <w:tab w:leader="none" w:pos="5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200" w:hanging="220"/>
        <w:spacing w:after="0"/>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60" w:right="140" w:firstLine="320"/>
        <w:spacing w:after="0" w:line="277" w:lineRule="auto"/>
        <w:tabs>
          <w:tab w:leader="none" w:pos="12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738" w:right="239" w:bottom="1440" w:gutter="0" w:footer="0" w:header="0"/>
        </w:sectPr>
      </w:pPr>
    </w:p>
    <w:bookmarkStart w:id="210" w:name="page211"/>
    <w:bookmarkEnd w:id="210"/>
    <w:p>
      <w:pPr>
        <w:ind w:left="660" w:right="140"/>
        <w:spacing w:after="0" w:line="257" w:lineRule="auto"/>
        <w:rPr>
          <w:sz w:val="20"/>
          <w:szCs w:val="20"/>
          <w:color w:val="auto"/>
        </w:rPr>
      </w:pPr>
      <w:r>
        <w:rPr>
          <w:rFonts w:ascii="Arial" w:cs="Arial" w:eastAsia="Arial" w:hAnsi="Arial"/>
          <w:sz w:val="18"/>
          <w:szCs w:val="18"/>
          <w:color w:val="auto"/>
        </w:rPr>
        <w:t>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0" w:lineRule="exact"/>
        <w:rPr>
          <w:sz w:val="20"/>
          <w:szCs w:val="20"/>
          <w:color w:val="auto"/>
        </w:rPr>
      </w:pPr>
    </w:p>
    <w:p>
      <w:pPr>
        <w:ind w:left="660" w:right="380" w:firstLine="320"/>
        <w:spacing w:after="0" w:line="277" w:lineRule="auto"/>
        <w:tabs>
          <w:tab w:leader="none" w:pos="12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Provided, however, that paragraphs (B)(1)(i) and (B)(1)(ii)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47" w:lineRule="exact"/>
        <w:rPr>
          <w:sz w:val="20"/>
          <w:szCs w:val="20"/>
          <w:color w:val="auto"/>
        </w:rPr>
      </w:pPr>
    </w:p>
    <w:p>
      <w:pPr>
        <w:ind w:right="80" w:firstLine="332"/>
        <w:spacing w:after="0" w:line="264" w:lineRule="auto"/>
        <w:tabs>
          <w:tab w:leader="none" w:pos="5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680" w:firstLine="332"/>
        <w:spacing w:after="0" w:line="277" w:lineRule="auto"/>
        <w:tabs>
          <w:tab w:leader="none" w:pos="5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remove from registration by means of a post-effective amendment any of the securities being registered that remain unsold at the termination of the offering.</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liability to any purchaser:</w:t>
      </w:r>
    </w:p>
    <w:p>
      <w:pPr>
        <w:spacing w:after="0" w:line="2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3" w:lineRule="exact"/>
        <w:rPr>
          <w:sz w:val="20"/>
          <w:szCs w:val="20"/>
          <w:color w:val="auto"/>
        </w:rPr>
      </w:pPr>
    </w:p>
    <w:p>
      <w:pPr>
        <w:ind w:right="40" w:firstLine="332"/>
        <w:spacing w:after="0" w:line="286" w:lineRule="auto"/>
        <w:tabs>
          <w:tab w:leader="none" w:pos="5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rFonts w:ascii="Arial" w:cs="Arial" w:eastAsia="Arial" w:hAnsi="Arial"/>
          <w:sz w:val="16"/>
          <w:szCs w:val="16"/>
          <w:color w:val="auto"/>
        </w:rPr>
      </w:pPr>
    </w:p>
    <w:p>
      <w:pPr>
        <w:ind w:left="1200" w:hanging="220"/>
        <w:spacing w:after="0"/>
        <w:tabs>
          <w:tab w:leader="none" w:pos="12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0" w:lineRule="exact"/>
        <w:rPr>
          <w:rFonts w:ascii="Arial" w:cs="Arial" w:eastAsia="Arial" w:hAnsi="Arial"/>
          <w:sz w:val="17"/>
          <w:szCs w:val="17"/>
          <w:color w:val="auto"/>
        </w:rPr>
      </w:pPr>
    </w:p>
    <w:p>
      <w:pPr>
        <w:ind w:left="660" w:right="520" w:firstLine="320"/>
        <w:spacing w:after="0" w:line="250" w:lineRule="auto"/>
        <w:tabs>
          <w:tab w:leader="none" w:pos="124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ind w:left="660" w:right="100" w:firstLine="320"/>
        <w:spacing w:after="0" w:line="250" w:lineRule="auto"/>
        <w:tabs>
          <w:tab w:leader="none" w:pos="12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280" w:hanging="300"/>
        <w:spacing w:after="0"/>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0" w:lineRule="exact"/>
        <w:rPr>
          <w:rFonts w:ascii="Arial" w:cs="Arial" w:eastAsia="Arial" w:hAnsi="Arial"/>
          <w:sz w:val="18"/>
          <w:szCs w:val="18"/>
          <w:color w:val="auto"/>
        </w:rPr>
      </w:pPr>
    </w:p>
    <w:p>
      <w:pPr>
        <w:ind w:right="20" w:firstLine="332"/>
        <w:spacing w:after="0" w:line="271" w:lineRule="auto"/>
        <w:tabs>
          <w:tab w:leader="none" w:pos="6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undersigned registrant according the foregoing provisions, or otherwise, the undersigned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692" w:right="239" w:bottom="1440" w:gutter="0" w:footer="0" w:header="0"/>
        </w:sectPr>
      </w:pPr>
    </w:p>
    <w:bookmarkStart w:id="211" w:name="page212"/>
    <w:bookmarkEnd w:id="211"/>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340"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Redwood City, State of California, on this 7th day of August, 2017.</w:t>
      </w:r>
    </w:p>
    <w:p>
      <w:pPr>
        <w:spacing w:after="0" w:line="7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Soleno Therapeutics, Inc.</w:t>
      </w:r>
    </w:p>
    <w:p>
      <w:pPr>
        <w:spacing w:after="0" w:line="387" w:lineRule="exact"/>
        <w:rPr>
          <w:sz w:val="20"/>
          <w:szCs w:val="20"/>
          <w:color w:val="auto"/>
        </w:rPr>
      </w:pPr>
    </w:p>
    <w:p>
      <w:pPr>
        <w:ind w:left="6540"/>
        <w:spacing w:after="0"/>
        <w:tabs>
          <w:tab w:leader="none" w:pos="6980" w:val="left"/>
        </w:tabs>
        <w:rPr>
          <w:sz w:val="20"/>
          <w:szCs w:val="20"/>
          <w:color w:val="auto"/>
        </w:rPr>
      </w:pPr>
      <w:r>
        <w:rPr>
          <w:rFonts w:ascii="Arial" w:cs="Arial" w:eastAsia="Arial" w:hAnsi="Arial"/>
          <w:sz w:val="18"/>
          <w:szCs w:val="18"/>
          <w:color w:val="auto"/>
        </w:rPr>
        <w:t>By:</w:t>
        <w:tab/>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Anish Bhatnagar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80"/>
          </w:cols>
          <w:pgMar w:left="240" w:top="796" w:right="6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6060" w:type="dxa"/>
            <w:vAlign w:val="bottom"/>
            <w:gridSpan w:val="3"/>
          </w:tcPr>
          <w:p>
            <w:pPr>
              <w:ind w:left="2900"/>
              <w:spacing w:after="0"/>
              <w:rPr>
                <w:sz w:val="20"/>
                <w:szCs w:val="20"/>
                <w:color w:val="auto"/>
              </w:rPr>
            </w:pPr>
            <w:r>
              <w:rPr>
                <w:rFonts w:ascii="Arial" w:cs="Arial" w:eastAsia="Arial" w:hAnsi="Arial"/>
                <w:sz w:val="14"/>
                <w:szCs w:val="14"/>
                <w:b w:val="1"/>
                <w:bCs w:val="1"/>
                <w:color w:val="auto"/>
              </w:rPr>
              <w:t>Title</w:t>
            </w:r>
          </w:p>
        </w:tc>
        <w:tc>
          <w:tcPr>
            <w:tcW w:w="1840" w:type="dxa"/>
            <w:vAlign w:val="bottom"/>
            <w:gridSpan w:val="3"/>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Anish Bhatnagar</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w w:val="98"/>
              </w:rPr>
              <w:t>President, Chief Executive Officer and Director (Principal Executive Officer)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Anish Bhatnagar</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David D. O’Toole</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Financing and Accounting Officer)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4"/>
              </w:rPr>
              <w:t>David D. O’Toole</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Ernest Mario</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Chairman</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Ernest Mario</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Edgar G. Engleman</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Edgar G. Engleman</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Steinar J. Engelsen</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8"/>
              </w:rPr>
              <w:t>Steinar J. Engelsen</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Stephen Kirnon</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Stephen Kirnon</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Rajen Dalal</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Rajen Dalal</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William G. Harris</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William G. Harris</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Mahendra Shah</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8"/>
              </w:rPr>
              <w:t>Mahendra Shah</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Stuart Collinson</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Stuart Collinson</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Jim Glasheen</w:t>
            </w: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Borders>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Jim Glasheen</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60" w:type="dxa"/>
            <w:vAlign w:val="bottom"/>
            <w:gridSpan w:val="3"/>
            <w:vMerge w:val="restart"/>
          </w:tcPr>
          <w:p>
            <w:pPr>
              <w:ind w:left="2200"/>
              <w:spacing w:after="0"/>
              <w:rPr>
                <w:sz w:val="20"/>
                <w:szCs w:val="20"/>
                <w:color w:val="auto"/>
              </w:rPr>
            </w:pPr>
            <w:r>
              <w:rPr>
                <w:rFonts w:ascii="Arial" w:cs="Arial" w:eastAsia="Arial" w:hAnsi="Arial"/>
                <w:sz w:val="18"/>
                <w:szCs w:val="18"/>
                <w:color w:val="auto"/>
              </w:rPr>
              <w:t>II-9</w:t>
            </w: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6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35" w:right="219" w:bottom="1440" w:gutter="0" w:footer="0" w:header="0"/>
        </w:sectPr>
      </w:pPr>
    </w:p>
    <w:bookmarkStart w:id="213" w:name="page214"/>
    <w:bookmarkEnd w:id="213"/>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Anish Bhatnagar and David O’Toole, or either of them, his true and lawful attorneys-in-fact and agents, with full power of substitution and resubstitution, for him and in his name, place and stead, in any and all capacities, to sign any and all amendments to the registration statement,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foregoing,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5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20"/>
          </w:cols>
          <w:pgMar w:left="240" w:top="797"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spacing w:after="0"/>
              <w:rPr>
                <w:sz w:val="14"/>
                <w:szCs w:val="14"/>
                <w:color w:val="auto"/>
              </w:rPr>
            </w:pPr>
          </w:p>
        </w:tc>
      </w:tr>
      <w:tr>
        <w:trPr>
          <w:trHeight w:val="588"/>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Anish Bhatnagar</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0"/>
              </w:rPr>
              <w:t>Anish Bhatnagar</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David D. O’Toole</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4"/>
              </w:rPr>
              <w:t>David D. O’Toole</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Ernest Mario</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Chairman</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4"/>
              </w:rPr>
              <w:t>Ernest Mario</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Edgar G. Engleman</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1"/>
              </w:rPr>
              <w:t>Edgar G. Engleman</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Steinar J. Engelsen</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7"/>
              </w:rPr>
              <w:t>Steinar J. Engelsen</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Stephen Kirnon</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0"/>
              </w:rPr>
              <w:t>Stephen Kirnon</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Rajen Dalal</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0"/>
              </w:rPr>
              <w:t>Rajen Dalal</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William G. Harris</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6"/>
              </w:rPr>
              <w:t>William G. Harris</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Mahendra Shah</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7"/>
              </w:rPr>
              <w:t>Mahendra Shah</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Stuart Collinson</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91"/>
              </w:rPr>
              <w:t>Stuart Collinson</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94"/>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 Jim Glasheen</w:t>
            </w:r>
          </w:p>
        </w:tc>
        <w:tc>
          <w:tcPr>
            <w:tcW w:w="46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ind w:left="1040"/>
              <w:spacing w:after="0"/>
              <w:rPr>
                <w:sz w:val="20"/>
                <w:szCs w:val="20"/>
                <w:color w:val="auto"/>
              </w:rPr>
            </w:pPr>
            <w:r>
              <w:rPr>
                <w:rFonts w:ascii="Arial" w:cs="Arial" w:eastAsia="Arial" w:hAnsi="Arial"/>
                <w:sz w:val="18"/>
                <w:szCs w:val="18"/>
                <w:color w:val="auto"/>
                <w:w w:val="93"/>
              </w:rPr>
              <w:t>April 21, 2017</w:t>
            </w:r>
          </w:p>
        </w:tc>
      </w:tr>
      <w:tr>
        <w:trPr>
          <w:trHeight w:val="27"/>
        </w:trPr>
        <w:tc>
          <w:tcPr>
            <w:tcW w:w="2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7"/>
              </w:rPr>
              <w:t>Jim Glasheen</w:t>
            </w: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702"/>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40" w:type="dxa"/>
            <w:vAlign w:val="bottom"/>
            <w:gridSpan w:val="3"/>
          </w:tcPr>
          <w:p>
            <w:pPr>
              <w:ind w:left="1040"/>
              <w:spacing w:after="0"/>
              <w:rPr>
                <w:sz w:val="20"/>
                <w:szCs w:val="20"/>
                <w:color w:val="auto"/>
              </w:rPr>
            </w:pPr>
            <w:r>
              <w:rPr>
                <w:rFonts w:ascii="Arial" w:cs="Arial" w:eastAsia="Arial" w:hAnsi="Arial"/>
                <w:sz w:val="18"/>
                <w:szCs w:val="18"/>
                <w:color w:val="auto"/>
              </w:rPr>
              <w:t>II-11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00"/>
          </w:cols>
          <w:pgMar w:left="240" w:top="735" w:right="259" w:bottom="1440" w:gutter="0" w:footer="0" w:header="0"/>
        </w:sectPr>
      </w:pPr>
    </w:p>
    <w:bookmarkStart w:id="215" w:name="page216"/>
    <w:bookmarkEnd w:id="215"/>
    <w:p>
      <w:pPr>
        <w:jc w:val="right"/>
        <w:ind w:right="160"/>
        <w:spacing w:after="0"/>
        <w:rPr>
          <w:sz w:val="20"/>
          <w:szCs w:val="20"/>
          <w:color w:val="auto"/>
        </w:rPr>
      </w:pPr>
      <w:r>
        <w:rPr>
          <w:rFonts w:ascii="Arial" w:cs="Arial" w:eastAsia="Arial" w:hAnsi="Arial"/>
          <w:sz w:val="18"/>
          <w:szCs w:val="18"/>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2967355"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377190"/>
                    </a:xfrm>
                    <a:prstGeom prst="rect">
                      <a:avLst/>
                    </a:prstGeom>
                    <a:noFill/>
                  </pic:spPr>
                </pic:pic>
              </a:graphicData>
            </a:graphic>
          </wp:anchor>
        </w:drawing>
      </w:r>
    </w:p>
    <w:p>
      <w:pPr>
        <w:spacing w:after="0" w:line="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PHONE 650.493.9300</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FAX 650.493.6811</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www.wsgr.com</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 (f/k/a Capnia,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1235 Radio Road,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opinion is furnished to you in connection with the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Soleno Therapeutics, Inc. (f/k/a Capnia, Inc.)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on even date herewith in connection with the registration under the Securities Act of 1933, as amended, of an aggregate of 32,730,600 shares of the Company’s common stock, par value $0.001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all of which are reserved for issuance pursuant to the Agreement and Plan of Merger and Reorganization, dated as of December 22, 2016, by and among the Company, Essentialis, Inc., a Delaware corporation, Company E Merger Sub, Inc., a Delaware corporation and a wholly-owned subsidiary of the Company, and Neil Cowen as the stockholders’ representative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and Common Stock Purchase Agreements dated March 7, 2017 (the “</w:t>
      </w:r>
      <w:r>
        <w:rPr>
          <w:rFonts w:ascii="Arial" w:cs="Arial" w:eastAsia="Arial" w:hAnsi="Arial"/>
          <w:sz w:val="17"/>
          <w:szCs w:val="17"/>
          <w:u w:val="single" w:color="auto"/>
          <w:color w:val="auto"/>
        </w:rPr>
        <w:t>Purchase Agreements</w:t>
      </w:r>
      <w:r>
        <w:rPr>
          <w:rFonts w:ascii="Arial" w:cs="Arial" w:eastAsia="Arial" w:hAnsi="Arial"/>
          <w:sz w:val="17"/>
          <w:szCs w:val="17"/>
          <w:color w:val="auto"/>
        </w:rPr>
        <w:t>”), between the Company and the purchasers party thereto.</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acting as counsel for the Company in connection with the registration of Common Stock by the Company. In such capacity, we have examined the Merger Agreement and the Purchase Agreements. We have also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Based on the foregoing and in reliance thereon and subject to the assumptions, qualifications and limitations set forth herein, we are of the opinion that: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 the 32,730,600 shares of Common Stock are validly issued, fully paid and non-assessable.</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are members of the Bar of the State of California and this opinion is limited solely to the federal laws of the United States of America and the General Corporation Law of the State of Delaware (including the statutory provisions and all applicable judicial decisions interpreting those laws).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00"/>
          </w:cols>
          <w:pgMar w:left="240" w:top="287" w:right="25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We consent to the inclusion in this Registration Statement of Soleno Therapeutics, Inc. (formerly known as Capnia, Inc.) on Amendment No. 3 to Form S-1 [333-217420] of our report dated March 15, 2017, with respect to our audits of the consolidated financial statements of Soleno Therapeutics, Inc. (formerly known as Capnia, Inc.) as of December 31, 2016 and 2015 and for the years then ended, which report appears in the Prospectus, which is part of this Registration Statement. We also consent to the reference to our Firm under the heading “Experts” in such Prospectus.</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August 7, 2017</w:t>
      </w:r>
    </w:p>
    <w:p>
      <w:pPr>
        <w:sectPr>
          <w:pgSz w:w="11900" w:h="16838" w:orient="portrait"/>
          <w:cols w:equalWidth="0" w:num="1">
            <w:col w:w="11420"/>
          </w:cols>
          <w:pgMar w:left="240" w:top="888" w:right="239" w:bottom="1440" w:gutter="0" w:footer="0" w:header="0"/>
        </w:sectPr>
      </w:pPr>
    </w:p>
    <w:bookmarkStart w:id="217" w:name="page218"/>
    <w:bookmarkEnd w:id="217"/>
    <w:p>
      <w:pPr>
        <w:jc w:val="center"/>
        <w:ind w:right="-179"/>
        <w:spacing w:after="0"/>
        <w:rPr>
          <w:sz w:val="20"/>
          <w:szCs w:val="20"/>
          <w:color w:val="auto"/>
        </w:rPr>
      </w:pPr>
      <w:r>
        <w:rPr>
          <w:rFonts w:ascii="Arial" w:cs="Arial" w:eastAsia="Arial" w:hAnsi="Arial"/>
          <w:sz w:val="18"/>
          <w:szCs w:val="18"/>
          <w:b w:val="1"/>
          <w:bCs w:val="1"/>
          <w:u w:val="single" w:color="auto"/>
          <w:color w:val="auto"/>
        </w:rPr>
        <w:t>CONSENT OF INDEPENDENT AUDITOR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inclusion in this Registration Statement on Form S-1/A of Soleno Therapeutics, Inc. (f/k/a Capnia, Inc.) of our report dated March 27, 2017, with respect to our audits of the financial statements of Essentialis, Inc. as of December 31, 2016 and 2015 and for the years then ended,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PKF,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PKF,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(formerly PKF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Professional Corporation)</w:t>
      </w:r>
    </w:p>
    <w:sectPr>
      <w:pgSz w:w="11900" w:h="16838" w:orient="portrait"/>
      <w:cols w:equalWidth="0" w:num="1">
        <w:col w:w="11240"/>
      </w:cols>
      <w:pgMar w:left="240" w:top="58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lowerRoman"/>
      <w:start w:val="4"/>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1."/>
      <w:numFmt w:val="upperLetter"/>
      <w:start w:val="6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1)"/>
      <w:numFmt w:val="decimal"/>
      <w:start w:val="1"/>
    </w:lvl>
  </w:abstractNum>
  <w:abstractNum w:abstractNumId="77">
    <w:nsid w:val="43F18422"/>
    <w:multiLevelType w:val="hybridMultilevel"/>
    <w:lvl w:ilvl="0">
      <w:lvlJc w:val="left"/>
      <w:lvlText w:val="(%1)"/>
      <w:numFmt w:val="decimal"/>
      <w:start w:val="2"/>
    </w:lvl>
  </w:abstractNum>
  <w:abstractNum w:abstractNumId="78">
    <w:nsid w:val="60EF0119"/>
    <w:multiLevelType w:val="hybridMultilevel"/>
    <w:lvl w:ilvl="0">
      <w:lvlJc w:val="left"/>
      <w:lvlText w:val="(%1)"/>
      <w:numFmt w:val="decimal"/>
      <w:start w:val="13"/>
    </w:lvl>
  </w:abstractNum>
  <w:abstractNum w:abstractNumId="79">
    <w:nsid w:val="26F324BA"/>
    <w:multiLevelType w:val="hybridMultilevel"/>
    <w:lvl w:ilvl="0">
      <w:lvlJc w:val="left"/>
      <w:lvlText w:val="(%1)"/>
      <w:numFmt w:val="lowerRoman"/>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1)"/>
      <w:numFmt w:val="decimal"/>
    </w:lvl>
    <w:lvl w:ilvl="1">
      <w:lvlJc w:val="left"/>
      <w:lvlText w:val="*"/>
      <w:numFmt w:val="bullet"/>
      <w:start w:val="1"/>
    </w:lvl>
  </w:abstractNum>
  <w:abstractNum w:abstractNumId="86">
    <w:nsid w:val="5FB8011C"/>
    <w:multiLevelType w:val="hybridMultilevel"/>
    <w:lvl w:ilvl="0">
      <w:lvlJc w:val="left"/>
      <w:lvlText w:val="(%1)"/>
      <w:numFmt w:val="decimal"/>
      <w:start w:val="3"/>
    </w:lvl>
    <w:lvl w:ilvl="1">
      <w:lvlJc w:val="left"/>
      <w:lvlText w:val="%2"/>
      <w:numFmt w:val="upperLetter"/>
      <w:start w:val="1"/>
    </w:lvl>
  </w:abstractNum>
  <w:abstractNum w:abstractNumId="87">
    <w:nsid w:val="6AA78F7F"/>
    <w:multiLevelType w:val="hybridMultilevel"/>
    <w:lvl w:ilvl="0">
      <w:lvlJc w:val="left"/>
      <w:lvlText w:val="(%1)"/>
      <w:numFmt w:val="decimal"/>
      <w:start w:val="10"/>
    </w:lvl>
  </w:abstractNum>
  <w:abstractNum w:abstractNumId="88">
    <w:nsid w:val="7672BD23"/>
    <w:multiLevelType w:val="hybridMultilevel"/>
    <w:lvl w:ilvl="0">
      <w:lvlJc w:val="left"/>
      <w:lvlText w:val="(%1)"/>
      <w:numFmt w:val="decimal"/>
      <w:start w:val="24"/>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1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2"/>
    </w:lvl>
  </w:abstractNum>
  <w:abstractNum w:abstractNumId="102">
    <w:nsid w:val="1FBFE8E0"/>
    <w:multiLevelType w:val="hybridMultilevel"/>
    <w:lvl w:ilvl="0">
      <w:lvlJc w:val="left"/>
      <w:lvlText w:val="%1."/>
      <w:numFmt w:val="decimal"/>
      <w:start w:val="3"/>
    </w:lvl>
  </w:abstractNum>
  <w:abstractNum w:abstractNumId="103">
    <w:nsid w:val="5092CA79"/>
    <w:multiLevelType w:val="hybridMultilevel"/>
    <w:lvl w:ilvl="0">
      <w:lvlJc w:val="left"/>
      <w:lvlText w:val="(%1)"/>
      <w:numFmt w:val="lowerLetter"/>
      <w:start w:val="1"/>
    </w:lvl>
  </w:abstractNum>
  <w:abstractNum w:abstractNumId="104">
    <w:nsid w:val="1D545C4D"/>
    <w:multiLevelType w:val="hybridMultilevel"/>
    <w:lvl w:ilvl="0">
      <w:lvlJc w:val="left"/>
      <w:lvlText w:val="(%1)"/>
      <w:numFmt w:val="lowerLetter"/>
      <w:start w:val="4"/>
    </w:lvl>
  </w:abstractNum>
  <w:abstractNum w:abstractNumId="105">
    <w:nsid w:val="59ADEA3D"/>
    <w:multiLevelType w:val="hybridMultilevel"/>
    <w:lvl w:ilvl="0">
      <w:lvlJc w:val="left"/>
      <w:lvlText w:val="%1."/>
      <w:numFmt w:val="decimal"/>
      <w:start w:val="1"/>
    </w:lvl>
    <w:lvl w:ilvl="1">
      <w:lvlJc w:val="left"/>
      <w:lvlText w:val="(%2)"/>
      <w:numFmt w:val="lowerRoman"/>
      <w:start w:val="1"/>
    </w:lvl>
  </w:abstractNum>
  <w:abstractNum w:abstractNumId="106">
    <w:nsid w:val="288F1A34"/>
    <w:multiLevelType w:val="hybridMultilevel"/>
    <w:lvl w:ilvl="0">
      <w:lvlJc w:val="left"/>
      <w:lvlText w:val="(%1)"/>
      <w:numFmt w:val="lowerRoman"/>
      <w:start w:val="3"/>
    </w:lvl>
  </w:abstractNum>
  <w:abstractNum w:abstractNumId="107">
    <w:nsid w:val="2A155DBC"/>
    <w:multiLevelType w:val="hybridMultilevel"/>
    <w:lvl w:ilvl="0">
      <w:lvlJc w:val="left"/>
      <w:lvlText w:val="%1."/>
      <w:numFmt w:val="decimal"/>
      <w:start w:val="2"/>
    </w:lvl>
  </w:abstractNum>
  <w:abstractNum w:abstractNumId="108">
    <w:nsid w:val="1D9F6E5F"/>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2019-12-07T12:11:28Z</dcterms:created>
  <dcterms:modified xsi:type="dcterms:W3CDTF">2019-12-07T12:11:28Z</dcterms:modified>
</cp:coreProperties>
</file>