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page">
                  <wp:posOffset>895985</wp:posOffset>
                </wp:positionH>
                <wp:positionV relativeFrom="page">
                  <wp:posOffset>948055</wp:posOffset>
                </wp:positionV>
                <wp:extent cx="598043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04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55pt,74.65pt" to="541.45pt,74.65pt" o:allowincell="f" strokecolor="#00000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895985</wp:posOffset>
                </wp:positionH>
                <wp:positionV relativeFrom="page">
                  <wp:posOffset>967105</wp:posOffset>
                </wp:positionV>
                <wp:extent cx="598043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04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55pt,76.15pt" to="541.45pt,76.15pt" o:allowincell="f" strokecolor="#000000" strokeweight="0.75pt">
                <w10:wrap anchorx="page" anchory="page"/>
              </v:line>
            </w:pict>
          </mc:Fallback>
        </mc:AlternateContent>
      </w: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2393950</wp:posOffset>
                </wp:positionH>
                <wp:positionV relativeFrom="paragraph">
                  <wp:posOffset>40640</wp:posOffset>
                </wp:positionV>
                <wp:extent cx="115506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50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8.5pt,3.2pt" to="279.45pt,3.2pt" o:allowincell="f" strokecolor="#000000" strokeweight="1pt"/>
            </w:pict>
          </mc:Fallback>
        </mc:AlternateConten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2393950</wp:posOffset>
                </wp:positionH>
                <wp:positionV relativeFrom="paragraph">
                  <wp:posOffset>62230</wp:posOffset>
                </wp:positionV>
                <wp:extent cx="115506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50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8.5pt,4.9pt" to="279.45pt,4.9pt" o:allowincell="f" strokecolor="#000000" strokeweight="1pt"/>
            </w:pict>
          </mc:Fallback>
        </mc:AlternateContent>
      </w:r>
    </w:p>
    <w:p>
      <w:pPr>
        <w:spacing w:after="0" w:line="1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2" w:lineRule="exact"/>
        <w:rPr>
          <w:sz w:val="24"/>
          <w:szCs w:val="24"/>
          <w:color w:val="auto"/>
        </w:rPr>
      </w:pPr>
    </w:p>
    <w:p>
      <w:pPr>
        <w:ind w:left="3140" w:right="1040" w:hanging="3140"/>
        <w:spacing w:after="0" w:line="251" w:lineRule="auto"/>
        <w:tabs>
          <w:tab w:leader="none" w:pos="487" w:val="left"/>
        </w:tabs>
        <w:numPr>
          <w:ilvl w:val="0"/>
          <w:numId w:val="1"/>
        </w:numPr>
        <w:rPr>
          <w:rFonts w:ascii="Segoe UI Symbol" w:cs="Segoe UI Symbol" w:eastAsia="Segoe UI Symbol" w:hAnsi="Segoe UI Symbol"/>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2022</w:t>
      </w:r>
    </w:p>
    <w:p>
      <w:pPr>
        <w:spacing w:after="0" w:line="17" w:lineRule="exact"/>
        <w:rPr>
          <w:sz w:val="24"/>
          <w:szCs w:val="24"/>
          <w:color w:val="auto"/>
        </w:rPr>
      </w:pPr>
    </w:p>
    <w:p>
      <w:pPr>
        <w:ind w:left="500" w:hanging="500"/>
        <w:spacing w:after="0"/>
        <w:tabs>
          <w:tab w:leader="none" w:pos="500" w:val="left"/>
        </w:tabs>
        <w:numPr>
          <w:ilvl w:val="0"/>
          <w:numId w:val="2"/>
        </w:numPr>
        <w:rPr>
          <w:rFonts w:ascii="Segoe UI Symbol" w:cs="Segoe UI Symbol" w:eastAsia="Segoe UI Symbol" w:hAnsi="Segoe UI Symbol"/>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 w:lineRule="exact"/>
        <w:rPr>
          <w:sz w:val="24"/>
          <w:szCs w:val="24"/>
          <w:color w:val="auto"/>
        </w:rPr>
      </w:pPr>
    </w:p>
    <w:tbl>
      <w:tblPr>
        <w:tblLayout w:type="fixed"/>
        <w:tblInd w:w="2840" w:type="dxa"/>
        <w:tblCellMar>
          <w:top w:w="0" w:type="dxa"/>
          <w:left w:w="0" w:type="dxa"/>
          <w:bottom w:w="0" w:type="dxa"/>
          <w:right w:w="0" w:type="dxa"/>
        </w:tblCellMar>
      </w:tblPr>
      <w:tr>
        <w:trPr>
          <w:trHeight w:val="184"/>
        </w:trPr>
        <w:tc>
          <w:tcPr>
            <w:tcW w:w="2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64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640" w:type="dxa"/>
            <w:vAlign w:val="bottom"/>
            <w:tcBorders>
              <w:bottom w:val="single" w:sz="8" w:color="auto"/>
            </w:tcBorders>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8"/>
        </w:trPr>
        <w:tc>
          <w:tcPr>
            <w:tcW w:w="2960" w:type="dxa"/>
            <w:vAlign w:val="bottom"/>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w w:val="99"/>
              </w:rPr>
              <w:t>Commission File No.: 001-36593</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2393950</wp:posOffset>
                </wp:positionH>
                <wp:positionV relativeFrom="paragraph">
                  <wp:posOffset>33655</wp:posOffset>
                </wp:positionV>
                <wp:extent cx="115506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50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8.5pt,2.65pt" to="279.45pt,2.65pt" o:allowincell="f" strokecolor="#000000" strokeweight="1pt"/>
            </w:pict>
          </mc:Fallback>
        </mc:AlternateConten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Soleno Therapeutics,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2393950</wp:posOffset>
                </wp:positionH>
                <wp:positionV relativeFrom="paragraph">
                  <wp:posOffset>40640</wp:posOffset>
                </wp:positionV>
                <wp:extent cx="115506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50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8.5pt,3.2pt" to="279.45pt,3.2pt" o:allowincell="f" strokecolor="#000000" strokeweight="1pt"/>
            </w:pict>
          </mc:Fallback>
        </mc:AlternateContent>
      </w:r>
    </w:p>
    <w:p>
      <w:pPr>
        <w:spacing w:after="0" w:line="64"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3940" w:type="dxa"/>
            <w:vAlign w:val="bottom"/>
          </w:tcPr>
          <w:p>
            <w:pPr>
              <w:jc w:val="center"/>
              <w:ind w:right="145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60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77-0523891</w:t>
            </w:r>
          </w:p>
        </w:tc>
      </w:tr>
      <w:tr>
        <w:trPr>
          <w:trHeight w:val="152"/>
        </w:trPr>
        <w:tc>
          <w:tcPr>
            <w:tcW w:w="3940" w:type="dxa"/>
            <w:vAlign w:val="bottom"/>
          </w:tcPr>
          <w:p>
            <w:pPr>
              <w:jc w:val="center"/>
              <w:ind w:right="1450"/>
              <w:spacing w:after="0" w:line="152"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600" w:type="dxa"/>
            <w:vAlign w:val="bottom"/>
          </w:tcPr>
          <w:p>
            <w:pPr>
              <w:jc w:val="center"/>
              <w:ind w:left="1430"/>
              <w:spacing w:after="0" w:line="152"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1"/>
        </w:trPr>
        <w:tc>
          <w:tcPr>
            <w:tcW w:w="3940" w:type="dxa"/>
            <w:vAlign w:val="bottom"/>
          </w:tcPr>
          <w:p>
            <w:pPr>
              <w:jc w:val="center"/>
              <w:ind w:right="1430"/>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2600" w:type="dxa"/>
            <w:vAlign w:val="bottom"/>
          </w:tcPr>
          <w:p>
            <w:pPr>
              <w:jc w:val="center"/>
              <w:ind w:left="143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4"/>
        </w:trPr>
        <w:tc>
          <w:tcPr>
            <w:tcW w:w="3940" w:type="dxa"/>
            <w:vAlign w:val="bottom"/>
          </w:tcPr>
          <w:p>
            <w:pPr>
              <w:jc w:val="center"/>
              <w:ind w:right="1430"/>
              <w:spacing w:after="0"/>
              <w:rPr>
                <w:sz w:val="20"/>
                <w:szCs w:val="20"/>
                <w:color w:val="auto"/>
              </w:rPr>
            </w:pPr>
            <w:r>
              <w:rPr>
                <w:rFonts w:ascii="Times New Roman" w:cs="Times New Roman" w:eastAsia="Times New Roman" w:hAnsi="Times New Roman"/>
                <w:sz w:val="14"/>
                <w:szCs w:val="14"/>
                <w:b w:val="1"/>
                <w:bCs w:val="1"/>
                <w:color w:val="auto"/>
              </w:rPr>
              <w:t>203 Redwood Shores Parkway, Suite 500</w:t>
            </w:r>
          </w:p>
        </w:tc>
        <w:tc>
          <w:tcPr>
            <w:tcW w:w="2600" w:type="dxa"/>
            <w:vAlign w:val="bottom"/>
          </w:tcPr>
          <w:p>
            <w:pPr>
              <w:spacing w:after="0"/>
              <w:rPr>
                <w:sz w:val="24"/>
                <w:szCs w:val="24"/>
                <w:color w:val="auto"/>
              </w:rPr>
            </w:pPr>
          </w:p>
        </w:tc>
      </w:tr>
      <w:tr>
        <w:trPr>
          <w:trHeight w:val="171"/>
        </w:trPr>
        <w:tc>
          <w:tcPr>
            <w:tcW w:w="3940" w:type="dxa"/>
            <w:vAlign w:val="bottom"/>
          </w:tcPr>
          <w:p>
            <w:pPr>
              <w:jc w:val="center"/>
              <w:ind w:right="1450"/>
              <w:spacing w:after="0"/>
              <w:rPr>
                <w:sz w:val="20"/>
                <w:szCs w:val="20"/>
                <w:color w:val="auto"/>
              </w:rPr>
            </w:pPr>
            <w:r>
              <w:rPr>
                <w:rFonts w:ascii="Times New Roman" w:cs="Times New Roman" w:eastAsia="Times New Roman" w:hAnsi="Times New Roman"/>
                <w:sz w:val="14"/>
                <w:szCs w:val="14"/>
                <w:b w:val="1"/>
                <w:bCs w:val="1"/>
                <w:color w:val="auto"/>
              </w:rPr>
              <w:t>Redwood City, California</w:t>
            </w:r>
          </w:p>
        </w:tc>
        <w:tc>
          <w:tcPr>
            <w:tcW w:w="260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94065</w:t>
            </w:r>
          </w:p>
        </w:tc>
      </w:tr>
      <w:tr>
        <w:trPr>
          <w:trHeight w:val="191"/>
        </w:trPr>
        <w:tc>
          <w:tcPr>
            <w:tcW w:w="3940" w:type="dxa"/>
            <w:vAlign w:val="bottom"/>
          </w:tcPr>
          <w:p>
            <w:pPr>
              <w:jc w:val="center"/>
              <w:ind w:right="143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00" w:type="dxa"/>
            <w:vAlign w:val="bottom"/>
          </w:tcPr>
          <w:p>
            <w:pPr>
              <w:jc w:val="center"/>
              <w:ind w:left="1430"/>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12"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(650) 213-8444</w:t>
      </w:r>
    </w:p>
    <w:p>
      <w:pPr>
        <w:spacing w:after="0" w:line="15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65" w:lineRule="exact"/>
        <w:rPr>
          <w:sz w:val="24"/>
          <w:szCs w:val="24"/>
          <w:color w:val="auto"/>
        </w:rPr>
      </w:pPr>
    </w:p>
    <w:tbl>
      <w:tblPr>
        <w:tblLayout w:type="fixed"/>
        <w:tblInd w:w="10" w:type="dxa"/>
        <w:tblCellMar>
          <w:top w:w="0" w:type="dxa"/>
          <w:left w:w="0" w:type="dxa"/>
          <w:bottom w:w="0" w:type="dxa"/>
          <w:right w:w="0" w:type="dxa"/>
        </w:tblCellMar>
      </w:tblPr>
      <w:tr>
        <w:trPr>
          <w:trHeight w:val="171"/>
        </w:trPr>
        <w:tc>
          <w:tcPr>
            <w:tcW w:w="4140" w:type="dxa"/>
            <w:vAlign w:val="bottom"/>
            <w:tcBorders>
              <w:top w:val="single" w:sz="8" w:color="auto"/>
              <w:left w:val="single" w:sz="8" w:color="auto"/>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1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140" w:type="dxa"/>
            <w:vAlign w:val="bottom"/>
            <w:tcBorders>
              <w:top w:val="single" w:sz="8" w:color="auto"/>
              <w:bottom w:val="single" w:sz="8" w:color="auto"/>
            </w:tcBorders>
          </w:tcPr>
          <w:p>
            <w:pPr>
              <w:spacing w:after="0"/>
              <w:rPr>
                <w:sz w:val="14"/>
                <w:szCs w:val="14"/>
                <w:color w:val="auto"/>
              </w:rPr>
            </w:pPr>
          </w:p>
        </w:tc>
        <w:tc>
          <w:tcPr>
            <w:tcW w:w="3800" w:type="dxa"/>
            <w:vAlign w:val="bottom"/>
            <w:tcBorders>
              <w:top w:val="single" w:sz="8" w:color="auto"/>
              <w:bottom w:val="single" w:sz="8" w:color="auto"/>
              <w:right w:val="single" w:sz="8" w:color="auto"/>
            </w:tcBorders>
            <w:gridSpan w:val="3"/>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c>
          <w:tcPr>
            <w:tcW w:w="0" w:type="dxa"/>
            <w:vAlign w:val="bottom"/>
          </w:tcPr>
          <w:p>
            <w:pPr>
              <w:spacing w:after="0"/>
              <w:rPr>
                <w:sz w:val="1"/>
                <w:szCs w:val="1"/>
                <w:color w:val="auto"/>
              </w:rPr>
            </w:pPr>
          </w:p>
        </w:tc>
      </w:tr>
      <w:tr>
        <w:trPr>
          <w:trHeight w:val="151"/>
        </w:trPr>
        <w:tc>
          <w:tcPr>
            <w:tcW w:w="4140" w:type="dxa"/>
            <w:vAlign w:val="bottom"/>
            <w:tcBorders>
              <w:left w:val="single" w:sz="8" w:color="auto"/>
              <w:bottom w:val="single" w:sz="8" w:color="auto"/>
              <w:right w:val="single" w:sz="8" w:color="auto"/>
            </w:tcBorders>
            <w:gridSpan w:val="2"/>
          </w:tcPr>
          <w:p>
            <w:pPr>
              <w:jc w:val="center"/>
              <w:ind w:right="20"/>
              <w:spacing w:after="0" w:line="151" w:lineRule="exact"/>
              <w:rPr>
                <w:sz w:val="20"/>
                <w:szCs w:val="20"/>
                <w:color w:val="auto"/>
              </w:rPr>
            </w:pPr>
            <w:r>
              <w:rPr>
                <w:rFonts w:ascii="Times New Roman" w:cs="Times New Roman" w:eastAsia="Times New Roman" w:hAnsi="Times New Roman"/>
                <w:sz w:val="14"/>
                <w:szCs w:val="14"/>
                <w:color w:val="auto"/>
                <w:w w:val="99"/>
              </w:rPr>
              <w:t>Common Stock, $0.001 par value</w:t>
            </w:r>
          </w:p>
        </w:tc>
        <w:tc>
          <w:tcPr>
            <w:tcW w:w="1300" w:type="dxa"/>
            <w:vAlign w:val="bottom"/>
            <w:tcBorders>
              <w:bottom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color w:val="auto"/>
                <w:w w:val="98"/>
              </w:rPr>
              <w:t>SLNO</w:t>
            </w:r>
          </w:p>
        </w:tc>
        <w:tc>
          <w:tcPr>
            <w:tcW w:w="1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2"/>
          </w:tcPr>
          <w:p>
            <w:pPr>
              <w:jc w:val="center"/>
              <w:ind w:left="1390"/>
              <w:spacing w:after="0" w:line="151" w:lineRule="exact"/>
              <w:rPr>
                <w:sz w:val="20"/>
                <w:szCs w:val="20"/>
                <w:color w:val="auto"/>
              </w:rPr>
            </w:pPr>
            <w:r>
              <w:rPr>
                <w:rFonts w:ascii="Times New Roman" w:cs="Times New Roman" w:eastAsia="Times New Roman" w:hAnsi="Times New Roman"/>
                <w:sz w:val="14"/>
                <w:szCs w:val="14"/>
                <w:color w:val="auto"/>
                <w:w w:val="99"/>
              </w:rPr>
              <w:t>NASDAQ</w:t>
            </w:r>
          </w:p>
        </w:tc>
        <w:tc>
          <w:tcPr>
            <w:tcW w:w="16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54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800" w:type="dxa"/>
            <w:vAlign w:val="bottom"/>
            <w:tcBorders>
              <w:bottom w:val="single" w:sz="8" w:color="auto"/>
            </w:tcBorders>
            <w:gridSpan w:val="3"/>
          </w:tcPr>
          <w:p>
            <w:pPr>
              <w:spacing w:after="0"/>
              <w:rPr>
                <w:sz w:val="13"/>
                <w:szCs w:val="13"/>
                <w:color w:val="auto"/>
              </w:rPr>
            </w:pPr>
          </w:p>
        </w:tc>
        <w:tc>
          <w:tcPr>
            <w:tcW w:w="1620" w:type="dxa"/>
            <w:vAlign w:val="bottom"/>
          </w:tcPr>
          <w:p>
            <w:pPr>
              <w:spacing w:after="0"/>
              <w:rPr>
                <w:sz w:val="13"/>
                <w:szCs w:val="13"/>
                <w:color w:val="auto"/>
              </w:rPr>
            </w:pPr>
          </w:p>
        </w:tc>
        <w:tc>
          <w:tcPr>
            <w:tcW w:w="540" w:type="dxa"/>
            <w:vAlign w:val="bottom"/>
            <w:vMerge w:val="restart"/>
          </w:tcPr>
          <w:p>
            <w:pPr>
              <w:jc w:val="center"/>
              <w:ind w:right="50"/>
              <w:spacing w:after="0"/>
              <w:rPr>
                <w:sz w:val="20"/>
                <w:szCs w:val="20"/>
                <w:color w:val="auto"/>
              </w:rPr>
            </w:pPr>
            <w:r>
              <w:rPr>
                <w:rFonts w:ascii="Times New Roman" w:cs="Times New Roman" w:eastAsia="Times New Roman" w:hAnsi="Times New Roman"/>
                <w:sz w:val="14"/>
                <w:szCs w:val="14"/>
                <w:color w:val="auto"/>
              </w:rPr>
              <w:t xml:space="preserve">Yes </w:t>
            </w:r>
            <w:r>
              <w:rPr>
                <w:rFonts w:ascii="Segoe UI Symbol" w:cs="Segoe UI Symbol" w:eastAsia="Segoe UI Symbol" w:hAnsi="Segoe UI Symbol"/>
                <w:sz w:val="14"/>
                <w:szCs w:val="14"/>
                <w:color w:val="auto"/>
              </w:rPr>
              <w:t>☐</w:t>
            </w: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No </w:t>
            </w:r>
            <w:r>
              <w:rPr>
                <w:rFonts w:ascii="Segoe UI Symbol" w:cs="Segoe UI Symbol" w:eastAsia="Segoe UI Symbol" w:hAnsi="Segoe UI Symbol"/>
                <w:sz w:val="14"/>
                <w:szCs w:val="14"/>
                <w:color w:val="auto"/>
              </w:rPr>
              <w:t>☒</w:t>
            </w:r>
          </w:p>
        </w:tc>
        <w:tc>
          <w:tcPr>
            <w:tcW w:w="0" w:type="dxa"/>
            <w:vAlign w:val="bottom"/>
          </w:tcPr>
          <w:p>
            <w:pPr>
              <w:spacing w:after="0"/>
              <w:rPr>
                <w:sz w:val="1"/>
                <w:szCs w:val="1"/>
                <w:color w:val="auto"/>
              </w:rPr>
            </w:pPr>
          </w:p>
        </w:tc>
      </w:tr>
      <w:tr>
        <w:trPr>
          <w:trHeight w:val="231"/>
        </w:trPr>
        <w:tc>
          <w:tcPr>
            <w:tcW w:w="720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40" w:type="dxa"/>
            <w:vAlign w:val="bottom"/>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20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w w:val="99"/>
              </w:rPr>
              <w:t>Indicate by check mark if the registrant is not required to file reports pursuant to Section 13 or Section 15(d) of the Act.</w:t>
            </w: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Yes </w:t>
            </w:r>
            <w:r>
              <w:rPr>
                <w:rFonts w:ascii="Segoe UI Symbol" w:cs="Segoe UI Symbol" w:eastAsia="Segoe UI Symbol" w:hAnsi="Segoe UI Symbol"/>
                <w:sz w:val="14"/>
                <w:szCs w:val="14"/>
                <w:color w:val="auto"/>
              </w:rPr>
              <w:t>☐</w:t>
            </w:r>
          </w:p>
        </w:tc>
        <w:tc>
          <w:tcPr>
            <w:tcW w:w="1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No </w:t>
            </w:r>
            <w:r>
              <w:rPr>
                <w:rFonts w:ascii="Segoe UI Symbol" w:cs="Segoe UI Symbol" w:eastAsia="Segoe UI Symbol" w:hAnsi="Segoe UI Symbol"/>
                <w:sz w:val="14"/>
                <w:szCs w:val="14"/>
                <w:color w:val="auto"/>
              </w:rPr>
              <w:t>☒</w:t>
            </w:r>
          </w:p>
        </w:tc>
        <w:tc>
          <w:tcPr>
            <w:tcW w:w="0" w:type="dxa"/>
            <w:vAlign w:val="bottom"/>
          </w:tcPr>
          <w:p>
            <w:pPr>
              <w:spacing w:after="0"/>
              <w:rPr>
                <w:sz w:val="1"/>
                <w:szCs w:val="1"/>
                <w:color w:val="auto"/>
              </w:rPr>
            </w:pPr>
          </w:p>
        </w:tc>
      </w:tr>
    </w:tbl>
    <w:p>
      <w:pPr>
        <w:jc w:val="both"/>
        <w:ind w:right="20" w:firstLine="490"/>
        <w:spacing w:after="0" w:line="246"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spacing w:after="0"/>
        <w:tabs>
          <w:tab w:leader="none" w:pos="1060" w:val="left"/>
          <w:tab w:leader="none" w:pos="1600" w:val="left"/>
        </w:tabs>
        <w:rPr>
          <w:sz w:val="20"/>
          <w:szCs w:val="20"/>
          <w:color w:val="auto"/>
        </w:rPr>
      </w:pPr>
      <w:r>
        <w:rPr>
          <w:rFonts w:ascii="Times New Roman" w:cs="Times New Roman" w:eastAsia="Times New Roman" w:hAnsi="Times New Roman"/>
          <w:sz w:val="14"/>
          <w:szCs w:val="14"/>
          <w:color w:val="auto"/>
        </w:rPr>
        <w:t>the past 90 days.</w:t>
        <w:tab/>
        <w:t xml:space="preserve">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ab/>
        <w:t xml:space="preserve">No </w:t>
      </w:r>
      <w:r>
        <w:rPr>
          <w:rFonts w:ascii="Segoe UI Symbol" w:cs="Segoe UI Symbol" w:eastAsia="Segoe UI Symbol" w:hAnsi="Segoe UI Symbol"/>
          <w:sz w:val="14"/>
          <w:szCs w:val="14"/>
          <w:color w:val="auto"/>
        </w:rPr>
        <w:t>☐</w:t>
      </w:r>
    </w:p>
    <w:p>
      <w:pPr>
        <w:spacing w:after="0" w:line="20"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w:t>
      </w:r>
    </w:p>
    <w:p>
      <w:pPr>
        <w:ind w:right="120"/>
        <w:spacing w:after="0" w:line="249" w:lineRule="auto"/>
        <w:rPr>
          <w:sz w:val="20"/>
          <w:szCs w:val="20"/>
          <w:color w:val="auto"/>
        </w:rPr>
      </w:pPr>
      <w:r>
        <w:rPr>
          <w:rFonts w:ascii="Times New Roman" w:cs="Times New Roman" w:eastAsia="Times New Roman" w:hAnsi="Times New Roman"/>
          <w:sz w:val="14"/>
          <w:szCs w:val="14"/>
          <w:color w:val="auto"/>
        </w:rPr>
        <w:t xml:space="preserve">Regulation S-T (§ 232.405 of this chapter) during the preceding 12 months (or for such shorter period that the registrant was required to submit such files).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p>
    <w:p>
      <w:pPr>
        <w:ind w:right="80" w:firstLine="49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940" w:type="dxa"/>
            <w:vAlign w:val="bottom"/>
          </w:tcPr>
          <w:p>
            <w:pPr>
              <w:ind w:left="420"/>
              <w:spacing w:after="0"/>
              <w:rPr>
                <w:sz w:val="20"/>
                <w:szCs w:val="20"/>
                <w:color w:val="auto"/>
              </w:rPr>
            </w:pPr>
            <w:r>
              <w:rPr>
                <w:rFonts w:ascii="Segoe UI Symbol" w:cs="Segoe UI Symbol" w:eastAsia="Segoe UI Symbol" w:hAnsi="Segoe UI Symbol"/>
                <w:sz w:val="14"/>
                <w:szCs w:val="14"/>
                <w:color w:val="auto"/>
              </w:rPr>
              <w:t>☐</w:t>
            </w:r>
          </w:p>
        </w:tc>
        <w:tc>
          <w:tcPr>
            <w:tcW w:w="422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Accelerated filer</w:t>
            </w:r>
          </w:p>
        </w:tc>
        <w:tc>
          <w:tcPr>
            <w:tcW w:w="400" w:type="dxa"/>
            <w:vAlign w:val="bottom"/>
          </w:tcPr>
          <w:p>
            <w:pPr>
              <w:ind w:left="280"/>
              <w:spacing w:after="0"/>
              <w:rPr>
                <w:sz w:val="20"/>
                <w:szCs w:val="20"/>
                <w:color w:val="auto"/>
              </w:rPr>
            </w:pPr>
            <w:r>
              <w:rPr>
                <w:rFonts w:ascii="Segoe UI Symbol" w:cs="Segoe UI Symbol" w:eastAsia="Segoe UI Symbol" w:hAnsi="Segoe UI Symbol"/>
                <w:sz w:val="14"/>
                <w:szCs w:val="14"/>
                <w:color w:val="auto"/>
                <w:w w:val="82"/>
              </w:rPr>
              <w:t>☐</w:t>
            </w:r>
          </w:p>
        </w:tc>
      </w:tr>
      <w:tr>
        <w:trPr>
          <w:trHeight w:val="190"/>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940" w:type="dxa"/>
            <w:vAlign w:val="bottom"/>
          </w:tcPr>
          <w:p>
            <w:pPr>
              <w:ind w:left="420"/>
              <w:spacing w:after="0"/>
              <w:rPr>
                <w:sz w:val="20"/>
                <w:szCs w:val="20"/>
                <w:color w:val="auto"/>
              </w:rPr>
            </w:pPr>
            <w:r>
              <w:rPr>
                <w:rFonts w:ascii="Segoe UI Symbol" w:cs="Segoe UI Symbol" w:eastAsia="Segoe UI Symbol" w:hAnsi="Segoe UI Symbol"/>
                <w:sz w:val="14"/>
                <w:szCs w:val="14"/>
                <w:color w:val="auto"/>
              </w:rPr>
              <w:t>☒</w:t>
            </w:r>
          </w:p>
        </w:tc>
        <w:tc>
          <w:tcPr>
            <w:tcW w:w="422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00" w:type="dxa"/>
            <w:vAlign w:val="bottom"/>
          </w:tcPr>
          <w:p>
            <w:pPr>
              <w:ind w:left="280"/>
              <w:spacing w:after="0"/>
              <w:rPr>
                <w:sz w:val="20"/>
                <w:szCs w:val="20"/>
                <w:color w:val="auto"/>
              </w:rPr>
            </w:pPr>
            <w:r>
              <w:rPr>
                <w:rFonts w:ascii="Segoe UI Symbol" w:cs="Segoe UI Symbol" w:eastAsia="Segoe UI Symbol" w:hAnsi="Segoe UI Symbol"/>
                <w:sz w:val="14"/>
                <w:szCs w:val="14"/>
                <w:color w:val="auto"/>
                <w:w w:val="82"/>
              </w:rPr>
              <w:t>☒</w:t>
            </w:r>
          </w:p>
        </w:tc>
      </w:tr>
      <w:tr>
        <w:trPr>
          <w:trHeight w:val="227"/>
        </w:trPr>
        <w:tc>
          <w:tcPr>
            <w:tcW w:w="16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22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Emerging growth company</w:t>
            </w:r>
          </w:p>
        </w:tc>
        <w:tc>
          <w:tcPr>
            <w:tcW w:w="400" w:type="dxa"/>
            <w:vAlign w:val="bottom"/>
          </w:tcPr>
          <w:p>
            <w:pPr>
              <w:ind w:left="280"/>
              <w:spacing w:after="0"/>
              <w:rPr>
                <w:sz w:val="20"/>
                <w:szCs w:val="20"/>
                <w:color w:val="auto"/>
              </w:rPr>
            </w:pPr>
            <w:r>
              <w:rPr>
                <w:rFonts w:ascii="Segoe UI Symbol" w:cs="Segoe UI Symbol" w:eastAsia="Segoe UI Symbol" w:hAnsi="Segoe UI Symbol"/>
                <w:sz w:val="14"/>
                <w:szCs w:val="14"/>
                <w:color w:val="auto"/>
                <w:w w:val="82"/>
              </w:rPr>
              <w:t>☐</w:t>
            </w:r>
          </w:p>
        </w:tc>
      </w:tr>
    </w:tbl>
    <w:p>
      <w:pPr>
        <w:spacing w:after="0" w:line="143" w:lineRule="exact"/>
        <w:rPr>
          <w:sz w:val="24"/>
          <w:szCs w:val="24"/>
          <w:color w:val="auto"/>
        </w:rPr>
      </w:pPr>
    </w:p>
    <w:p>
      <w:pPr>
        <w:ind w:right="100" w:firstLine="490"/>
        <w:spacing w:after="0" w:line="259"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4"/>
          <w:szCs w:val="14"/>
          <w:color w:val="auto"/>
        </w:rPr>
        <w:t>☐</w:t>
      </w:r>
    </w:p>
    <w:p>
      <w:pPr>
        <w:spacing w:after="0" w:line="1" w:lineRule="exact"/>
        <w:rPr>
          <w:sz w:val="24"/>
          <w:szCs w:val="24"/>
          <w:color w:val="auto"/>
        </w:rPr>
      </w:pPr>
    </w:p>
    <w:p>
      <w:pPr>
        <w:ind w:right="80" w:firstLine="490"/>
        <w:spacing w:after="0" w:line="246" w:lineRule="auto"/>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report. </w:t>
      </w:r>
      <w:r>
        <w:rPr>
          <w:rFonts w:ascii="Segoe UI Symbol" w:cs="Segoe UI Symbol" w:eastAsia="Segoe UI Symbol" w:hAnsi="Segoe UI Symbol"/>
          <w:sz w:val="14"/>
          <w:szCs w:val="14"/>
          <w:color w:val="auto"/>
        </w:rPr>
        <w:t>☐</w:t>
      </w:r>
    </w:p>
    <w:p>
      <w:pPr>
        <w:spacing w:after="0" w:line="25" w:lineRule="exact"/>
        <w:rPr>
          <w:sz w:val="24"/>
          <w:szCs w:val="24"/>
          <w:color w:val="auto"/>
        </w:rPr>
      </w:pPr>
    </w:p>
    <w:p>
      <w:pPr>
        <w:ind w:right="20" w:firstLine="490"/>
        <w:spacing w:after="0" w:line="253"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4"/>
          <w:szCs w:val="14"/>
          <w:color w:val="auto"/>
        </w:rPr>
        <w:t>☐</w:t>
      </w:r>
    </w:p>
    <w:p>
      <w:pPr>
        <w:spacing w:after="0" w:line="1" w:lineRule="exact"/>
        <w:rPr>
          <w:sz w:val="24"/>
          <w:szCs w:val="24"/>
          <w:color w:val="auto"/>
        </w:rPr>
      </w:pPr>
    </w:p>
    <w:p>
      <w:pPr>
        <w:ind w:firstLine="522"/>
        <w:spacing w:after="0" w:line="253"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4"/>
          <w:szCs w:val="14"/>
          <w:color w:val="auto"/>
        </w:rPr>
        <w:t>☐</w:t>
      </w:r>
    </w:p>
    <w:p>
      <w:pPr>
        <w:spacing w:after="0" w:line="1" w:lineRule="exact"/>
        <w:rPr>
          <w:sz w:val="24"/>
          <w:szCs w:val="24"/>
          <w:color w:val="auto"/>
        </w:rPr>
      </w:pPr>
    </w:p>
    <w:p>
      <w:pPr>
        <w:ind w:left="500"/>
        <w:spacing w:after="0"/>
        <w:tabs>
          <w:tab w:leader="none" w:pos="6380" w:val="left"/>
          <w:tab w:leader="none" w:pos="69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ab/>
        <w:t xml:space="preserve">No </w:t>
      </w:r>
      <w:r>
        <w:rPr>
          <w:rFonts w:ascii="Segoe UI Symbol" w:cs="Segoe UI Symbol" w:eastAsia="Segoe UI Symbol" w:hAnsi="Segoe UI Symbol"/>
          <w:sz w:val="14"/>
          <w:szCs w:val="14"/>
          <w:color w:val="auto"/>
        </w:rPr>
        <w:t>☒</w:t>
      </w:r>
    </w:p>
    <w:p>
      <w:pPr>
        <w:spacing w:after="0" w:line="29" w:lineRule="exact"/>
        <w:rPr>
          <w:sz w:val="24"/>
          <w:szCs w:val="24"/>
          <w:color w:val="auto"/>
        </w:rPr>
      </w:pPr>
    </w:p>
    <w:p>
      <w:pPr>
        <w:ind w:right="60" w:firstLine="490"/>
        <w:spacing w:after="0" w:line="239" w:lineRule="auto"/>
        <w:rPr>
          <w:sz w:val="20"/>
          <w:szCs w:val="20"/>
          <w:color w:val="auto"/>
        </w:rPr>
      </w:pPr>
      <w:r>
        <w:rPr>
          <w:rFonts w:ascii="Times New Roman" w:cs="Times New Roman" w:eastAsia="Times New Roman" w:hAnsi="Times New Roman"/>
          <w:sz w:val="14"/>
          <w:szCs w:val="14"/>
          <w:color w:val="auto"/>
        </w:rPr>
        <w:t>The aggregate market value of stock held by non-affiliates of the registrant on June 30, 2022, based on the closing price of $2.78 for shares of the registrant’s common stock as reported by the Nasdaq Capital Market, was approximately $7.8 million. Shares of Common Stock held by each executive officer, director and beneficial holder of 5% or more of the outstanding Common Stock have been excluded in that such persons may be deemed affiliates.</w:t>
      </w:r>
    </w:p>
    <w:p>
      <w:pPr>
        <w:spacing w:after="0" w:line="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color w:val="auto"/>
        </w:rPr>
        <w:t>As of March 9, 2023, there were 8,168,788 shares of the registrant’s Common Stock, par value $0.001 per share, outstanding.</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2393950</wp:posOffset>
                </wp:positionH>
                <wp:positionV relativeFrom="paragraph">
                  <wp:posOffset>81280</wp:posOffset>
                </wp:positionV>
                <wp:extent cx="115506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50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8.5pt,6.4pt" to="279.45pt,6.4pt" o:allowincell="f" strokecolor="#000000" strokeweight="1pt"/>
            </w:pict>
          </mc:Fallback>
        </mc:AlternateConten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33" w:lineRule="exact"/>
        <w:rPr>
          <w:sz w:val="24"/>
          <w:szCs w:val="24"/>
          <w:color w:val="auto"/>
        </w:rPr>
      </w:pPr>
    </w:p>
    <w:p>
      <w:pPr>
        <w:jc w:val="both"/>
        <w:ind w:right="100" w:firstLine="490"/>
        <w:spacing w:after="0" w:line="254" w:lineRule="auto"/>
        <w:rPr>
          <w:sz w:val="20"/>
          <w:szCs w:val="20"/>
          <w:color w:val="auto"/>
        </w:rPr>
      </w:pPr>
      <w:r>
        <w:rPr>
          <w:rFonts w:ascii="Times New Roman" w:cs="Times New Roman" w:eastAsia="Times New Roman" w:hAnsi="Times New Roman"/>
          <w:sz w:val="13"/>
          <w:szCs w:val="13"/>
          <w:color w:val="auto"/>
        </w:rPr>
        <w:t>Portions of the registrant’s Definitive Proxy Statement to be filed with the Commission pursuant to Regulation 14A in connection with the registrant’s 2023 Annual Meeting of Stockholders, to be filed subsequent to the date hereof, are incorporated by reference into Part III of this Report. Such Definitive Proxy Statement will be filed with the Securities and Exchange Commission not later than 120 days after the conclusion of the registrant’s fiscal year ended December 31, 2022.</w:t>
      </w:r>
    </w:p>
    <w:p>
      <w:pPr>
        <w:jc w:val="center"/>
        <w:ind w:right="120"/>
        <w:spacing w:after="0"/>
        <w:rPr>
          <w:sz w:val="20"/>
          <w:szCs w:val="20"/>
          <w:color w:val="auto"/>
        </w:rPr>
      </w:pPr>
      <w:r>
        <w:rPr>
          <w:rFonts w:ascii="Times New Roman" w:cs="Times New Roman" w:eastAsia="Times New Roman" w:hAnsi="Times New Roman"/>
          <w:sz w:val="13"/>
          <w:szCs w:val="13"/>
          <w:color w:val="auto"/>
        </w:rPr>
        <w:t>Except with respect to information specifically incorporated by reference in this Form 10-K, the Proxy Statement is not deemed to be filed as part of this Form 10-K.</w:t>
      </w:r>
    </w:p>
    <w:p>
      <w:pPr>
        <w:spacing w:after="0" w:line="127" w:lineRule="exact"/>
        <w:rPr>
          <w:sz w:val="24"/>
          <w:szCs w:val="24"/>
          <w:color w:val="auto"/>
        </w:rPr>
      </w:pPr>
    </w:p>
    <w:p>
      <w:pPr>
        <w:ind w:left="1000"/>
        <w:spacing w:after="0"/>
        <w:tabs>
          <w:tab w:leader="none" w:pos="2000" w:val="left"/>
          <w:tab w:leader="none" w:pos="3920" w:val="left"/>
          <w:tab w:leader="none" w:pos="5140" w:val="left"/>
          <w:tab w:leader="none" w:pos="6860" w:val="left"/>
          <w:tab w:leader="none" w:pos="8040" w:val="left"/>
        </w:tabs>
        <w:rPr>
          <w:sz w:val="20"/>
          <w:szCs w:val="20"/>
          <w:color w:val="auto"/>
        </w:rPr>
      </w:pPr>
      <w:r>
        <w:rPr>
          <w:rFonts w:ascii="Times New Roman" w:cs="Times New Roman" w:eastAsia="Times New Roman" w:hAnsi="Times New Roman"/>
          <w:sz w:val="14"/>
          <w:szCs w:val="14"/>
          <w:color w:val="auto"/>
        </w:rPr>
        <w:t>Auditor Name:</w:t>
        <w:tab/>
        <w:t>Marcum LLP</w:t>
      </w:r>
      <w:r>
        <w:rPr>
          <w:sz w:val="20"/>
          <w:szCs w:val="20"/>
          <w:color w:val="auto"/>
        </w:rPr>
        <w:tab/>
      </w:r>
      <w:r>
        <w:rPr>
          <w:rFonts w:ascii="Times New Roman" w:cs="Times New Roman" w:eastAsia="Times New Roman" w:hAnsi="Times New Roman"/>
          <w:sz w:val="14"/>
          <w:szCs w:val="14"/>
          <w:color w:val="auto"/>
        </w:rPr>
        <w:t>Auditor Location:</w:t>
        <w:tab/>
        <w:t>San Francisco, CA</w:t>
      </w:r>
      <w:r>
        <w:rPr>
          <w:sz w:val="20"/>
          <w:szCs w:val="20"/>
          <w:color w:val="auto"/>
        </w:rPr>
        <w:tab/>
      </w:r>
      <w:r>
        <w:rPr>
          <w:rFonts w:ascii="Times New Roman" w:cs="Times New Roman" w:eastAsia="Times New Roman" w:hAnsi="Times New Roman"/>
          <w:sz w:val="14"/>
          <w:szCs w:val="14"/>
          <w:color w:val="auto"/>
        </w:rPr>
        <w:t>Auditor Firm ID:</w:t>
      </w:r>
      <w:r>
        <w:rPr>
          <w:sz w:val="20"/>
          <w:szCs w:val="20"/>
          <w:color w:val="auto"/>
        </w:rPr>
        <w:tab/>
      </w:r>
      <w:r>
        <w:rPr>
          <w:rFonts w:ascii="Times New Roman" w:cs="Times New Roman" w:eastAsia="Times New Roman" w:hAnsi="Times New Roman"/>
          <w:sz w:val="13"/>
          <w:szCs w:val="13"/>
          <w:color w:val="auto"/>
        </w:rPr>
        <w:t>688</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98425</wp:posOffset>
                </wp:positionV>
                <wp:extent cx="597979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979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7.75pt" to="469.45pt,7.7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-17780</wp:posOffset>
                </wp:positionH>
                <wp:positionV relativeFrom="paragraph">
                  <wp:posOffset>79375</wp:posOffset>
                </wp:positionV>
                <wp:extent cx="597979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979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6.25pt" to="469.45pt,6.25pt" o:allowincell="f" strokecolor="#000000" strokeweight="0.75pt"/>
            </w:pict>
          </mc:Fallback>
        </mc:AlternateContent>
      </w:r>
    </w:p>
    <w:p>
      <w:pPr>
        <w:sectPr>
          <w:pgSz w:w="12240" w:h="15840" w:orient="portrait"/>
          <w:cols w:equalWidth="0" w:num="1">
            <w:col w:w="9360"/>
          </w:cols>
          <w:pgMar w:left="1440" w:top="1440" w:right="1440" w:bottom="1111" w:gutter="0" w:footer="0" w:header="0"/>
        </w:sectPr>
      </w:pPr>
    </w:p>
    <w:bookmarkStart w:id="1" w:name="page2"/>
    <w:bookmarkEnd w:id="1"/>
    <w:p>
      <w:pPr>
        <w:ind w:left="3600"/>
        <w:spacing w:after="0"/>
        <w:rPr>
          <w:sz w:val="20"/>
          <w:szCs w:val="20"/>
          <w:color w:val="auto"/>
        </w:rPr>
      </w:pPr>
      <w:r>
        <w:rPr>
          <w:rFonts w:ascii="Times New Roman" w:cs="Times New Roman" w:eastAsia="Times New Roman" w:hAnsi="Times New Roman"/>
          <w:sz w:val="20"/>
          <w:szCs w:val="20"/>
          <w:b w:val="1"/>
          <w:bCs w:val="1"/>
          <w:color w:val="auto"/>
        </w:rPr>
        <w:t>Soleno Therapeutics, Inc.</w:t>
      </w:r>
    </w:p>
    <w:p>
      <w:pPr>
        <w:spacing w:after="0" w:line="3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ind w:left="3000"/>
        <w:spacing w:after="0"/>
        <w:rPr>
          <w:sz w:val="20"/>
          <w:szCs w:val="20"/>
          <w:color w:val="auto"/>
        </w:rPr>
      </w:pPr>
      <w:r>
        <w:rPr>
          <w:rFonts w:ascii="Times New Roman" w:cs="Times New Roman" w:eastAsia="Times New Roman" w:hAnsi="Times New Roman"/>
          <w:sz w:val="20"/>
          <w:szCs w:val="20"/>
          <w:b w:val="1"/>
          <w:bCs w:val="1"/>
          <w:color w:val="auto"/>
        </w:rPr>
        <w:t>For the Year Ended December 31, 2022</w:t>
      </w:r>
    </w:p>
    <w:p>
      <w:pPr>
        <w:spacing w:after="0" w:line="20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INDEX</w:t>
      </w:r>
    </w:p>
    <w:p>
      <w:pPr>
        <w:spacing w:after="0" w:line="27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2" w:lineRule="exact"/>
        <w:rPr>
          <w:sz w:val="20"/>
          <w:szCs w:val="20"/>
          <w:color w:val="auto"/>
        </w:rPr>
      </w:pPr>
    </w:p>
    <w:p>
      <w:pPr>
        <w:ind w:left="20"/>
        <w:spacing w:after="0"/>
        <w:tabs>
          <w:tab w:leader="none" w:pos="920" w:val="left"/>
          <w:tab w:leader="dot" w:pos="924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w:t>
      </w:r>
      <w:r>
        <w:rPr>
          <w:sz w:val="20"/>
          <w:szCs w:val="20"/>
          <w:color w:val="auto"/>
        </w:rPr>
        <w:tab/>
      </w:r>
      <w:r>
        <w:rPr>
          <w:rFonts w:ascii="Times New Roman" w:cs="Times New Roman" w:eastAsia="Times New Roman" w:hAnsi="Times New Roman"/>
          <w:sz w:val="20"/>
          <w:szCs w:val="20"/>
          <w:color w:val="auto"/>
        </w:rPr>
        <w:t>2</w:t>
      </w:r>
    </w:p>
    <w:p>
      <w:pPr>
        <w:spacing w:after="0" w:line="110"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1A</w:t>
        <w:tab/>
        <w:t>Risk Factors</w:t>
      </w:r>
      <w:r>
        <w:rPr>
          <w:sz w:val="20"/>
          <w:szCs w:val="20"/>
          <w:color w:val="auto"/>
        </w:rPr>
        <w:tab/>
      </w:r>
      <w:r>
        <w:rPr>
          <w:rFonts w:ascii="Times New Roman" w:cs="Times New Roman" w:eastAsia="Times New Roman" w:hAnsi="Times New Roman"/>
          <w:sz w:val="20"/>
          <w:szCs w:val="20"/>
          <w:color w:val="auto"/>
        </w:rPr>
        <w:t>14</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1B</w:t>
        <w:tab/>
        <w:t>Unresolved Staff Comments</w:t>
      </w:r>
      <w:r>
        <w:rPr>
          <w:sz w:val="20"/>
          <w:szCs w:val="20"/>
          <w:color w:val="auto"/>
        </w:rPr>
        <w:tab/>
      </w:r>
      <w:r>
        <w:rPr>
          <w:rFonts w:ascii="Times New Roman" w:cs="Times New Roman" w:eastAsia="Times New Roman" w:hAnsi="Times New Roman"/>
          <w:sz w:val="20"/>
          <w:szCs w:val="20"/>
          <w:color w:val="auto"/>
        </w:rPr>
        <w:t>49</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w:t>
      </w:r>
      <w:r>
        <w:rPr>
          <w:sz w:val="20"/>
          <w:szCs w:val="20"/>
          <w:color w:val="auto"/>
        </w:rPr>
        <w:tab/>
      </w:r>
      <w:r>
        <w:rPr>
          <w:rFonts w:ascii="Times New Roman" w:cs="Times New Roman" w:eastAsia="Times New Roman" w:hAnsi="Times New Roman"/>
          <w:sz w:val="20"/>
          <w:szCs w:val="20"/>
          <w:color w:val="auto"/>
        </w:rPr>
        <w:t>49</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w:t>
      </w:r>
      <w:r>
        <w:rPr>
          <w:sz w:val="20"/>
          <w:szCs w:val="20"/>
          <w:color w:val="auto"/>
        </w:rPr>
        <w:tab/>
      </w:r>
      <w:r>
        <w:rPr>
          <w:rFonts w:ascii="Times New Roman" w:cs="Times New Roman" w:eastAsia="Times New Roman" w:hAnsi="Times New Roman"/>
          <w:sz w:val="20"/>
          <w:szCs w:val="20"/>
          <w:color w:val="auto"/>
        </w:rPr>
        <w:t>49</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w:t>
      </w:r>
      <w:r>
        <w:rPr>
          <w:sz w:val="20"/>
          <w:szCs w:val="20"/>
          <w:color w:val="auto"/>
        </w:rPr>
        <w:tab/>
      </w:r>
      <w:r>
        <w:rPr>
          <w:rFonts w:ascii="Times New Roman" w:cs="Times New Roman" w:eastAsia="Times New Roman" w:hAnsi="Times New Roman"/>
          <w:sz w:val="20"/>
          <w:szCs w:val="20"/>
          <w:color w:val="auto"/>
        </w:rPr>
        <w:t>49</w:t>
      </w:r>
    </w:p>
    <w:p>
      <w:pPr>
        <w:spacing w:after="0" w:line="200" w:lineRule="exact"/>
        <w:rPr>
          <w:sz w:val="20"/>
          <w:szCs w:val="20"/>
          <w:color w:val="auto"/>
        </w:rPr>
      </w:pPr>
    </w:p>
    <w:p>
      <w:pPr>
        <w:spacing w:after="0" w:line="21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42"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20"/>
          <w:szCs w:val="20"/>
          <w:color w:val="auto"/>
        </w:rPr>
        <w:t>Market for Registrant’s Common Equity, Related Stockholder Matters and Issuer Purchases of</w:t>
      </w:r>
    </w:p>
    <w:p>
      <w:pPr>
        <w:spacing w:after="0" w:line="28" w:lineRule="exact"/>
        <w:rPr>
          <w:sz w:val="20"/>
          <w:szCs w:val="20"/>
          <w:color w:val="auto"/>
        </w:rPr>
      </w:pPr>
    </w:p>
    <w:p>
      <w:pPr>
        <w:ind w:left="940"/>
        <w:spacing w:after="0"/>
        <w:tabs>
          <w:tab w:leader="dot" w:pos="9140" w:val="left"/>
        </w:tabs>
        <w:rPr>
          <w:sz w:val="20"/>
          <w:szCs w:val="20"/>
          <w:color w:val="auto"/>
        </w:rPr>
      </w:pPr>
      <w:r>
        <w:rPr>
          <w:rFonts w:ascii="Times New Roman" w:cs="Times New Roman" w:eastAsia="Times New Roman" w:hAnsi="Times New Roman"/>
          <w:sz w:val="20"/>
          <w:szCs w:val="20"/>
          <w:color w:val="auto"/>
        </w:rPr>
        <w:t>Equity Securities</w:t>
      </w:r>
      <w:r>
        <w:rPr>
          <w:sz w:val="20"/>
          <w:szCs w:val="20"/>
          <w:color w:val="auto"/>
        </w:rPr>
        <w:tab/>
      </w:r>
      <w:r>
        <w:rPr>
          <w:rFonts w:ascii="Times New Roman" w:cs="Times New Roman" w:eastAsia="Times New Roman" w:hAnsi="Times New Roman"/>
          <w:sz w:val="20"/>
          <w:szCs w:val="20"/>
          <w:color w:val="auto"/>
        </w:rPr>
        <w:t>50</w:t>
      </w:r>
    </w:p>
    <w:p>
      <w:pPr>
        <w:spacing w:after="0" w:line="110"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w:t>
      </w:r>
      <w:r>
        <w:rPr>
          <w:sz w:val="20"/>
          <w:szCs w:val="20"/>
          <w:color w:val="auto"/>
        </w:rPr>
        <w:tab/>
      </w:r>
      <w:r>
        <w:rPr>
          <w:rFonts w:ascii="Times New Roman" w:cs="Times New Roman" w:eastAsia="Times New Roman" w:hAnsi="Times New Roman"/>
          <w:sz w:val="20"/>
          <w:szCs w:val="20"/>
          <w:color w:val="auto"/>
        </w:rPr>
        <w:t>50</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w:t>
      </w:r>
      <w:r>
        <w:rPr>
          <w:sz w:val="20"/>
          <w:szCs w:val="20"/>
          <w:color w:val="auto"/>
        </w:rPr>
        <w:tab/>
      </w:r>
      <w:r>
        <w:rPr>
          <w:rFonts w:ascii="Times New Roman" w:cs="Times New Roman" w:eastAsia="Times New Roman" w:hAnsi="Times New Roman"/>
          <w:sz w:val="20"/>
          <w:szCs w:val="20"/>
          <w:color w:val="auto"/>
        </w:rPr>
        <w:t>51</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7A</w:t>
        <w:tab/>
        <w:t>Quantitative and Qualitative Disclosures About Market Risk</w:t>
      </w:r>
      <w:r>
        <w:rPr>
          <w:sz w:val="20"/>
          <w:szCs w:val="20"/>
          <w:color w:val="auto"/>
        </w:rPr>
        <w:tab/>
      </w:r>
      <w:r>
        <w:rPr>
          <w:rFonts w:ascii="Times New Roman" w:cs="Times New Roman" w:eastAsia="Times New Roman" w:hAnsi="Times New Roman"/>
          <w:sz w:val="20"/>
          <w:szCs w:val="20"/>
          <w:color w:val="auto"/>
        </w:rPr>
        <w:t>58</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w:t>
      </w:r>
      <w:r>
        <w:rPr>
          <w:sz w:val="20"/>
          <w:szCs w:val="20"/>
          <w:color w:val="auto"/>
        </w:rPr>
        <w:tab/>
      </w:r>
      <w:r>
        <w:rPr>
          <w:rFonts w:ascii="Times New Roman" w:cs="Times New Roman" w:eastAsia="Times New Roman" w:hAnsi="Times New Roman"/>
          <w:sz w:val="20"/>
          <w:szCs w:val="20"/>
          <w:color w:val="auto"/>
        </w:rPr>
        <w:t>59</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auto"/>
        </w:rPr>
        <w:t>84</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9A</w:t>
        <w:tab/>
        <w:t>Controls and Procedures</w:t>
      </w:r>
      <w:r>
        <w:rPr>
          <w:sz w:val="20"/>
          <w:szCs w:val="20"/>
          <w:color w:val="auto"/>
        </w:rPr>
        <w:tab/>
      </w:r>
      <w:r>
        <w:rPr>
          <w:rFonts w:ascii="Times New Roman" w:cs="Times New Roman" w:eastAsia="Times New Roman" w:hAnsi="Times New Roman"/>
          <w:sz w:val="20"/>
          <w:szCs w:val="20"/>
          <w:color w:val="auto"/>
        </w:rPr>
        <w:t>84</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9B</w:t>
        <w:tab/>
        <w:t>Other Information</w:t>
      </w:r>
      <w:r>
        <w:rPr>
          <w:sz w:val="20"/>
          <w:szCs w:val="20"/>
          <w:color w:val="auto"/>
        </w:rPr>
        <w:tab/>
      </w:r>
      <w:r>
        <w:rPr>
          <w:rFonts w:ascii="Times New Roman" w:cs="Times New Roman" w:eastAsia="Times New Roman" w:hAnsi="Times New Roman"/>
          <w:sz w:val="20"/>
          <w:szCs w:val="20"/>
          <w:color w:val="auto"/>
        </w:rPr>
        <w:t>85</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9C</w:t>
        <w:tab/>
        <w:t>Disclosure Regarding Foreign Jurisdictions that Prevent Inspections</w:t>
      </w:r>
      <w:r>
        <w:rPr>
          <w:sz w:val="20"/>
          <w:szCs w:val="20"/>
          <w:color w:val="auto"/>
        </w:rPr>
        <w:tab/>
      </w:r>
      <w:r>
        <w:rPr>
          <w:rFonts w:ascii="Times New Roman" w:cs="Times New Roman" w:eastAsia="Times New Roman" w:hAnsi="Times New Roman"/>
          <w:sz w:val="20"/>
          <w:szCs w:val="20"/>
          <w:color w:val="auto"/>
        </w:rPr>
        <w:t>85</w:t>
      </w:r>
    </w:p>
    <w:p>
      <w:pPr>
        <w:spacing w:after="0" w:line="36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42"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w:t>
      </w:r>
      <w:r>
        <w:rPr>
          <w:sz w:val="20"/>
          <w:szCs w:val="20"/>
          <w:color w:val="auto"/>
        </w:rPr>
        <w:tab/>
      </w:r>
      <w:r>
        <w:rPr>
          <w:rFonts w:ascii="Times New Roman" w:cs="Times New Roman" w:eastAsia="Times New Roman" w:hAnsi="Times New Roman"/>
          <w:sz w:val="20"/>
          <w:szCs w:val="20"/>
          <w:color w:val="auto"/>
        </w:rPr>
        <w:t>86</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w:t>
      </w:r>
      <w:r>
        <w:rPr>
          <w:sz w:val="20"/>
          <w:szCs w:val="20"/>
          <w:color w:val="auto"/>
        </w:rPr>
        <w:tab/>
      </w:r>
      <w:r>
        <w:rPr>
          <w:rFonts w:ascii="Times New Roman" w:cs="Times New Roman" w:eastAsia="Times New Roman" w:hAnsi="Times New Roman"/>
          <w:sz w:val="20"/>
          <w:szCs w:val="20"/>
          <w:color w:val="auto"/>
        </w:rPr>
        <w:t>86</w:t>
      </w:r>
    </w:p>
    <w:p>
      <w:pPr>
        <w:spacing w:after="0" w:line="138"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19"/>
          <w:szCs w:val="19"/>
          <w:color w:val="auto"/>
        </w:rPr>
        <w:t>Security Ownership of Certain Beneficial Owners and Management and Related Stockholder</w:t>
      </w:r>
    </w:p>
    <w:p>
      <w:pPr>
        <w:spacing w:after="0" w:line="28" w:lineRule="exact"/>
        <w:rPr>
          <w:sz w:val="20"/>
          <w:szCs w:val="20"/>
          <w:color w:val="auto"/>
        </w:rPr>
      </w:pPr>
    </w:p>
    <w:p>
      <w:pPr>
        <w:ind w:left="940"/>
        <w:spacing w:after="0"/>
        <w:tabs>
          <w:tab w:leader="dot" w:pos="9140" w:val="left"/>
        </w:tabs>
        <w:rPr>
          <w:sz w:val="20"/>
          <w:szCs w:val="20"/>
          <w:color w:val="auto"/>
        </w:rPr>
      </w:pPr>
      <w:r>
        <w:rPr>
          <w:rFonts w:ascii="Times New Roman" w:cs="Times New Roman" w:eastAsia="Times New Roman" w:hAnsi="Times New Roman"/>
          <w:sz w:val="20"/>
          <w:szCs w:val="20"/>
          <w:color w:val="auto"/>
        </w:rPr>
        <w:t>Matters</w:t>
      </w:r>
      <w:r>
        <w:rPr>
          <w:sz w:val="20"/>
          <w:szCs w:val="20"/>
          <w:color w:val="auto"/>
        </w:rPr>
        <w:tab/>
      </w:r>
      <w:r>
        <w:rPr>
          <w:rFonts w:ascii="Times New Roman" w:cs="Times New Roman" w:eastAsia="Times New Roman" w:hAnsi="Times New Roman"/>
          <w:sz w:val="20"/>
          <w:szCs w:val="20"/>
          <w:color w:val="auto"/>
        </w:rPr>
        <w:t>86</w:t>
      </w:r>
    </w:p>
    <w:p>
      <w:pPr>
        <w:spacing w:after="0" w:line="110"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auto"/>
        </w:rPr>
        <w:t>86</w:t>
      </w:r>
    </w:p>
    <w:p>
      <w:pPr>
        <w:spacing w:after="0" w:line="138"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Accounting Fees and Services</w:t>
      </w:r>
      <w:r>
        <w:rPr>
          <w:sz w:val="20"/>
          <w:szCs w:val="20"/>
          <w:color w:val="auto"/>
        </w:rPr>
        <w:tab/>
      </w:r>
      <w:r>
        <w:rPr>
          <w:rFonts w:ascii="Times New Roman" w:cs="Times New Roman" w:eastAsia="Times New Roman" w:hAnsi="Times New Roman"/>
          <w:sz w:val="20"/>
          <w:szCs w:val="20"/>
          <w:color w:val="auto"/>
        </w:rPr>
        <w:t>86</w:t>
      </w:r>
    </w:p>
    <w:p>
      <w:pPr>
        <w:spacing w:after="0" w:line="24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42" w:lineRule="exact"/>
        <w:rPr>
          <w:sz w:val="20"/>
          <w:szCs w:val="20"/>
          <w:color w:val="auto"/>
        </w:rPr>
      </w:pPr>
    </w:p>
    <w:p>
      <w:pPr>
        <w:ind w:left="20"/>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Exhibits, Financial Statement Schedules</w:t>
      </w:r>
      <w:r>
        <w:rPr>
          <w:sz w:val="20"/>
          <w:szCs w:val="20"/>
          <w:color w:val="auto"/>
        </w:rPr>
        <w:tab/>
      </w:r>
      <w:r>
        <w:rPr>
          <w:rFonts w:ascii="Times New Roman" w:cs="Times New Roman" w:eastAsia="Times New Roman" w:hAnsi="Times New Roman"/>
          <w:sz w:val="20"/>
          <w:szCs w:val="20"/>
          <w:color w:val="auto"/>
        </w:rPr>
        <w:t>87</w:t>
      </w:r>
    </w:p>
    <w:p>
      <w:pPr>
        <w:spacing w:after="0" w:line="138" w:lineRule="exact"/>
        <w:rPr>
          <w:sz w:val="20"/>
          <w:szCs w:val="20"/>
          <w:color w:val="auto"/>
        </w:rPr>
      </w:pPr>
    </w:p>
    <w:p>
      <w:pPr>
        <w:ind w:left="20"/>
        <w:spacing w:after="0"/>
        <w:tabs>
          <w:tab w:leader="dot" w:pos="9140" w:val="left"/>
        </w:tabs>
        <w:rPr>
          <w:sz w:val="20"/>
          <w:szCs w:val="20"/>
          <w:color w:val="auto"/>
        </w:rPr>
      </w:pPr>
      <w:r>
        <w:rPr>
          <w:rFonts w:ascii="Times New Roman" w:cs="Times New Roman" w:eastAsia="Times New Roman" w:hAnsi="Times New Roman"/>
          <w:sz w:val="20"/>
          <w:szCs w:val="20"/>
          <w:color w:val="auto"/>
        </w:rPr>
        <w:t>Signatures</w:t>
      </w:r>
      <w:r>
        <w:rPr>
          <w:sz w:val="20"/>
          <w:szCs w:val="20"/>
          <w:color w:val="auto"/>
        </w:rPr>
        <w:tab/>
      </w:r>
      <w:r>
        <w:rPr>
          <w:rFonts w:ascii="Times New Roman" w:cs="Times New Roman" w:eastAsia="Times New Roman" w:hAnsi="Times New Roman"/>
          <w:sz w:val="20"/>
          <w:szCs w:val="20"/>
          <w:color w:val="auto"/>
        </w:rPr>
        <w:t>97</w:t>
      </w:r>
    </w:p>
    <w:p>
      <w:pPr>
        <w:sectPr>
          <w:pgSz w:w="12240" w:h="15840" w:orient="portrait"/>
          <w:cols w:equalWidth="0" w:num="1">
            <w:col w:w="9360"/>
          </w:cols>
          <w:pgMar w:left="1440" w:top="141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44"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auto"/>
        </w:rPr>
        <w:t>The following discussion and analysis should be read in conjunction with our audited consolidated financial statements and the related notes that appear elsewhere in this Annual Report on Form 10-K. This Annual Report on Form 10-K contains “forward-looking statements” within the meaning of Section 21E of the Securities Exchange Act of 1934, as amended, or the Exchange Act, particularly in Part I, Item 1: “Business,” Part I, Item 1A: “Risk Factors” and Part 2, Item 7: “Management’s Discussion and Analysis of Financial Condition and Results of Operations.” These statements are often identified by the use of words such as “may,” “will,” “expect,” “believe,” “anticipate,” “intend,” “could,” “should,” “estimate,” “plan” or “continue,” and similar expressions or variations. All statements other than statements of historical fact could be deemed forward-looking, including, but not limited to: any projections of financial information; any statements about historical results that may suggest trends for our business; any statements of the plans, strategies, and objectives of management for future operations; any statements of expectation or belief regarding future events, technology developments, our products, product sales, the regulatory regime for our products, expenses, liquidity, cash flow, market growth rates or enforceability of our intellectual property rights and related litigation expenses; the impact of the COVID-19 pandemic on our ongoing and planned clinical trials or operations; and any statements of assumptions underlying any of the foregoing. Such forward-looking statements are subject to risks, uncertainties and other factors that could cause actual results and the timing of certain events to differ materially from future results expressed or implied by such forward-looking statements. Accordingly, we caution you not to place undue reliance on these statements. Particular uncertainties that could affect future results include: our ability to achieve or maintain profitability; our ability to obtain substantial additional capital that may be necessary to maintain or expand our business; our ability to maintain internal control over financial reporting; our dependence on, and need to attract and retain, key management and other personnel; our ability to obtain, protect and enforce our intellectual property rights; potential advantages that our competitors and potential competitors may have in securing funding or developing products; business interruptions such as earthquakes and other natural disasters; our ability to comply with laws and regulations; potential product liability claims; and our ability to use our net operating loss carryforwards to offset future taxable income. For a discussion of some of the factors that could cause actual results to differ materially from our forward-looking statements, see the discussion on risk factors that appear in Part I, Item 1A: “Risk Factors” of this Annual Report on Form 10-K and other risks and uncertainties detailed in this and our other reports and filings with the Securities and Exchange Commission, or SEC. 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360"/>
          </w:cols>
          <w:pgMar w:left="1440" w:top="1416" w:right="1440" w:bottom="175"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122" w:lineRule="exact"/>
        <w:rPr>
          <w:sz w:val="20"/>
          <w:szCs w:val="20"/>
          <w:color w:val="auto"/>
        </w:rPr>
      </w:pPr>
    </w:p>
    <w:p>
      <w:pPr>
        <w:ind w:right="20" w:firstLine="641"/>
        <w:spacing w:after="0" w:line="241" w:lineRule="auto"/>
        <w:rPr>
          <w:sz w:val="20"/>
          <w:szCs w:val="20"/>
          <w:color w:val="auto"/>
        </w:rPr>
      </w:pPr>
      <w:r>
        <w:rPr>
          <w:rFonts w:ascii="Times New Roman" w:cs="Times New Roman" w:eastAsia="Times New Roman" w:hAnsi="Times New Roman"/>
          <w:sz w:val="20"/>
          <w:szCs w:val="20"/>
          <w:color w:val="auto"/>
        </w:rPr>
        <w:t>We are a clinical-stage biopharmaceutical company focused on the development and commercialization of novel therapeutics for the treatment of rare diseases. Our lead drug, Diazoxide Choline Extended-Release tablets (DCCR), is a potent ATP-sensitive potassium (K</w:t>
      </w:r>
      <w:r>
        <w:rPr>
          <w:rFonts w:ascii="Times New Roman" w:cs="Times New Roman" w:eastAsia="Times New Roman" w:hAnsi="Times New Roman"/>
          <w:sz w:val="22"/>
          <w:szCs w:val="22"/>
          <w:color w:val="auto"/>
          <w:vertAlign w:val="subscript"/>
        </w:rPr>
        <w:t>ATP</w:t>
      </w:r>
      <w:r>
        <w:rPr>
          <w:rFonts w:ascii="Times New Roman" w:cs="Times New Roman" w:eastAsia="Times New Roman" w:hAnsi="Times New Roman"/>
          <w:sz w:val="20"/>
          <w:szCs w:val="20"/>
          <w:color w:val="auto"/>
        </w:rPr>
        <w:t>) channel activator. The K</w:t>
      </w:r>
      <w:r>
        <w:rPr>
          <w:rFonts w:ascii="Times New Roman" w:cs="Times New Roman" w:eastAsia="Times New Roman" w:hAnsi="Times New Roman"/>
          <w:sz w:val="22"/>
          <w:szCs w:val="22"/>
          <w:color w:val="auto"/>
          <w:vertAlign w:val="subscript"/>
        </w:rPr>
        <w:t>ATP</w:t>
      </w:r>
      <w:r>
        <w:rPr>
          <w:rFonts w:ascii="Times New Roman" w:cs="Times New Roman" w:eastAsia="Times New Roman" w:hAnsi="Times New Roman"/>
          <w:sz w:val="20"/>
          <w:szCs w:val="20"/>
          <w:color w:val="auto"/>
        </w:rPr>
        <w:t xml:space="preserve"> channel plays a central role in the regulation of a number of physiological processes which may otherwise be dysregulated, contributing to the pathophysiology of several diseases. In the context of the underlying genetic or structural defects in many forms of hyperphagic obesity, including Prader-Willi syndrome (PWS), these pathophysiological processes may cumulatively contribute to increases in appetite and aggressive food seeking, lack of satiety, accumulation of excess body fat and the establishment and perpetuation of the obese state.</w:t>
      </w:r>
    </w:p>
    <w:p>
      <w:pPr>
        <w:spacing w:after="0" w:line="89" w:lineRule="exact"/>
        <w:rPr>
          <w:sz w:val="20"/>
          <w:szCs w:val="20"/>
          <w:color w:val="auto"/>
        </w:rPr>
      </w:pPr>
    </w:p>
    <w:p>
      <w:pPr>
        <w:ind w:right="20" w:firstLine="691"/>
        <w:spacing w:after="0" w:line="247" w:lineRule="auto"/>
        <w:rPr>
          <w:sz w:val="20"/>
          <w:szCs w:val="20"/>
          <w:color w:val="auto"/>
        </w:rPr>
      </w:pPr>
      <w:r>
        <w:rPr>
          <w:rFonts w:ascii="Times New Roman" w:cs="Times New Roman" w:eastAsia="Times New Roman" w:hAnsi="Times New Roman"/>
          <w:sz w:val="20"/>
          <w:szCs w:val="20"/>
          <w:color w:val="auto"/>
        </w:rPr>
        <w:t>DCCR’s unique mode of action with targets in the brain, pancreas and fat tissue has the potential to broadly impact complex diseases like PWS to reduce appetite, reduce food seeking, improve satiety, improve insulin and leptin resistance and reduce body fat. It appears that many of the problematic behaviors in conditions like PWS may have hyperphagic drive as a root cause and may therefore be improved by addressing hyperphagia. We have a Fast-Track designation for DCCR in PWS and orphan designation for the drug in the United States (U.S.) and European Union (E.U.).</w:t>
      </w:r>
    </w:p>
    <w:p>
      <w:pPr>
        <w:spacing w:after="0" w:line="80"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20"/>
          <w:szCs w:val="20"/>
          <w:color w:val="auto"/>
        </w:rPr>
        <w:t>DCCR has been evaluated in a Phase 3 study (C601 or DESTINY PWS), a 13-week randomized, double-blind placebo-controlled study, which completed enrollment in January 2020, with 127 randomized participants at 29 sites in the U.S. and United Kingdom (U.K.). Participants who completed treatment in DESTINY PWS and sought continued treatment with DCCR were eligible to receive DCCR in a long-term open-label safety extension study (C602). Top line results from DESTINY PWS were announced in June 2020. Although the trial did not meet its primary endpoint of change from baseline in hyperphagia, significant improvements were observed in two of three key secondary endpoints. In February 2021, we announced analysis limited to data collected before the onset of the COVID-19 pandemic. The analysis of the data through March 1, 2020 showed statistical significance in the primary, all key secondary and several other efficacy endpoints. In September 2021, we announced top line results from the interim one year data from C602 showing statistically significant reduction in hyperphagia and all other PWS behavioral parameters and statistically significant improvements compared to natural history of PWS from the PATH for PWS Study (PfPWS) over a one year treatment period. The PfPWS study is an ongoing study sponsored by the Foundation for Prader-Willi Research (FPWR) to advance the understanding of the natural history in individuals with PWS.</w:t>
      </w:r>
    </w:p>
    <w:p>
      <w:pPr>
        <w:spacing w:after="0" w:line="93" w:lineRule="exact"/>
        <w:rPr>
          <w:sz w:val="20"/>
          <w:szCs w:val="20"/>
          <w:color w:val="auto"/>
        </w:rPr>
      </w:pPr>
    </w:p>
    <w:p>
      <w:pPr>
        <w:ind w:right="400" w:firstLine="648"/>
        <w:spacing w:after="0" w:line="252" w:lineRule="auto"/>
        <w:rPr>
          <w:sz w:val="20"/>
          <w:szCs w:val="20"/>
          <w:color w:val="auto"/>
        </w:rPr>
      </w:pPr>
      <w:r>
        <w:rPr>
          <w:rFonts w:ascii="Times New Roman" w:cs="Times New Roman" w:eastAsia="Times New Roman" w:hAnsi="Times New Roman"/>
          <w:sz w:val="20"/>
          <w:szCs w:val="20"/>
          <w:color w:val="auto"/>
        </w:rPr>
        <w:t>The FDA provided official meeting minutes from a Type C meeting in January 2022 that recommended additional controlled data be included in a New Drug Approval (NDA) submission, and indicated they were receptive to a study design involving participants currently enrolled in Study C602, our ongoing open-label extension study to generate the data necessary to support an NDA.</w:t>
      </w:r>
    </w:p>
    <w:p>
      <w:pPr>
        <w:spacing w:after="0" w:line="74"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0"/>
          <w:szCs w:val="20"/>
          <w:color w:val="auto"/>
        </w:rPr>
        <w:t>In March 2022, we submitted a proposal to add a randomized withdrawal period to Study C602 to obtain additional controlled data requested by the FDA to support a NDA submission for DCCR. The randomized withdrawal (RW) period of Study C602 is a multi-center, randomized, double-blind, placebo-controlled study of DCCR in approximately 80 patients with PWS at 17 sites in the U.S. and 5 sites in the U.K. This RW period consists only of patients currently enrolled in Study C602 and will not enroll any new patients. We announced the initiation of the RW period for Study C602 in October 2022. The FDA has acknowledged that data from the study has the potential to support an NDA submission for DCCR.</w:t>
      </w:r>
    </w:p>
    <w:p>
      <w:pPr>
        <w:spacing w:after="0" w:line="80" w:lineRule="exact"/>
        <w:rPr>
          <w:sz w:val="20"/>
          <w:szCs w:val="20"/>
          <w:color w:val="auto"/>
        </w:rPr>
      </w:pPr>
    </w:p>
    <w:p>
      <w:pPr>
        <w:ind w:right="60" w:firstLine="641"/>
        <w:spacing w:after="0" w:line="265" w:lineRule="auto"/>
        <w:rPr>
          <w:sz w:val="20"/>
          <w:szCs w:val="20"/>
          <w:color w:val="auto"/>
        </w:rPr>
      </w:pPr>
      <w:r>
        <w:rPr>
          <w:rFonts w:ascii="Times New Roman" w:cs="Times New Roman" w:eastAsia="Times New Roman" w:hAnsi="Times New Roman"/>
          <w:sz w:val="19"/>
          <w:szCs w:val="19"/>
          <w:color w:val="auto"/>
        </w:rPr>
        <w:t>Our current focus is the development of DCCR for PWS. However, other syndromes that may be similarly addressed include SH2B1 deficient obesity, more severely impacted forms of MC4R deficiency, Alström syndrome, and KSR2 deficient obesity. Another type of disease where DCCR may be efficacious is where hypoglycemia is a significant problem. Examples include hyperinsulinemic hypoglycemia and certain Glycogen Storage Diseases. We have orphan drug designation for the treatment of Glycogen Storage Disease Type 1a in the U.S.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360"/>
          </w:cols>
          <w:pgMar w:left="1440" w:top="1416" w:right="1440" w:bottom="175"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Diazoxide Choline Extended-Release Tablets</w:t>
      </w:r>
    </w:p>
    <w:p>
      <w:pPr>
        <w:spacing w:after="0" w:line="122" w:lineRule="exact"/>
        <w:rPr>
          <w:sz w:val="20"/>
          <w:szCs w:val="20"/>
          <w:color w:val="auto"/>
        </w:rPr>
      </w:pPr>
    </w:p>
    <w:p>
      <w:pPr>
        <w:ind w:right="280" w:firstLine="490"/>
        <w:spacing w:after="0" w:line="215" w:lineRule="auto"/>
        <w:rPr>
          <w:sz w:val="20"/>
          <w:szCs w:val="20"/>
          <w:color w:val="auto"/>
        </w:rPr>
      </w:pPr>
      <w:r>
        <w:rPr>
          <w:rFonts w:ascii="Times New Roman" w:cs="Times New Roman" w:eastAsia="Times New Roman" w:hAnsi="Times New Roman"/>
          <w:sz w:val="20"/>
          <w:szCs w:val="20"/>
          <w:color w:val="auto"/>
        </w:rPr>
        <w:t>DCCR tablets consist of the active ingredient diazoxide choline, a choline salt of diazoxide, which is a benzothiadiazine. Once solubilized from the formulation, diazoxide choline is rapidly converted to diazoxide prior to absorption. Diazoxide acts by stimulating ion flux through K</w:t>
      </w:r>
      <w:r>
        <w:rPr>
          <w:rFonts w:ascii="Times New Roman" w:cs="Times New Roman" w:eastAsia="Times New Roman" w:hAnsi="Times New Roman"/>
          <w:sz w:val="26"/>
          <w:szCs w:val="26"/>
          <w:color w:val="auto"/>
          <w:vertAlign w:val="subscript"/>
        </w:rPr>
        <w:t>ATP</w:t>
      </w:r>
      <w:r>
        <w:rPr>
          <w:rFonts w:ascii="Times New Roman" w:cs="Times New Roman" w:eastAsia="Times New Roman" w:hAnsi="Times New Roman"/>
          <w:sz w:val="20"/>
          <w:szCs w:val="20"/>
          <w:color w:val="auto"/>
        </w:rPr>
        <w:t xml:space="preserve"> channels and appears to act on signs and symptoms of PWS in a variety of ways. Activating the K</w:t>
      </w:r>
      <w:r>
        <w:rPr>
          <w:rFonts w:ascii="Times New Roman" w:cs="Times New Roman" w:eastAsia="Times New Roman" w:hAnsi="Times New Roman"/>
          <w:sz w:val="26"/>
          <w:szCs w:val="26"/>
          <w:color w:val="auto"/>
          <w:vertAlign w:val="subscript"/>
        </w:rPr>
        <w:t>ATP</w:t>
      </w:r>
      <w:r>
        <w:rPr>
          <w:rFonts w:ascii="Times New Roman" w:cs="Times New Roman" w:eastAsia="Times New Roman" w:hAnsi="Times New Roman"/>
          <w:sz w:val="20"/>
          <w:szCs w:val="20"/>
          <w:color w:val="auto"/>
        </w:rPr>
        <w:t xml:space="preserve"> channel in NPY/AgRP neurons in the hypothalamus may reduce secretion of neuropeptide Y (NPY), Agouti-related peptile (AgRP) and likely gamma-amino butyric acid (GABA) contributing to a reduction in hyperphagia. Activating the K</w:t>
      </w:r>
      <w:r>
        <w:rPr>
          <w:rFonts w:ascii="Times New Roman" w:cs="Times New Roman" w:eastAsia="Times New Roman" w:hAnsi="Times New Roman"/>
          <w:sz w:val="26"/>
          <w:szCs w:val="26"/>
          <w:color w:val="auto"/>
          <w:vertAlign w:val="subscript"/>
        </w:rPr>
        <w:t>ATP</w:t>
      </w:r>
      <w:r>
        <w:rPr>
          <w:rFonts w:ascii="Times New Roman" w:cs="Times New Roman" w:eastAsia="Times New Roman" w:hAnsi="Times New Roman"/>
          <w:sz w:val="20"/>
          <w:szCs w:val="20"/>
          <w:color w:val="auto"/>
        </w:rPr>
        <w:t xml:space="preserve"> channel in the dorsal motor nucleus of vagus may potentiate the effects of leptin, insulin and -melanocortin stimulating hormone to reduce hyperinsulinemia and impact appetite and satiety. Activating the K</w:t>
      </w:r>
      <w:r>
        <w:rPr>
          <w:rFonts w:ascii="Times New Roman" w:cs="Times New Roman" w:eastAsia="Times New Roman" w:hAnsi="Times New Roman"/>
          <w:sz w:val="26"/>
          <w:szCs w:val="26"/>
          <w:color w:val="auto"/>
          <w:vertAlign w:val="subscript"/>
        </w:rPr>
        <w:t>ATP</w:t>
      </w:r>
      <w:r>
        <w:rPr>
          <w:rFonts w:ascii="Times New Roman" w:cs="Times New Roman" w:eastAsia="Times New Roman" w:hAnsi="Times New Roman"/>
          <w:sz w:val="20"/>
          <w:szCs w:val="20"/>
          <w:color w:val="auto"/>
        </w:rPr>
        <w:t xml:space="preserve"> in pancreatic ß-cells can reduce the secretion of insulin, and further reduce the accumulation of excess body fat and the progression to insulin resistance. Activating the K </w:t>
      </w:r>
      <w:r>
        <w:rPr>
          <w:rFonts w:ascii="Times New Roman" w:cs="Times New Roman" w:eastAsia="Times New Roman" w:hAnsi="Times New Roman"/>
          <w:sz w:val="26"/>
          <w:szCs w:val="26"/>
          <w:color w:val="auto"/>
          <w:vertAlign w:val="subscript"/>
        </w:rPr>
        <w:t>ATP</w:t>
      </w:r>
      <w:r>
        <w:rPr>
          <w:rFonts w:ascii="Times New Roman" w:cs="Times New Roman" w:eastAsia="Times New Roman" w:hAnsi="Times New Roman"/>
          <w:sz w:val="20"/>
          <w:szCs w:val="20"/>
          <w:color w:val="auto"/>
        </w:rPr>
        <w:t xml:space="preserve"> channel in adipocytes has the potential to decrease de-novo triglyceride synthesis and increase ß-oxidation of fat, reducing fat mass.</w:t>
      </w:r>
    </w:p>
    <w:p>
      <w:pPr>
        <w:spacing w:after="0" w:line="90" w:lineRule="exact"/>
        <w:rPr>
          <w:sz w:val="20"/>
          <w:szCs w:val="20"/>
          <w:color w:val="auto"/>
        </w:rPr>
      </w:pPr>
    </w:p>
    <w:p>
      <w:pPr>
        <w:ind w:right="440" w:firstLine="490"/>
        <w:spacing w:after="0" w:line="244" w:lineRule="auto"/>
        <w:rPr>
          <w:sz w:val="20"/>
          <w:szCs w:val="20"/>
          <w:color w:val="auto"/>
        </w:rPr>
      </w:pPr>
      <w:r>
        <w:rPr>
          <w:rFonts w:ascii="Times New Roman" w:cs="Times New Roman" w:eastAsia="Times New Roman" w:hAnsi="Times New Roman"/>
          <w:sz w:val="20"/>
          <w:szCs w:val="20"/>
          <w:color w:val="auto"/>
        </w:rPr>
        <w:t>In the U.S., diazoxide was first approved in 1973 as an intravenous formulation for the emergency treatment of malignant hypertension. In 1976, immediate-release oral formulations including Proglycem® Oral Suspension and Capsules, or Proglycem, were approved, and there has been nearly 40 years of use of the 2-3 times a day, orally-administered drug product in the approved ultra-rare indications related to hyperinsulinism. Both the capsule and IV formulations have been withdrawn from the U.S. market for reasons other than safety. There is extensive data on short term and chronic use of Proglycem in children with congenital hyperinsulinism, or CHI, and in adults with insulinoma. Insulinoma patients tend to be older, with 50% of them over 70 years old. Published data have reported that the average duration of use of Proglycem in certain CHI and insulinoma patients is 5 years and 7 years, respectively.</w:t>
      </w:r>
    </w:p>
    <w:p>
      <w:pPr>
        <w:spacing w:after="0" w:line="198" w:lineRule="exact"/>
        <w:rPr>
          <w:sz w:val="20"/>
          <w:szCs w:val="20"/>
          <w:color w:val="auto"/>
        </w:rPr>
      </w:pPr>
    </w:p>
    <w:p>
      <w:pPr>
        <w:ind w:right="20" w:firstLine="490"/>
        <w:spacing w:after="0" w:line="236" w:lineRule="auto"/>
        <w:rPr>
          <w:sz w:val="20"/>
          <w:szCs w:val="20"/>
          <w:color w:val="auto"/>
        </w:rPr>
      </w:pPr>
      <w:r>
        <w:rPr>
          <w:rFonts w:ascii="Times New Roman" w:cs="Times New Roman" w:eastAsia="Times New Roman" w:hAnsi="Times New Roman"/>
          <w:sz w:val="20"/>
          <w:szCs w:val="20"/>
          <w:color w:val="auto"/>
        </w:rPr>
        <w:t>DCCR tablets were formulated with the goals of improving the safety and bioavailability of orally-administered diazoxide and reducing the frequency of dosing required by current diazoxide formulations. Diazoxide choline is formulated into an extended-release tablet that provides lower peak plasma concentration compared to diazoxide oral suspension and allows for the gradual release of diazoxide choline from DCCR, making it suitable for once-a-day dosing. The gradual release and absorption of diazoxide achieved using DCCR results in consistent intraday circulating drug levels potentially reducing the adverse events often associated with transiently high circulating drug levels and providing efficacy at lower diazoxide-equivalent doses.</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Prader-Willi Syndrome (PWS)</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PWS is a rare, complex neurobehavioral/metabolic disorder caused by the absence of normally active paternally expressed genes from the chromosome 15q11-q13 region. PWS is an imprinted condition with 60-65% of the cases due to a de novo deletion in the paternally inherited chromosome 15 11-q13 region, 30-35% from maternal uniparental disomy 15, or UPD, where the affected individual inherited 2 copies of the chromosome from their mother and no copy from their father, and the remaining 2-5% from either microdeletions or epimutations of the imprinting center (i.e., imprinting defects; IDs). The Committee on Genetics of the American Academy of Pediatrics states PWS affects both genders equally and occurs in people from all geographic regions; its estimated incidence is 1 in 15,000 live births. The mortality rate among PWS patients is 3% a year across all ages and 7% in those over 30 years of age. The mean age of death reported from a 40-year mortality study in the U.S. was 29.5 ± 15 years (range: 2 months—67 years).</w:t>
      </w:r>
    </w:p>
    <w:p>
      <w:pPr>
        <w:spacing w:after="0" w:line="202"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In addition to hyperphagia, typical behavioral disturbances associated with PWS include skin picking, difficulty with change in routine, obsessive and compulsive behaviors, anxiety and mood fluctuations. The majority of older adolescent and adult PWS patients display some degree of aggressive or threatening behaviors including being verbally aggressive, seeking to intimidate others, being physically aggressive including attacking others, destroying property, throwing temper tantrums and directing rage or anger at others.</w:t>
      </w:r>
    </w:p>
    <w:p>
      <w:pPr>
        <w:spacing w:after="0" w:line="197"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auto"/>
        </w:rPr>
        <w:t>PWS is typically thought of as a genetic obesity. However, many PWS patients today may not be obese because of increasing awareness among families and caregivers leading to significant control of access to food and its intake. However, patients remain hyperphagic and will typically have a higher body fat and lower lean body mass content compared to similarly obese individuals. They are prone to cardiometabolic issues such as abnormal lipid profiles, diabetes and hypertension associated with obesity once it is established. Other complications in PWS patients include greater risk for autistic symptomatology, psychosis, sleep disorders, distress, food stealing,</w:t>
      </w:r>
    </w:p>
    <w:p>
      <w:pPr>
        <w:sectPr>
          <w:pgSz w:w="12240" w:h="15840" w:orient="portrait"/>
          <w:cols w:equalWidth="0" w:num="1">
            <w:col w:w="9360"/>
          </w:cols>
          <w:pgMar w:left="1440" w:top="140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360"/>
          </w:cols>
          <w:pgMar w:left="1440" w:top="1408" w:right="1440" w:bottom="175" w:gutter="0" w:footer="0" w:header="0"/>
          <w:type w:val="continuous"/>
        </w:sectPr>
      </w:pPr>
    </w:p>
    <w:bookmarkStart w:id="5" w:name="page6"/>
    <w:bookmarkEnd w:id="5"/>
    <w:p>
      <w:pPr>
        <w:ind w:right="140"/>
        <w:spacing w:after="0" w:line="247" w:lineRule="auto"/>
        <w:rPr>
          <w:sz w:val="20"/>
          <w:szCs w:val="20"/>
          <w:color w:val="auto"/>
        </w:rPr>
      </w:pPr>
      <w:r>
        <w:rPr>
          <w:rFonts w:ascii="Times New Roman" w:cs="Times New Roman" w:eastAsia="Times New Roman" w:hAnsi="Times New Roman"/>
          <w:sz w:val="20"/>
          <w:szCs w:val="20"/>
          <w:color w:val="auto"/>
        </w:rPr>
        <w:t>withdrawal, sulking, nail-biting, hoarding and overeating, and more pronounced attention-deficit hyperactivity disorder symptoms, insistence on sameness, and their association with maladaptive conduct problems. Cognitively, most individuals with PWS function in the mild intellectual disability range with a mean IQ in the 60s to low 70s. The combination of food-related preoccupations and numerous maladaptive behaviors make it difficult for individuals with PWS to perform to their IQ potential. Some older adolescents and many adults reach a stage at which they can no longer be effectively managed in the home and therefore transition to institutional care.</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Unmet Medical Needs in PWS</w:t>
      </w:r>
    </w:p>
    <w:p>
      <w:pPr>
        <w:spacing w:after="0" w:line="12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 xml:space="preserve">The target indication for DCCR is the treatment of PWS. Currently, the only approved treatment related to PWS is growth hormone which addresses the short stature associated with PWS but has no effect on hyperphagia. A global patient survey conducted by the Foundation for Prader-Willi Research (n=779), found that 96.5% of respondents rated reducing hunger and 91.2% rated improving behavior around food as a very important or the most important symptom to be relieved by a new treatment - </w:t>
      </w:r>
      <w:r>
        <w:rPr>
          <w:rFonts w:ascii="Arial" w:cs="Arial" w:eastAsia="Arial" w:hAnsi="Arial"/>
          <w:sz w:val="18"/>
          <w:szCs w:val="18"/>
          <w:color w:val="auto"/>
        </w:rPr>
        <w:t>https://www.fpwr.org/pws-patient-voices</w:t>
      </w:r>
      <w:r>
        <w:rPr>
          <w:rFonts w:ascii="Times New Roman" w:cs="Times New Roman" w:eastAsia="Times New Roman" w:hAnsi="Times New Roman"/>
          <w:sz w:val="20"/>
          <w:szCs w:val="20"/>
          <w:color w:val="auto"/>
        </w:rPr>
        <w:t>. Physical function and body composition symptoms for which a high percentage of respondents indicated were very important or most important included: 92.9% indicated improving metabolic health (reduces fat / increases muscle) and 81.3% indicated the related symptom of improving activity and stamina. The behavioral and cognitive symptoms rated by respondents as very or most important were: 85.2% indicated reduction of obsessive/compulsive behavior, 84.6% indicated improvements to intellect/development, and 83.2% indicated reduction of temper outburst severity and frequency.</w:t>
      </w:r>
    </w:p>
    <w:p>
      <w:pPr>
        <w:spacing w:after="0" w:line="208" w:lineRule="exact"/>
        <w:rPr>
          <w:sz w:val="20"/>
          <w:szCs w:val="20"/>
          <w:color w:val="auto"/>
        </w:rPr>
      </w:pPr>
    </w:p>
    <w:p>
      <w:pPr>
        <w:jc w:val="both"/>
        <w:ind w:right="160" w:firstLine="490"/>
        <w:spacing w:after="0" w:line="258" w:lineRule="auto"/>
        <w:rPr>
          <w:sz w:val="20"/>
          <w:szCs w:val="20"/>
          <w:color w:val="auto"/>
        </w:rPr>
      </w:pPr>
      <w:r>
        <w:rPr>
          <w:rFonts w:ascii="Times New Roman" w:cs="Times New Roman" w:eastAsia="Times New Roman" w:hAnsi="Times New Roman"/>
          <w:sz w:val="20"/>
          <w:szCs w:val="20"/>
          <w:color w:val="auto"/>
        </w:rPr>
        <w:t>Therefore, there is a clear unmet need in the treatment of PWS to reduce hyperphagia and improve behaviors around food, and to reduce other behavioral and cognitive impacts of this complex disease. In addition, improving metabolic health is also an important unmet need.</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Clinical Trials of DCCR for PWS</w:t>
      </w:r>
    </w:p>
    <w:p>
      <w:pPr>
        <w:spacing w:after="0" w:line="24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A Phase 2 clinical trial was conducted to evaluate the safety and preliminary efficacy of DCCR in the treatment of PWS subjects. This study, PC025, was a single-center, randomized withdrawal study and enrolled 13 overweight and obese subjects with genetically-confirmed PWS who were between the ages of 11 and 21. The first phase of the study was open-label during which subjects were initiated on a DCCR dose that was escalated every 14 days at the discretion of the investigator. Any subject who showed any increase in resting energy expenditure and/or a reduction in hyperphagia from baseline at certain study visits would be designated a responder, whereas all others would be designated non-responders. This 10-week open-label treatment phase was followed by randomized double-blind, placebo-controlled, withdrawal phase.</w:t>
      </w:r>
    </w:p>
    <w:p>
      <w:pPr>
        <w:spacing w:after="0" w:line="202"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auto"/>
        </w:rPr>
        <w:t>Responders were randomized in a 1:1 ratio either to continue on active treatment at the dose they were treated with, or to the placebo equivalent of that dose for an additional 4 weeks. Of the 13 subjects who enrolled, 11 completed the open-label phase and all were designated as responders; the remaining two subjects had discontinued prematurely.</w:t>
      </w:r>
    </w:p>
    <w:p>
      <w:pPr>
        <w:spacing w:after="0" w:line="194"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auto"/>
        </w:rPr>
        <w:t>Key efficacy results included a statistically significant reduction in hyperphagia from baseline to the end of the open-label treatment phase. In addition, greater improvement in hyperphagia from baseline was observed in those subjects with moderate to severe hyperphagia who received higher DCCR doses. There was a significant improvement in the number of subjects reporting one or more aggressive and destructive behaviors. During the open-label treatment phase, a mean decrease in body fat mass and increases in lean body mass and lean body mass / fat mass ratio were seen. These changes were associated with a statistically significant reduction in waist circumference, consistent with the loss of visceral fat. Statistically significant reductions from baseline in LDL cholesterol and non-HDL cholesterol were observed.</w:t>
      </w:r>
    </w:p>
    <w:p>
      <w:pPr>
        <w:spacing w:after="0" w:line="202"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As described above in the Company Overview, a Phase 3 clinical trial, DESTINY PWS, was subsequently conducted to evaluate the efficacy and safety of DCCR in patients with genetically-confirmed PWS. Top-line results were reported in June 2020. Although the trial did not meet its primary endpoint of change from baseline in hyperphagia, significant improvements were observed in two of three key secondary endpoints. Subjects who complete the DESTINY PWS study were allowed to enroll in a long-term, safety extension study (C602). In September 2021, we announced top-line results from the analysis of one-year data from C602 showing statistically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360"/>
          </w:cols>
          <w:pgMar w:left="1440" w:top="1420" w:right="1440" w:bottom="175" w:gutter="0" w:footer="0" w:header="0"/>
          <w:type w:val="continuous"/>
        </w:sectPr>
      </w:pPr>
    </w:p>
    <w:bookmarkStart w:id="6" w:name="page7"/>
    <w:bookmarkEnd w:id="6"/>
    <w:p>
      <w:pPr>
        <w:ind w:right="380"/>
        <w:spacing w:after="0" w:line="252" w:lineRule="auto"/>
        <w:rPr>
          <w:sz w:val="20"/>
          <w:szCs w:val="20"/>
          <w:color w:val="auto"/>
        </w:rPr>
      </w:pPr>
      <w:r>
        <w:rPr>
          <w:rFonts w:ascii="Times New Roman" w:cs="Times New Roman" w:eastAsia="Times New Roman" w:hAnsi="Times New Roman"/>
          <w:sz w:val="20"/>
          <w:szCs w:val="20"/>
          <w:color w:val="auto"/>
        </w:rPr>
        <w:t>significant reduction in hyperphagia and all other PWS behavioral parameters and statistically significant improvements compared to the natural history of PWS from the PATH for PWS Study (PfPWS) over a one year treatment period. PfPWS is an ongoing study sponsored by the Foundation for Prader Willi Research (FPWR) evaluating the natural history of subjects with PWS in more than 700 families.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Safety of DCCR in the Treatment of PWS</w:t>
      </w:r>
    </w:p>
    <w:p>
      <w:pPr>
        <w:spacing w:after="0" w:line="24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In the DESTINY-PWS clinical trial (C601), treatment emergent adverse events (TEAEs) occurred in 83.3% of DCCR treated subjects and 73.8% of placebo treated subjects. The most common TEAEs in both groups included hypertrichosis, hirsutism, upper respiratory tract infections, peripheral edema, headache and hyperglycemia. Hypertrichosis, peripheral edema, and hyperglycemia occurring more frequently in the DCCR group, headache occurred more frequently in the placebo group, and hirsutism and upper respiratory tract infections occurring with almost equal frequency in the two groups.</w:t>
      </w:r>
    </w:p>
    <w:p>
      <w:pPr>
        <w:spacing w:after="0" w:line="190" w:lineRule="exact"/>
        <w:rPr>
          <w:sz w:val="20"/>
          <w:szCs w:val="20"/>
          <w:color w:val="auto"/>
        </w:rPr>
      </w:pPr>
    </w:p>
    <w:p>
      <w:pPr>
        <w:jc w:val="both"/>
        <w:ind w:right="160" w:firstLine="490"/>
        <w:spacing w:after="0" w:line="258" w:lineRule="auto"/>
        <w:rPr>
          <w:sz w:val="20"/>
          <w:szCs w:val="20"/>
          <w:color w:val="auto"/>
        </w:rPr>
      </w:pPr>
      <w:r>
        <w:rPr>
          <w:rFonts w:ascii="Times New Roman" w:cs="Times New Roman" w:eastAsia="Times New Roman" w:hAnsi="Times New Roman"/>
          <w:sz w:val="20"/>
          <w:szCs w:val="20"/>
          <w:color w:val="auto"/>
        </w:rPr>
        <w:t>The safety profile of DCCR in C601 was generally consistent with the known safety profile of diazoxide and prior experience with DCCR. Most events were Grade 1 in severity with no Grade 4 or higher events. There were no reportable serious unexpected adverse events (SUSARs) related to DCCR in clinical study C601.</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Regulatory Status of DCCR for the Treatment of PWS</w:t>
      </w:r>
    </w:p>
    <w:p>
      <w:pPr>
        <w:spacing w:after="0" w:line="242" w:lineRule="exact"/>
        <w:rPr>
          <w:sz w:val="20"/>
          <w:szCs w:val="20"/>
          <w:color w:val="auto"/>
        </w:rPr>
      </w:pPr>
    </w:p>
    <w:p>
      <w:pPr>
        <w:ind w:right="380" w:firstLine="446"/>
        <w:spacing w:after="0" w:line="247" w:lineRule="auto"/>
        <w:rPr>
          <w:sz w:val="20"/>
          <w:szCs w:val="20"/>
          <w:color w:val="auto"/>
        </w:rPr>
      </w:pPr>
      <w:r>
        <w:rPr>
          <w:rFonts w:ascii="Times New Roman" w:cs="Times New Roman" w:eastAsia="Times New Roman" w:hAnsi="Times New Roman"/>
          <w:sz w:val="20"/>
          <w:szCs w:val="20"/>
          <w:color w:val="auto"/>
        </w:rPr>
        <w:t>Diazoxide choline is being developed in the U.S. under a current Investigational New Drug Application (IND) and is designated as an Orphan Drug for the treatment of PWS in the U.S. and Europe and granted Fast Track designation in the U.S. If certain criteria are met, DCCR may be eligible for “Accelerated Approval” and “Priority Review” and also “Rolling Review”, which would allow us to submit to the FDA sections of our NDA as they are finished instead of waiting for all sections to be completed before submitting the marketing application. The current status of our Phase 3 clinical trial is described above in the Company Overview.</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Market opportunity</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An estimated 300,000 to 400,000 individuals worldwide have PWS with a birth incidence ranging from 1:15,000 to 1:25,000. In addition, according to an abstract published in the Journal of Endocrine Society, a 2020 review of medical claims provided by IQVIA Health Plan and CMS Medicare fee-for-service claim data, demonstrated a U.S. diagnosed PWS prevalence of approximately 9,000 patients in the United States in 2018. The numbers of identified PWS patients is growing at a rate that is higher than the rate of general population because of improved rates of diagnosis. DCCR may be the first effective treatment for hyperphagia in PWS patients to reach the market both in the U.S. and Europe and may therefore be likely to be used in a large proportion of patients.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w:t>
      </w:r>
    </w:p>
    <w:p>
      <w:pPr>
        <w:spacing w:after="0" w:line="12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Newly diagnosed PWS patients are typically treated by a multi-disciplinary team led by a pediatric endocrinologist. Many patients receive care at larger clinics devoted to PWS in university-associated hospitals or at children’s hospitals. This concentration of care may allow us to market DCCR without a partner by assembling a small, dedicated salesforce to target the limited number of major PWS treatment centers in the U.S. We believe similar dynamics exist in Europe. In contrast, we will likely need to identify a marketing partner for DCCR in Japan, and the rest of the world. The final decision on sales and marketing strategy will be made at a later date.</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Pricing</w:t>
      </w:r>
    </w:p>
    <w:p>
      <w:pPr>
        <w:spacing w:after="0" w:line="120" w:lineRule="exact"/>
        <w:rPr>
          <w:sz w:val="20"/>
          <w:szCs w:val="20"/>
          <w:color w:val="auto"/>
        </w:rPr>
      </w:pPr>
    </w:p>
    <w:p>
      <w:pPr>
        <w:jc w:val="both"/>
        <w:ind w:right="140" w:firstLine="490"/>
        <w:spacing w:after="0" w:line="258" w:lineRule="auto"/>
        <w:rPr>
          <w:sz w:val="20"/>
          <w:szCs w:val="20"/>
          <w:color w:val="auto"/>
        </w:rPr>
      </w:pPr>
      <w:r>
        <w:rPr>
          <w:rFonts w:ascii="Times New Roman" w:cs="Times New Roman" w:eastAsia="Times New Roman" w:hAnsi="Times New Roman"/>
          <w:sz w:val="20"/>
          <w:szCs w:val="20"/>
          <w:color w:val="auto"/>
        </w:rPr>
        <w:t>We have not conducted a formal pricing analysis of DCCR in PWS. We anticipate that pricing at launch may be influenced by the product label negotiated with the FDA, pharmacoeconomic data developed to support pricing and the potential for greater sales under negotiated government contracts.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Competition</w:t>
      </w:r>
    </w:p>
    <w:p>
      <w:pPr>
        <w:spacing w:after="0" w:line="120" w:lineRule="exact"/>
        <w:rPr>
          <w:sz w:val="20"/>
          <w:szCs w:val="20"/>
          <w:color w:val="auto"/>
        </w:rPr>
      </w:pPr>
    </w:p>
    <w:p>
      <w:pPr>
        <w:jc w:val="both"/>
        <w:ind w:right="40" w:firstLine="490"/>
        <w:spacing w:after="0" w:line="258" w:lineRule="auto"/>
        <w:rPr>
          <w:sz w:val="20"/>
          <w:szCs w:val="20"/>
          <w:color w:val="auto"/>
        </w:rPr>
      </w:pPr>
      <w:r>
        <w:rPr>
          <w:rFonts w:ascii="Times New Roman" w:cs="Times New Roman" w:eastAsia="Times New Roman" w:hAnsi="Times New Roman"/>
          <w:sz w:val="20"/>
          <w:szCs w:val="20"/>
          <w:color w:val="auto"/>
        </w:rPr>
        <w:t>Currently, the only approved products for PWS are Genotropin® (somatropin), and Omnitrope® (somatropin) which are approved only for growth failure due to PWS. There are no approved products to address PWS-associated hyperphagia and behaviors, or for any other abnormalities associated with the disease. However, to our knowledge,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360"/>
          </w:cols>
          <w:pgMar w:left="1440" w:top="1420" w:right="1440" w:bottom="175" w:gutter="0" w:footer="0" w:header="0"/>
          <w:type w:val="continuous"/>
        </w:sectPr>
      </w:pPr>
    </w:p>
    <w:bookmarkStart w:id="7" w:name="page8"/>
    <w:bookmarkEnd w:id="7"/>
    <w:p>
      <w:pPr>
        <w:ind w:right="560"/>
        <w:spacing w:after="0" w:line="277" w:lineRule="auto"/>
        <w:rPr>
          <w:sz w:val="20"/>
          <w:szCs w:val="20"/>
          <w:color w:val="auto"/>
        </w:rPr>
      </w:pPr>
      <w:r>
        <w:rPr>
          <w:rFonts w:ascii="Times New Roman" w:cs="Times New Roman" w:eastAsia="Times New Roman" w:hAnsi="Times New Roman"/>
          <w:sz w:val="20"/>
          <w:szCs w:val="20"/>
          <w:color w:val="auto"/>
        </w:rPr>
        <w:t>there are a number of therapeutic products at various stages of clinical development for the treatment of PWS, including for hyperphagia, by Gedeon Richter, Aardvark Therapeutics, and Consynance.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Pharmaceuticals</w:t>
      </w:r>
    </w:p>
    <w:p>
      <w:pPr>
        <w:spacing w:after="0" w:line="120"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auto"/>
        </w:rPr>
        <w:t>Our manufacturing strategy is to contract with third parties to manufacture our clinical and commercial API and drug product supplies.</w:t>
      </w:r>
    </w:p>
    <w:p>
      <w:pPr>
        <w:spacing w:after="0" w:line="169"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auto"/>
        </w:rPr>
        <w:t>The formulation and processes used to manufacture our products are proprietary, being covered by multiple issued U.S. patents and counterparts in other regions of the world, and we have agreements with various third-party manufacturers that are intended to restrict these manufacturers from using or revealing any unpublished proprietary information.</w:t>
      </w:r>
    </w:p>
    <w:p>
      <w:pPr>
        <w:spacing w:after="0" w:line="194"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auto"/>
        </w:rPr>
        <w:t>Our third-party manufacturers and corporate partners are independent entities who are subject to their own operational and financial risks over which we have no control. If we or any of these third-party manufacturers fail to perform as required, this could cause delays in our clinical trials and regulatory applications and submission.</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Regulation of Pharmaceutical Manufacturing Processes</w:t>
      </w:r>
    </w:p>
    <w:p>
      <w:pPr>
        <w:spacing w:after="0" w:line="12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The manufacturing process for pharmaceutical products is highly regulated and regulators may shut down manufacturing facilities that they believe do not comply with regulations, legislations, and/or guidelines. We and our third-party manufacturers are subject to current Good Manufacturing Practices, which are extensive regulations governing manufacturing processes, stability testing, record keeping, and quality standards as defined by the FDA and the EMA. Similar regulations and requirements are in effect in other countries.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DCCR Patent Portfolio</w:t>
      </w:r>
    </w:p>
    <w:p>
      <w:pPr>
        <w:spacing w:after="0" w:line="12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Our patent portfolio consists of issued U.S. patents and pending U.S. applications. Our issued U.S. patents expire in 2025 to 2035. We also have one or more issued patents in Europe, Canada, Japan, China, India, Israel, Hong Kong, Australia, Malaysia, Mexico, New Zealand, Singapore, Indonesia, Korea, and Eurasia. We are prosecuting numerous patent applications in major pharmaceutical markets around the world. The issued patents and pending patent applications include protection of compositions, methods of manufacturing, pharmaceutical formulations, and methods of treating aspects of PWS and Smith-Magenis syndrome (SMS).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 - Pharmaceuticals</w:t>
      </w:r>
    </w:p>
    <w:p>
      <w:pPr>
        <w:spacing w:after="0" w:line="124" w:lineRule="exact"/>
        <w:rPr>
          <w:sz w:val="20"/>
          <w:szCs w:val="20"/>
          <w:color w:val="auto"/>
        </w:rPr>
      </w:pPr>
    </w:p>
    <w:p>
      <w:pPr>
        <w:jc w:val="both"/>
        <w:ind w:right="80" w:firstLine="490"/>
        <w:spacing w:after="0" w:line="249" w:lineRule="auto"/>
        <w:rPr>
          <w:sz w:val="20"/>
          <w:szCs w:val="20"/>
          <w:color w:val="auto"/>
        </w:rPr>
      </w:pPr>
      <w:r>
        <w:rPr>
          <w:rFonts w:ascii="Times New Roman" w:cs="Times New Roman" w:eastAsia="Times New Roman" w:hAnsi="Times New Roman"/>
          <w:sz w:val="20"/>
          <w:szCs w:val="20"/>
          <w:color w:val="auto"/>
        </w:rPr>
        <w:t>Our operations and activities are subject to extensive regulation by government authorities in the U.S. and in other countries in which we elect to develop and/or commercialize our products. Our developmental drug products are subject to rigorous regulation. Federal and state statutes and regulations govern the testing, manufacture, safety, efficacy, labeling, storage, record keeping, approval, advertising and promotion of our products. As a result of these regulations, product development and product approval processes are very expensive and time consuming.</w:t>
      </w:r>
    </w:p>
    <w:p>
      <w:pPr>
        <w:spacing w:after="0" w:line="197"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auto"/>
        </w:rPr>
        <w:t>A country’s regulatory agency, such as the FDA in the U.S., or a region’s agency, such as the EMA for the E.U., must approve a drug before it can be sold in the respective country or countries. The general process for drug approval in the U.S. is summarized below. Many other countries, including countries in the E.U. and Japan, have very similar regulatory approval processes.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Nonclinical Testing</w:t>
      </w:r>
    </w:p>
    <w:p>
      <w:pPr>
        <w:spacing w:after="0" w:line="120" w:lineRule="exact"/>
        <w:rPr>
          <w:sz w:val="20"/>
          <w:szCs w:val="20"/>
          <w:color w:val="auto"/>
        </w:rPr>
      </w:pPr>
    </w:p>
    <w:p>
      <w:pPr>
        <w:ind w:right="160" w:firstLine="490"/>
        <w:spacing w:after="0" w:line="305" w:lineRule="auto"/>
        <w:rPr>
          <w:sz w:val="20"/>
          <w:szCs w:val="20"/>
          <w:color w:val="auto"/>
        </w:rPr>
      </w:pPr>
      <w:r>
        <w:rPr>
          <w:rFonts w:ascii="Times New Roman" w:cs="Times New Roman" w:eastAsia="Times New Roman" w:hAnsi="Times New Roman"/>
          <w:sz w:val="19"/>
          <w:szCs w:val="19"/>
          <w:color w:val="auto"/>
        </w:rPr>
        <w:t>Before a drug candidate can be tested in humans, it must be studied in laboratory experiments and in animals to generate data to support the drug candidate’s potential benefits and/or safety. Additional nonclinical testing may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360"/>
          </w:cols>
          <w:pgMar w:left="1440" w:top="1420" w:right="1440" w:bottom="175"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color w:val="auto"/>
        </w:rPr>
        <w:t>be required during the clinical development process such as reproductive toxicology and juvenile toxicology studies.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Carcinogenicity studies in two species are generally required for products intended for long-term use.</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Investigational New Drug Exemption Application (IND)</w:t>
      </w:r>
    </w:p>
    <w:p>
      <w:pPr>
        <w:spacing w:after="0" w:line="12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The results of initial nonclinical tests, together with manufacturing information, analytical data and a proposed clinical trial protocol and other information, are submitted as part of an IND to the FDA. If the FDA does not identify significant issues during the initial 30-day IND review, the drug candidate can then be studied in human clinical trials to determine if the drug candidate is safe and effective. Each clinical trial protocol and/or amendment, new nonclinical data, and/or new or revised manufacturing information must be submitted to the IND, and the FDA has 30 days to complete its review of each submission.</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Clinical Trials</w:t>
      </w:r>
    </w:p>
    <w:p>
      <w:pPr>
        <w:spacing w:after="0" w:line="120" w:lineRule="exact"/>
        <w:rPr>
          <w:sz w:val="20"/>
          <w:szCs w:val="20"/>
          <w:color w:val="auto"/>
        </w:rPr>
      </w:pPr>
    </w:p>
    <w:p>
      <w:pPr>
        <w:ind w:right="700" w:firstLine="490"/>
        <w:spacing w:after="0" w:line="277" w:lineRule="auto"/>
        <w:rPr>
          <w:sz w:val="20"/>
          <w:szCs w:val="20"/>
          <w:color w:val="auto"/>
        </w:rPr>
      </w:pPr>
      <w:r>
        <w:rPr>
          <w:rFonts w:ascii="Times New Roman" w:cs="Times New Roman" w:eastAsia="Times New Roman" w:hAnsi="Times New Roman"/>
          <w:sz w:val="20"/>
          <w:szCs w:val="20"/>
          <w:color w:val="auto"/>
        </w:rPr>
        <w:t>These clinical trials involve three separate phases that often overlap, can take many years and are very expensive. These three phases, which are subject to considerable regulation, are as follows:</w:t>
      </w:r>
    </w:p>
    <w:p>
      <w:pPr>
        <w:spacing w:after="0" w:line="169"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i w:val="1"/>
          <w:iCs w:val="1"/>
          <w:color w:val="auto"/>
        </w:rPr>
        <w:t>Phase 1 Studies</w:t>
      </w:r>
      <w:r>
        <w:rPr>
          <w:rFonts w:ascii="Times New Roman" w:cs="Times New Roman" w:eastAsia="Times New Roman" w:hAnsi="Times New Roman"/>
          <w:sz w:val="20"/>
          <w:szCs w:val="20"/>
          <w:color w:val="auto"/>
        </w:rPr>
        <w:t>. During Phase 1 studies, researchers test a new drug in healthy volunteers. In most cases, 20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80 healthy volunteers participate in Phase 1. Phase 1 studies are closely monitored and gather information about how a drug interacts with the human body. Researchers adjust dosing schemes based on animal data to find out how much of a drug the body can tolerate and what its acute side effects are. As a Phase 1 trial continues, researchers answer research questions related to how it works in the body, the side effects associated with increased dosage, and early information about how effective it is to determine how best to administer the drug to limit risks and maximize possible benefits. This is important to the design of Phase 2 studies.</w:t>
      </w:r>
    </w:p>
    <w:p>
      <w:pPr>
        <w:spacing w:after="0" w:line="20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i w:val="1"/>
          <w:iCs w:val="1"/>
          <w:color w:val="auto"/>
        </w:rPr>
        <w:t>Phase 2 Studies</w:t>
      </w:r>
      <w:r>
        <w:rPr>
          <w:rFonts w:ascii="Times New Roman" w:cs="Times New Roman" w:eastAsia="Times New Roman" w:hAnsi="Times New Roman"/>
          <w:sz w:val="20"/>
          <w:szCs w:val="20"/>
          <w:color w:val="auto"/>
        </w:rPr>
        <w:t>. In Phase 2 studies, researchers administer the drug to a group of people with the disease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condition for which the drug is being developed. Typically involving up to a few hundred patients, these studies are not large enough to show whether the drug will be beneficial. The use of new study designs, such as adaptive designs, can decrease the number of patients required. Instead, Phase 2 studies provide researchers with additional safety data. Researchers use these data to refine research questions, develop research methods, identify target doses, and design new Phase 3 research protocols.</w:t>
      </w:r>
    </w:p>
    <w:p>
      <w:pPr>
        <w:spacing w:after="0" w:line="20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i w:val="1"/>
          <w:iCs w:val="1"/>
          <w:color w:val="auto"/>
        </w:rPr>
        <w:t>Phase 3 Studies</w:t>
      </w:r>
      <w:r>
        <w:rPr>
          <w:rFonts w:ascii="Times New Roman" w:cs="Times New Roman" w:eastAsia="Times New Roman" w:hAnsi="Times New Roman"/>
          <w:sz w:val="20"/>
          <w:szCs w:val="20"/>
          <w:color w:val="auto"/>
        </w:rPr>
        <w:t>. Researchers design Phase 3 studies to demonstrate whether or not a product offers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treatment benefit to a specific population. Sometimes known as pivotal studies, these studies generally involve a larger number of participants than do Phase 2 studies. Phase 3 studies provide most of the safety data. In Phase 3 studies, it is possible that less common side effects might have gone undetected. Because these studies are larger and longer in duration, the results are more likely to show long-term or rare side effects.</w:t>
      </w:r>
    </w:p>
    <w:p>
      <w:pPr>
        <w:spacing w:after="0" w:line="197" w:lineRule="exact"/>
        <w:rPr>
          <w:sz w:val="20"/>
          <w:szCs w:val="20"/>
          <w:color w:val="auto"/>
        </w:rPr>
      </w:pPr>
    </w:p>
    <w:p>
      <w:pPr>
        <w:ind w:right="200" w:firstLine="490"/>
        <w:spacing w:after="0" w:line="263" w:lineRule="auto"/>
        <w:rPr>
          <w:sz w:val="20"/>
          <w:szCs w:val="20"/>
          <w:color w:val="auto"/>
        </w:rPr>
      </w:pPr>
      <w:r>
        <w:rPr>
          <w:rFonts w:ascii="Times New Roman" w:cs="Times New Roman" w:eastAsia="Times New Roman" w:hAnsi="Times New Roman"/>
          <w:sz w:val="19"/>
          <w:szCs w:val="19"/>
          <w:color w:val="auto"/>
        </w:rPr>
        <w:t>For each clinical trial, an institutional review board (IRB) or independent ethics committee (IEC), covering each site proposing to conduct a clinical trial must review and approve the plan for any clinical trial and written informed consent or assent information for subjects before the trial commences at that site and it must monitor the study until completed. The FDA, other heath authority, the IRB/IEC, or the sponsor may suspend a clinical trial at any time on various grounds, including a finding that the subjects or patients are being exposed to an unacceptable health risk or for failure to comply with the IRB/IEC’s requirements, or may impose other conditions.</w:t>
      </w:r>
    </w:p>
    <w:p>
      <w:pPr>
        <w:spacing w:after="0" w:line="183"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Clinical trials involve the administration of an investigational drug to human subjects under the supervision of qualified investigators in accordance with good clinical practices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spacing w:after="0" w:line="197"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auto"/>
        </w:rPr>
        <w:t>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360"/>
          </w:cols>
          <w:pgMar w:left="1440" w:top="1420" w:right="1440" w:bottom="175" w:gutter="0" w:footer="0" w:header="0"/>
          <w:type w:val="continuous"/>
        </w:sectPr>
      </w:pPr>
    </w:p>
    <w:bookmarkStart w:id="9" w:name="page10"/>
    <w:bookmarkEnd w:id="9"/>
    <w:p>
      <w:pPr>
        <w:ind w:right="320"/>
        <w:spacing w:after="0" w:line="277" w:lineRule="auto"/>
        <w:rPr>
          <w:sz w:val="20"/>
          <w:szCs w:val="20"/>
          <w:color w:val="auto"/>
        </w:rPr>
      </w:pPr>
      <w:r>
        <w:rPr>
          <w:rFonts w:ascii="Times New Roman" w:cs="Times New Roman" w:eastAsia="Times New Roman" w:hAnsi="Times New Roman"/>
          <w:sz w:val="20"/>
          <w:szCs w:val="20"/>
          <w:color w:val="auto"/>
        </w:rPr>
        <w:t>that the patients are being exposed to an unacceptable health risk or if the drug candidate does not appear to have sufficient treatment benefit.</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FDA Approval Process</w:t>
      </w:r>
    </w:p>
    <w:p>
      <w:pPr>
        <w:spacing w:after="0" w:line="24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When we believe that the data from our clinical trials show an adequate level of safety and efficacy, we would intend to submit an application to market the drug for a particular use, an NDA or BLA with the FDA. The FDA may hold a public hearing where an independent advisory committee of expert advisors asks additional questions and makes recommendations regarding the drug candidate. This committee makes recommendations to the FDA that are not binding but are generally followed by the FDA. If the FDA agrees that the compound has met the required level of safety and efficacy for a particular use, it will allow the drug product to be marketed in the U.S. and sold for that use. It is not unusual, however, for the FDA to reject an application because it believes that the risks of the drug candidate outweigh the purported benefit or because it does not believe that the data submitted are reliable or conclusive. The FDA may also issue a Complete Response Letter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w:t>
      </w:r>
    </w:p>
    <w:p>
      <w:pPr>
        <w:spacing w:after="0" w:line="211"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The FDA may also require Phase 4 non-registrational studies to explore scientific questions to further characterize safety and efficacy during commercial use of our drug. The FDA may also require us to provide additional data or information, improve our manufacturing processes, procedures or facilities or may require extensive surveillance to monitor the safety or benefits of our product candidates if it determines that our filing does not contain adequate evidence of the safety and benefits of the drug. In addition, even if the FDA approves a drug, it could limit the uses of the drug. The FDA can withdraw approvals if it does not believe that we are complying with regulatory standards or if problems are uncovered or occur after approval.</w:t>
      </w:r>
    </w:p>
    <w:p>
      <w:pPr>
        <w:spacing w:after="0" w:line="20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In addition to obtaining FDA approval for our drug, the manufacturing facilities of the companies who manufacture our drugs for us must also be approved. These facilities are subject to periodic inspections by the FDA. The FDA must also approve foreign establishments that manufacture products to be sold in the U.S. and these facilities are subject to periodic regulatory inspection.</w:t>
      </w:r>
    </w:p>
    <w:p>
      <w:pPr>
        <w:spacing w:after="0" w:line="194"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auto"/>
        </w:rPr>
        <w:t>Once issued, the FDA may withdraw product approval if ongoing regulatory requirements are not met or if safety problems are identified after the product reaches the market. In addition, the FDA may require post-approval testing, including Phase 4 studies, and surveillance programs to monitor the effect of approved products which have been commercialized, and the FDA has the authority to prevent or limit further marketing of a product based on the results of these post-marketing programs.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 required to submit and obtain FDA approval of a new or supplemental NDA, which may require the development of additional data or conduct of additional pre-clinical studies and clinical trials.</w:t>
      </w:r>
    </w:p>
    <w:p>
      <w:pPr>
        <w:spacing w:after="0" w:line="208"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auto"/>
        </w:rPr>
        <w:t>Drugs that treat serious or life-threatening diseases and conditions that are not adequately addressed by existing drugs, and for which the development program is designed to address the unmet medical need, may be designated as fast track and/or breakthrough candidates by the FDA and may be eligible for accelerated and priority review.</w:t>
      </w:r>
    </w:p>
    <w:p>
      <w:pPr>
        <w:spacing w:after="0" w:line="194"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auto"/>
        </w:rPr>
        <w:t>Drugs that are developed for rare diseases (i.e., in the U.S., the disease or condition has an prevalence of less than 200,000 persons; in the E.U., the prevalence of the condition must be not more than 5 in 10,000) can be designated as “Orphan Drugs”. In the U.S., orphan-designated drugs are granted up to 7-year market exclusivity. In the E.U., products granted orphan designation are subject to reduced fees for protocol assistance, marketing</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360"/>
          </w:cols>
          <w:pgMar w:left="1440" w:top="1420" w:right="1440" w:bottom="175" w:gutter="0" w:footer="0" w:header="0"/>
          <w:type w:val="continuous"/>
        </w:sectPr>
      </w:pPr>
    </w:p>
    <w:bookmarkStart w:id="10" w:name="page11"/>
    <w:bookmarkEnd w:id="10"/>
    <w:p>
      <w:pPr>
        <w:ind w:right="280"/>
        <w:spacing w:after="0" w:line="305" w:lineRule="auto"/>
        <w:rPr>
          <w:sz w:val="20"/>
          <w:szCs w:val="20"/>
          <w:color w:val="auto"/>
        </w:rPr>
      </w:pPr>
      <w:r>
        <w:rPr>
          <w:rFonts w:ascii="Times New Roman" w:cs="Times New Roman" w:eastAsia="Times New Roman" w:hAnsi="Times New Roman"/>
          <w:sz w:val="19"/>
          <w:szCs w:val="19"/>
          <w:color w:val="auto"/>
        </w:rPr>
        <w:t>authorization applications, inspections before authorization, applications for changes to marketing authorizations, and annual fees, access to the centralized authorization procedure, and 10 years of market exclusivity.</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Ongoing Regulation</w:t>
      </w:r>
    </w:p>
    <w:p>
      <w:pPr>
        <w:spacing w:after="0" w:line="120" w:lineRule="exact"/>
        <w:rPr>
          <w:sz w:val="20"/>
          <w:szCs w:val="20"/>
          <w:color w:val="auto"/>
        </w:rPr>
      </w:pPr>
    </w:p>
    <w:p>
      <w:pPr>
        <w:ind w:right="40" w:firstLine="490"/>
        <w:spacing w:after="0" w:line="278" w:lineRule="auto"/>
        <w:rPr>
          <w:sz w:val="20"/>
          <w:szCs w:val="20"/>
          <w:color w:val="auto"/>
        </w:rPr>
      </w:pPr>
      <w:r>
        <w:rPr>
          <w:rFonts w:ascii="Times New Roman" w:cs="Times New Roman" w:eastAsia="Times New Roman" w:hAnsi="Times New Roman"/>
          <w:sz w:val="19"/>
          <w:szCs w:val="19"/>
          <w:color w:val="auto"/>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w:t>
      </w:r>
    </w:p>
    <w:p>
      <w:pPr>
        <w:spacing w:after="0" w:line="171"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auto"/>
        </w:rPr>
        <w:t>In addition, drug manufacturers and other entities involved in the manufacture and distribution of approved drugs are subject to periodic unannounced inspections by the FDA and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 Accordingly, manufacturers must continue to expend time, money, and effort in the area of production and quality control to maintain cGMP compliance.</w:t>
      </w:r>
    </w:p>
    <w:p>
      <w:pPr>
        <w:spacing w:after="0" w:line="20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94" w:lineRule="exact"/>
        <w:rPr>
          <w:sz w:val="20"/>
          <w:szCs w:val="20"/>
          <w:color w:val="auto"/>
        </w:rPr>
      </w:pPr>
    </w:p>
    <w:p>
      <w:pPr>
        <w:ind w:left="980" w:right="80" w:hanging="490"/>
        <w:spacing w:after="0" w:line="276"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marketing or manufacturing of the product, complete withdrawal of the product from the market or product recalls;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fines, warning letters or holds on post-approval clinical trials;</w:t>
      </w:r>
    </w:p>
    <w:p>
      <w:pPr>
        <w:spacing w:after="0" w:line="133" w:lineRule="exact"/>
        <w:rPr>
          <w:rFonts w:ascii="Arial" w:cs="Arial" w:eastAsia="Arial" w:hAnsi="Arial"/>
          <w:sz w:val="20"/>
          <w:szCs w:val="20"/>
          <w:color w:val="auto"/>
        </w:rPr>
      </w:pPr>
    </w:p>
    <w:p>
      <w:pPr>
        <w:ind w:left="980" w:right="720" w:hanging="490"/>
        <w:spacing w:after="0" w:line="276"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refusal of the FDA to approve pending applications or supplements to approved applications, or suspension or revocation of product approvals;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 and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239" w:lineRule="exact"/>
        <w:rPr>
          <w:sz w:val="20"/>
          <w:szCs w:val="20"/>
          <w:color w:val="auto"/>
        </w:rPr>
      </w:pPr>
    </w:p>
    <w:p>
      <w:pPr>
        <w:ind w:right="20" w:firstLine="490"/>
        <w:spacing w:after="0" w:line="261" w:lineRule="auto"/>
        <w:rPr>
          <w:sz w:val="20"/>
          <w:szCs w:val="20"/>
          <w:color w:val="auto"/>
        </w:rPr>
      </w:pPr>
      <w:r>
        <w:rPr>
          <w:rFonts w:ascii="Times New Roman" w:cs="Times New Roman" w:eastAsia="Times New Roman" w:hAnsi="Times New Roman"/>
          <w:sz w:val="19"/>
          <w:szCs w:val="19"/>
          <w:color w:val="auto"/>
        </w:rPr>
        <w:t>The FDA strictly regulates the marketing, labeling, advertising and promotion of drug and device products that are placed on the market. The Federal Trade Commission, or the FTC, also regulates the promotion and advertising of consumer products. While physicians may prescribe drugs and devices for off label uses, manufacturers may only promote for the approved indications and in accordance with the provisions of the approved label. Manufacturers may not promote a drug that is still under development and has not been approved by the FDA. The FDA and other agencies actively enforce the laws and regulations prohibiting the promotion of off label uses, and a company that is found to have improperly promoted off label uses may be subject to significant liability.</w:t>
      </w:r>
    </w:p>
    <w:p>
      <w:pPr>
        <w:spacing w:after="0" w:line="187"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Drugs are also subject to extensive regulation outside of the U.S. In the E.U., there is a centralized approval procedure that authorizes marketing of a product in all countries of the E.U. through a single application and review process. If this centralized approval procedure is not used, approval in one country of the E.U. can be used to obtain approval in another country of the E.U. under one of two simplified application processes: the mutual recognition procedure or the decentralized procedure, both of which rely on the principle of mutual recognition. After receiving regulatory approval through any of the E.U. registration procedures, separate pricing and reimbursement approvals are also required in most countries. The E.U. also has requirements for approval of manufacturing facilities for all products that are approved for sale by the European regulatory authorities.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360"/>
          </w:cols>
          <w:pgMar w:left="1440" w:top="1420" w:right="1440" w:bottom="175"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Additional Government Regulations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HIPAA and Other Privacy Laws</w:t>
      </w:r>
    </w:p>
    <w:p>
      <w:pPr>
        <w:spacing w:after="0" w:line="24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HIPAA, established for the first-time comprehensive protection for the privacy and security of health information. The HIPAA standards apply to three types of organizations, or “Covered Entities”: health plans, healthcare clearing houses, and healthcare providers which conduct certain healthcare transactions electronically. Covered Entities and their Business Associates must have in place administrative, physical, and technical standards to guard against the misuse of individually identifiable health information. Because we are a healthcare provider and we conduct certain healthcare transactions electronically, we are presently a Covered Entity, and we must have in place the administrative, physical, and technical safeguards required by HIPAA, HITECH and their implementing regulations. Additionally, some state laws impose privacy protections more stringent than HIPAA. Most of the institutions and physicians from which we obtain biological specimens that we use in our research and validation work are Covered Entities and must obtain proper authorization from their patients for the subsequent use of those samples and associated clinical information. We may perform future activities that may implicate HIPAA, such as providing clinical laboratory testing services or entering into specific kinds of relationships with a Covered Entity or a Business Associate of a Covered Entity.</w:t>
      </w:r>
    </w:p>
    <w:p>
      <w:pPr>
        <w:spacing w:after="0" w:line="203"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If we or our operations are found to be in violation of HIPAA, HITECH or their implementing regulations, we may be subject to penalties, including civil and criminal penalties, fines, and exclusion from participation in U.S. federal or state health care programs, and the curtailment or restructuring of our operations. HITECH increased the civil and criminal penalties that may be imposed against Covered Entities, their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200"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Our activities must also comply with other applicable privacy laws. For example, there are also international privacy laws that impose restrictions on the access, use, and disclosure of health information. All of these laws may impact our business. Our failure to comply with these privacy laws or significant changes in the laws restricting our ability to obtain tissue samples and associated patient information could significantly impact our business and our future business plans.</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Federal and State Billing and Fraud and Abuse Laws</w:t>
      </w:r>
    </w:p>
    <w:p>
      <w:pPr>
        <w:spacing w:after="0" w:line="101" w:lineRule="exact"/>
        <w:rPr>
          <w:sz w:val="20"/>
          <w:szCs w:val="20"/>
          <w:color w:val="auto"/>
        </w:rPr>
      </w:pPr>
    </w:p>
    <w:p>
      <w:pPr>
        <w:ind w:right="180" w:firstLine="490"/>
        <w:spacing w:after="0" w:line="231" w:lineRule="auto"/>
        <w:rPr>
          <w:sz w:val="20"/>
          <w:szCs w:val="20"/>
          <w:color w:val="auto"/>
        </w:rPr>
      </w:pPr>
      <w:r>
        <w:rPr>
          <w:rFonts w:ascii="Times New Roman" w:cs="Times New Roman" w:eastAsia="Times New Roman" w:hAnsi="Times New Roman"/>
          <w:sz w:val="20"/>
          <w:szCs w:val="20"/>
          <w:i w:val="1"/>
          <w:iCs w:val="1"/>
          <w:color w:val="auto"/>
        </w:rPr>
        <w:t>Antifraud Laws/Overpayments</w:t>
      </w:r>
      <w:r>
        <w:rPr>
          <w:rFonts w:ascii="Times New Roman" w:cs="Times New Roman" w:eastAsia="Times New Roman" w:hAnsi="Times New Roman"/>
          <w:sz w:val="20"/>
          <w:szCs w:val="20"/>
          <w:color w:val="auto"/>
        </w:rPr>
        <w:t>. As participants in federal and state healthcare programs, we are subject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numerous federal and state antifraud and abuse laws. Many of these antifraud laws are broad in scope, and neither the courts nor government agencies have extensively interpreted these laws. Prohibitions under some of these laws include:</w:t>
      </w:r>
    </w:p>
    <w:p>
      <w:pPr>
        <w:spacing w:after="0" w:line="77" w:lineRule="exact"/>
        <w:rPr>
          <w:sz w:val="20"/>
          <w:szCs w:val="20"/>
          <w:color w:val="auto"/>
        </w:rPr>
      </w:pPr>
    </w:p>
    <w:p>
      <w:pPr>
        <w:ind w:left="980" w:hanging="490"/>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submission, or causing the submission of, false claims or false information to government programs;</w:t>
      </w:r>
    </w:p>
    <w:p>
      <w:pPr>
        <w:spacing w:after="0" w:line="110" w:lineRule="exact"/>
        <w:rPr>
          <w:rFonts w:ascii="Arial" w:cs="Arial" w:eastAsia="Arial" w:hAnsi="Arial"/>
          <w:sz w:val="20"/>
          <w:szCs w:val="20"/>
          <w:color w:val="auto"/>
        </w:rPr>
      </w:pPr>
    </w:p>
    <w:p>
      <w:pPr>
        <w:ind w:left="980" w:hanging="490"/>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deceptive or fraudulent conduct;</w:t>
      </w:r>
    </w:p>
    <w:p>
      <w:pPr>
        <w:spacing w:after="0" w:line="110" w:lineRule="exact"/>
        <w:rPr>
          <w:rFonts w:ascii="Arial" w:cs="Arial" w:eastAsia="Arial" w:hAnsi="Arial"/>
          <w:sz w:val="20"/>
          <w:szCs w:val="20"/>
          <w:color w:val="auto"/>
        </w:rPr>
      </w:pPr>
    </w:p>
    <w:p>
      <w:pPr>
        <w:ind w:left="980" w:hanging="490"/>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performing medically unnecessary procedures; and</w:t>
      </w:r>
    </w:p>
    <w:p>
      <w:pPr>
        <w:spacing w:after="0" w:line="110" w:lineRule="exact"/>
        <w:rPr>
          <w:rFonts w:ascii="Arial" w:cs="Arial" w:eastAsia="Arial" w:hAnsi="Arial"/>
          <w:sz w:val="20"/>
          <w:szCs w:val="20"/>
          <w:color w:val="auto"/>
        </w:rPr>
      </w:pPr>
    </w:p>
    <w:p>
      <w:pPr>
        <w:ind w:left="980" w:hanging="490"/>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prohibitions in defrauding private sector health insurers.</w:t>
      </w:r>
    </w:p>
    <w:p>
      <w:pPr>
        <w:spacing w:after="0" w:line="235"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We could be subject to substantial penalties for violations of these laws, including denial of payment and refunds, suspension of payments from Medicare, Medicaid or other federal healthcare programs and exclusion from participation in the federal healthcare programs, as well as civil monetary and criminal penalties and imprisonment. One of these statutes, the False Claims Act, is a key enforcement tool used by the government to combat healthcare fraud. The False Claims Act imposes liability on any person who, among other things, knowingly presents, or causes to be presented, a false or fraudulent claim for payment by a federal healthcare program. In addition, violations of the federal physician self-referral laws, such as the Stark laws discussed below, may also violate false claims laws. Liability under the False Claims Act can result in treble damages and imposition of penalties. For example, we could be subject to penalties of $13,507 to $27,018 per false claim, and each use of our product could potentially be part of a different claim submitted to the government. Separately, the HHS office of the Office of Inspector General, or OIG, can exclude providers found liable under the False Claims Act from participating in federally funded healthcare programs, including Medicare and Medicaid. The steep penalties that may be imposed on laboratories and</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360"/>
          </w:cols>
          <w:pgMar w:left="1440" w:top="1416" w:right="1440" w:bottom="175" w:gutter="0" w:footer="0" w:header="0"/>
          <w:type w:val="continuous"/>
        </w:sectPr>
      </w:pPr>
    </w:p>
    <w:bookmarkStart w:id="12" w:name="page13"/>
    <w:bookmarkEnd w:id="12"/>
    <w:p>
      <w:pPr>
        <w:ind w:right="140"/>
        <w:spacing w:after="0" w:line="258" w:lineRule="auto"/>
        <w:rPr>
          <w:sz w:val="20"/>
          <w:szCs w:val="20"/>
          <w:color w:val="auto"/>
        </w:rPr>
      </w:pPr>
      <w:r>
        <w:rPr>
          <w:rFonts w:ascii="Times New Roman" w:cs="Times New Roman" w:eastAsia="Times New Roman" w:hAnsi="Times New Roman"/>
          <w:sz w:val="20"/>
          <w:szCs w:val="20"/>
          <w:color w:val="auto"/>
        </w:rPr>
        <w:t>other providers under this statute may be disproportionate to the relatively small dollar amounts of the claims made by these providers for reimbursement. In addition, even the threat of being excluded from participation in federal healthcare programs can have significant financial consequences on a provider.</w:t>
      </w:r>
    </w:p>
    <w:p>
      <w:pPr>
        <w:spacing w:after="0" w:line="188"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auto"/>
        </w:rPr>
        <w:t>Numerous federal and state agencies enforce the antifraud and abuse laws. In addition, private insurers may also bring private actions. In some circumstances, private whistleblowers are authorized to bring fraud suits on behalf of the government against providers and are entitled to receive a portion of any final recovery.</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Federal and State “Self-Referral” and “Anti-Kickback” Restrictions</w:t>
      </w:r>
    </w:p>
    <w:p>
      <w:pPr>
        <w:spacing w:after="0" w:line="120"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i w:val="1"/>
          <w:iCs w:val="1"/>
          <w:color w:val="auto"/>
        </w:rPr>
        <w:t>Self-Referral law</w:t>
      </w:r>
      <w:r>
        <w:rPr>
          <w:rFonts w:ascii="Times New Roman" w:cs="Times New Roman" w:eastAsia="Times New Roman" w:hAnsi="Times New Roman"/>
          <w:sz w:val="20"/>
          <w:szCs w:val="20"/>
          <w:color w:val="auto"/>
        </w:rPr>
        <w:t>. We are subject to a federal “self-referral” law, commonly referred to as the “Stark” law,</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provides that physicians who, personally or through a family member, have ownership interests in or compensation arrangements with a laboratory are prohibited from making a referral to that laboratory for laboratory tests reimbursable by Medicare, and also prohibits laboratories from submitting a claim for Medicare payments for laboratory tests referred by physicians who, personally or through a family member, have ownership interests in or compensation arrangements with the testing laboratory. The Stark law contains a number of specific exceptions which, if met, permit physicians who have ownership or compensation arrangements with a testing laboratory to make referrals to that laboratory and permit the laboratory to submit claims for Medicare payments for laboratory tests performed pursuant to such referrals.</w:t>
      </w:r>
    </w:p>
    <w:p>
      <w:pPr>
        <w:spacing w:after="0" w:line="206"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We are subject to comparable state laws, some of which apply to all payors regardless of source of payment, and do not contain identical exceptions to the Stark law. For example, we are subject to a North Carolina self-referral law that prohibits a physician investor from referring to us any patients covered by private, employer-funded or state and federal employee health plans. The North Carolina self-referral law contains few exceptions for physician investors in securities that have not been acquired through public trading but will generally permit us to accept referrals from physician investors who buy their shares in the public market.</w:t>
      </w:r>
    </w:p>
    <w:p>
      <w:pPr>
        <w:spacing w:after="0" w:line="200"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auto"/>
        </w:rPr>
        <w:t>We have several stockholders who are physicians in a position to make referrals to us. We have included within our compliance plan procedures to identify requests for testing services from physician investors and we do not bill Medicare, or any other federal program, or seek reimbursement from other third-party payors, for these tests.</w:t>
      </w:r>
    </w:p>
    <w:p>
      <w:pPr>
        <w:spacing w:after="0" w:line="18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Providers are subject to sanctions for claims submitted for each service that is furnished based on a referral prohibited under the federal self-referral laws. These sanctions include denial of payment and refunds, civil monetary payments and exclusion from participation in federal healthcare programs and civil monetary penalties, and they may also include penalties for applicable violations of the False Claims Act, which may require payment of up to three times the actual damages sustained by the government, plus civil penalties of $13,507 to $27,018 for each separate false claim. Similarly, sanctions for violations under the North Carolina self-referral laws include refunds and monetary penalties.</w:t>
      </w:r>
    </w:p>
    <w:p>
      <w:pPr>
        <w:spacing w:after="0" w:line="20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i w:val="1"/>
          <w:iCs w:val="1"/>
          <w:color w:val="auto"/>
        </w:rPr>
        <w:t>Anti-Kickback Statute</w:t>
      </w:r>
      <w:r>
        <w:rPr>
          <w:rFonts w:ascii="Times New Roman" w:cs="Times New Roman" w:eastAsia="Times New Roman" w:hAnsi="Times New Roman"/>
          <w:sz w:val="20"/>
          <w:szCs w:val="20"/>
          <w:color w:val="auto"/>
        </w:rPr>
        <w:t>. The federal Anti-Kickback Statute prohibits persons from knowingly and willfully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The term “remuneration” is not defined in the federal Anti-Kickback Statute and has been broadly interpreted to include anything of value, including for example, gifts, discounts, the furnishing of supplies or equipment, credit arrangements, payments of cash, waivers of payment, ownership interests and providing anything at less than its fair market value. The reach of the Anti-Kickback Statute was also broadened by the Patient Protection and Affordable Care Act of 2010 (PPACA), which, among other things, amends the intent requirement of the federal Anti-Kickback Statute and certain criminal healthcare fraud statutes, effective March 23, 2010. Pursuant to the statutory amendment, a person or entity does not need to have actual knowledge of this statute or specific intent to violate it in order to have committed a violation. In addition, PPACA provides that a claim including items or services resulting from a violation of the federal Anti-Kickback Statute constitutes a false or fraudulent claim for purposes of the False Claims Act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 Sanctions for violations of the federal Anti-Kickback Statute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360"/>
          </w:cols>
          <w:pgMar w:left="1440" w:top="1420" w:right="1440" w:bottom="175" w:gutter="0" w:footer="0" w:header="0"/>
          <w:type w:val="continuous"/>
        </w:sectPr>
      </w:pPr>
    </w:p>
    <w:bookmarkStart w:id="13" w:name="page14"/>
    <w:bookmarkEnd w:id="13"/>
    <w:p>
      <w:pPr>
        <w:ind w:right="60"/>
        <w:spacing w:after="0" w:line="277" w:lineRule="auto"/>
        <w:rPr>
          <w:sz w:val="20"/>
          <w:szCs w:val="20"/>
          <w:color w:val="auto"/>
        </w:rPr>
      </w:pPr>
      <w:r>
        <w:rPr>
          <w:rFonts w:ascii="Times New Roman" w:cs="Times New Roman" w:eastAsia="Times New Roman" w:hAnsi="Times New Roman"/>
          <w:sz w:val="20"/>
          <w:szCs w:val="20"/>
          <w:color w:val="auto"/>
        </w:rPr>
        <w:t>may include imprisonment and other criminal penalties, civil monetary penalties and exclusion from participation in federal healthcare programs.</w:t>
      </w:r>
    </w:p>
    <w:p>
      <w:pPr>
        <w:spacing w:after="0" w:line="169"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auto"/>
        </w:rPr>
        <w:t>The OIG has criticized a number of the business practices in the clinical laboratory industry as potentially implicating the Anti-Kickback Statute, including compensation arrangements intended to induce referrals between laboratories and entities from which they receive, or to which they make, referrals. In addition, the OIG has indicated that “dual charge” billing practices that are intended to induce the referral of patients reimbursed by federal healthcare programs may violate the Anti-Kickback Statute.</w:t>
      </w:r>
    </w:p>
    <w:p>
      <w:pPr>
        <w:spacing w:after="0" w:line="197"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Many states have also adopted laws similar to the federal Anti-Kickback Statute, some of which apply to the referral of patients for healthcare items or services reimbursed by any source, not only the Medicare and Medicaid programs, and do not contain identical safe harbors. For example, North Carolina has an anti-kickback statute that prohibits healthcare providers from paying any financial compensation for recommending or securing patient referrals. Penalties for violations of this statute include license suspension or revocation or other disciplinary action. Other states have similar anti-kickback prohibitions.</w:t>
      </w:r>
    </w:p>
    <w:p>
      <w:pPr>
        <w:spacing w:after="0" w:line="20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Both the federal Anti-Kickback Statute and the North Carolina anti-kickback law are broad in scope. The anti-kickback laws clearly prohibit payments for patient referrals. Under a broad interpretation, these laws could also prohibit a broad array of practices involving remuneration where one party is a potential source of referrals for the other.</w:t>
      </w:r>
    </w:p>
    <w:p>
      <w:pPr>
        <w:spacing w:after="0" w:line="194"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If we or our operations are found to be in violation of any of the laws described above or any other governmental regulations that apply to us, we may be subject to penalties, including civil and criminal penalties, damages, fines, exclusion from participation in U.S. federal or state health care programs, and the curtailment or restructuring of our operations. To the extent that any product we make is sold in a foreign country in the future,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 To reduce the risks associated with these various laws and governmental regulations, we have implemented a compliance plan.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The Foreign Corrupt Practices Act</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Corporate Transactions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Underwritten Public Offering</w:t>
      </w:r>
    </w:p>
    <w:p>
      <w:pPr>
        <w:spacing w:after="0" w:line="102" w:lineRule="exact"/>
        <w:rPr>
          <w:sz w:val="20"/>
          <w:szCs w:val="20"/>
          <w:color w:val="auto"/>
        </w:rPr>
      </w:pPr>
    </w:p>
    <w:p>
      <w:pPr>
        <w:ind w:right="60" w:firstLine="490"/>
        <w:spacing w:after="0" w:line="229" w:lineRule="auto"/>
        <w:rPr>
          <w:sz w:val="20"/>
          <w:szCs w:val="20"/>
          <w:color w:val="auto"/>
        </w:rPr>
      </w:pPr>
      <w:r>
        <w:rPr>
          <w:rFonts w:ascii="Times New Roman" w:cs="Times New Roman" w:eastAsia="Times New Roman" w:hAnsi="Times New Roman"/>
          <w:sz w:val="20"/>
          <w:szCs w:val="20"/>
          <w:color w:val="auto"/>
        </w:rPr>
        <w:t>On March 31, 2022, we sold 2,666,666 shares of our common stock at a public offering price of $3.75 per share and, for certain investors, in lieu of common stock, pre-funded warrants to purchase 1,333,333 shares of our common stock at a public offering price of $3.60 per pre-funded warrant, which represents the per share public offering price for the common stock less the $0.15 per share exercise price for each pre-funded warrant. Each share of common stock or pre-funded warrant was sold together with one, immediately exercisable, common warrant with a five year term to purchase one share of common stock at an exercise price of $4.50 per share. The net proceeds of the offering were $13.8 million, after deducting the underwriting discount and other offering expenses.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360"/>
          </w:cols>
          <w:pgMar w:left="1440" w:top="1420" w:right="1440" w:bottom="175" w:gutter="0" w:footer="0" w:header="0"/>
          <w:type w:val="continuous"/>
        </w:sectPr>
      </w:pPr>
    </w:p>
    <w:bookmarkStart w:id="14" w:name="page15"/>
    <w:bookmarkEnd w:id="14"/>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At the Market Offering</w:t>
      </w:r>
    </w:p>
    <w:p>
      <w:pPr>
        <w:spacing w:after="0" w:line="222" w:lineRule="exact"/>
        <w:rPr>
          <w:sz w:val="20"/>
          <w:szCs w:val="20"/>
          <w:color w:val="auto"/>
        </w:rPr>
      </w:pPr>
    </w:p>
    <w:p>
      <w:pPr>
        <w:ind w:right="260" w:firstLine="490"/>
        <w:spacing w:after="0" w:line="235" w:lineRule="auto"/>
        <w:rPr>
          <w:sz w:val="20"/>
          <w:szCs w:val="20"/>
          <w:color w:val="auto"/>
        </w:rPr>
      </w:pPr>
      <w:r>
        <w:rPr>
          <w:rFonts w:ascii="Times New Roman" w:cs="Times New Roman" w:eastAsia="Times New Roman" w:hAnsi="Times New Roman"/>
          <w:sz w:val="20"/>
          <w:szCs w:val="20"/>
          <w:color w:val="auto"/>
        </w:rPr>
        <w:t>In 2022, we sold 104,773 shares of common stock and raised $0.3 million in net proceeds pursuant to a Controlled Equity Offering Sales Agreement under which we may sell shares of our common stock having an aggregate offering price of up to $25.0 million from time to time in any method permit by las deemed to be an “at the market” Rule 415 under the Securities Act of 1933, as amended.</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Reverse Stock Split</w:t>
      </w:r>
    </w:p>
    <w:p>
      <w:pPr>
        <w:spacing w:after="0" w:line="102" w:lineRule="exact"/>
        <w:rPr>
          <w:sz w:val="20"/>
          <w:szCs w:val="20"/>
          <w:color w:val="auto"/>
        </w:rPr>
      </w:pPr>
    </w:p>
    <w:p>
      <w:pPr>
        <w:ind w:right="100" w:firstLine="490"/>
        <w:spacing w:after="0" w:line="235" w:lineRule="auto"/>
        <w:rPr>
          <w:sz w:val="20"/>
          <w:szCs w:val="20"/>
          <w:color w:val="auto"/>
        </w:rPr>
      </w:pPr>
      <w:r>
        <w:rPr>
          <w:rFonts w:ascii="Times New Roman" w:cs="Times New Roman" w:eastAsia="Times New Roman" w:hAnsi="Times New Roman"/>
          <w:sz w:val="20"/>
          <w:szCs w:val="20"/>
          <w:color w:val="auto"/>
        </w:rPr>
        <w:t>On June 1, 2022, the stockholders of the Company approved a reverse stock split of our common stock at a ratio of one-for-fifteen, to be effected at the sole discretion of the Company’s Board of Directors as described in the proxy statement filed with the SEC on April 21, 2022. The implementation of the reverse stock split was approved by the Company’s Board of Directors on August 16, 2022.</w:t>
      </w:r>
    </w:p>
    <w:p>
      <w:pPr>
        <w:spacing w:after="0" w:line="66" w:lineRule="exact"/>
        <w:rPr>
          <w:sz w:val="20"/>
          <w:szCs w:val="20"/>
          <w:color w:val="auto"/>
        </w:rPr>
      </w:pPr>
    </w:p>
    <w:p>
      <w:pPr>
        <w:ind w:right="100" w:firstLine="490"/>
        <w:spacing w:after="0" w:line="229" w:lineRule="auto"/>
        <w:rPr>
          <w:sz w:val="20"/>
          <w:szCs w:val="20"/>
          <w:color w:val="auto"/>
        </w:rPr>
      </w:pPr>
      <w:r>
        <w:rPr>
          <w:rFonts w:ascii="Times New Roman" w:cs="Times New Roman" w:eastAsia="Times New Roman" w:hAnsi="Times New Roman"/>
          <w:sz w:val="20"/>
          <w:szCs w:val="20"/>
          <w:color w:val="auto"/>
        </w:rPr>
        <w:t>On August 26, 2022, the Company filed a certificate of amendment to its amended and restated certificate of incorporation in order to effectuate a reverse stock split of the Company’s issued and outstanding common stock on a one-for-fifteen basis. All common share and per share data are retrospectively restated to give effect of the split for all periods presented herein. After giving effect to the reverse stock split, the total number of shares of all classes of capital stock that the Corporation is authorized to issue is 110,000,000 shares, consisting of 100,000,000 shares of common stock, having a par value of $0.001 and 10,000,000 shares of preferred stock, having a par value of $0.001.</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w:t>
      </w:r>
    </w:p>
    <w:p>
      <w:pPr>
        <w:spacing w:after="0" w:line="124"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auto"/>
        </w:rPr>
        <w:t>As of December 31, 2022, we had 25 full-time employees and 7 full-time or part-time consultants providing services to us. None of our employees is represented by a labor union or covered by collective bargaining agreements. We consider our relationship with our employees to be good.</w:t>
      </w:r>
    </w:p>
    <w:p>
      <w:pPr>
        <w:spacing w:after="0" w:line="68"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and Available Information</w:t>
      </w:r>
    </w:p>
    <w:p>
      <w:pPr>
        <w:spacing w:after="0" w:line="12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Our principal corporate offices are located at 203 Redwood Shores Parkway, Suite 500, Redwood City, California 94065 and our telephone number is (650) 213-8444. We were incorporated in Delaware on August 25, 1999. Our internet address is www.soleno.life. We make available on our website, free of charge, our Annual Report on Form 10-K, Quarterly Reports on Form 10- Q, Current Reports on Form 8-K and any amendments to those reports, as soon as reasonably practicable after we electronically file such materials with, or furnish it to, the Securities Exchange and Commission. Our Securities Exchange and Commission reports can be accessed through the Investor Relations section of our internet website. The information found on our internet website is not part of this or any other report we file with or furnish to the Securities Exchange and Commission.</w:t>
      </w:r>
    </w:p>
    <w:p>
      <w:pPr>
        <w:sectPr>
          <w:pgSz w:w="12240" w:h="15840" w:orient="portrait"/>
          <w:cols w:equalWidth="0" w:num="1">
            <w:col w:w="9360"/>
          </w:cols>
          <w:pgMar w:left="1440" w:top="1405"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360"/>
          </w:cols>
          <w:pgMar w:left="1440" w:top="1405" w:right="1440" w:bottom="175" w:gutter="0" w:footer="0" w:header="0"/>
          <w:type w:val="continuous"/>
        </w:sectPr>
      </w:pPr>
    </w:p>
    <w:bookmarkStart w:id="15" w:name="page16"/>
    <w:bookmarkEnd w:id="15"/>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24" w:lineRule="exact"/>
        <w:rPr>
          <w:sz w:val="20"/>
          <w:szCs w:val="20"/>
          <w:color w:val="auto"/>
        </w:rPr>
      </w:pPr>
    </w:p>
    <w:p>
      <w:pPr>
        <w:jc w:val="both"/>
        <w:ind w:right="100" w:firstLine="490"/>
        <w:spacing w:after="0" w:line="249" w:lineRule="auto"/>
        <w:rPr>
          <w:sz w:val="20"/>
          <w:szCs w:val="20"/>
          <w:color w:val="auto"/>
        </w:rPr>
      </w:pPr>
      <w:r>
        <w:rPr>
          <w:rFonts w:ascii="Times New Roman" w:cs="Times New Roman" w:eastAsia="Times New Roman" w:hAnsi="Times New Roman"/>
          <w:sz w:val="20"/>
          <w:szCs w:val="20"/>
          <w:color w:val="auto"/>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Risk Factor</w:t>
      </w:r>
    </w:p>
    <w:p>
      <w:pPr>
        <w:spacing w:after="0" w:line="12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numerous risks and uncertainties that you should consider before investing in our company, as fully described below. The principal factors and uncertainties that make investing in our company risky include, among others:</w:t>
      </w:r>
    </w:p>
    <w:p>
      <w:pPr>
        <w:spacing w:after="0" w:line="83" w:lineRule="exact"/>
        <w:rPr>
          <w:sz w:val="20"/>
          <w:szCs w:val="20"/>
          <w:color w:val="auto"/>
        </w:rPr>
      </w:pPr>
    </w:p>
    <w:p>
      <w:pPr>
        <w:ind w:left="980" w:right="480" w:hanging="491"/>
        <w:spacing w:after="0" w:line="276"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are a clinical-stage company with no approved products, which makes assessment of our future viability difficult;</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are dependent upon the success of DCCR, our sole therapeutic product candidate;</w:t>
      </w:r>
    </w:p>
    <w:p>
      <w:pPr>
        <w:spacing w:after="0" w:line="133" w:lineRule="exact"/>
        <w:rPr>
          <w:rFonts w:ascii="Arial" w:cs="Arial" w:eastAsia="Arial" w:hAnsi="Arial"/>
          <w:sz w:val="20"/>
          <w:szCs w:val="20"/>
          <w:color w:val="auto"/>
        </w:rPr>
      </w:pPr>
    </w:p>
    <w:p>
      <w:pPr>
        <w:ind w:left="980" w:right="300" w:hanging="491"/>
        <w:spacing w:after="0" w:line="252"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if clinical studies of any of our planned products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p>
    <w:p>
      <w:pPr>
        <w:spacing w:after="0" w:line="87" w:lineRule="exact"/>
        <w:rPr>
          <w:rFonts w:ascii="Arial" w:cs="Arial" w:eastAsia="Arial" w:hAnsi="Arial"/>
          <w:sz w:val="20"/>
          <w:szCs w:val="20"/>
          <w:color w:val="auto"/>
        </w:rPr>
      </w:pPr>
    </w:p>
    <w:p>
      <w:pPr>
        <w:ind w:left="980" w:hanging="491"/>
        <w:spacing w:after="0"/>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if we fail to obtain regulatory approval for DCCR in the U.S. and E.U., our business will be harmed;</w:t>
      </w:r>
    </w:p>
    <w:p>
      <w:pPr>
        <w:spacing w:after="0" w:line="133" w:lineRule="exact"/>
        <w:rPr>
          <w:rFonts w:ascii="Arial" w:cs="Arial" w:eastAsia="Arial" w:hAnsi="Arial"/>
          <w:sz w:val="20"/>
          <w:szCs w:val="20"/>
          <w:color w:val="auto"/>
        </w:rPr>
      </w:pPr>
    </w:p>
    <w:p>
      <w:pPr>
        <w:ind w:left="980" w:right="300" w:hanging="491"/>
        <w:spacing w:after="0" w:line="269" w:lineRule="auto"/>
        <w:tabs>
          <w:tab w:leader="none" w:pos="980" w:val="left"/>
        </w:tabs>
        <w:numPr>
          <w:ilvl w:val="0"/>
          <w:numId w:val="5"/>
        </w:numPr>
        <w:rPr>
          <w:rFonts w:ascii="Arial" w:cs="Arial" w:eastAsia="Arial" w:hAnsi="Arial"/>
          <w:sz w:val="19"/>
          <w:szCs w:val="19"/>
          <w:color w:val="auto"/>
        </w:rPr>
      </w:pPr>
      <w:r>
        <w:rPr>
          <w:rFonts w:ascii="Times New Roman" w:cs="Times New Roman" w:eastAsia="Times New Roman" w:hAnsi="Times New Roman"/>
          <w:sz w:val="19"/>
          <w:szCs w:val="19"/>
          <w:color w:val="auto"/>
        </w:rPr>
        <w:t>we have a limited commercialization history and have incurred significant losses since our inception, and we anticipate that we will continue to incur substantial losses for the foreseeable future. We transitioned to be primarily a research and development company, which, together with our limited operating history, makes it difficult to evaluate our business and assess our future viability;</w:t>
      </w:r>
    </w:p>
    <w:p>
      <w:pPr>
        <w:spacing w:after="0" w:line="73" w:lineRule="exact"/>
        <w:rPr>
          <w:rFonts w:ascii="Arial" w:cs="Arial" w:eastAsia="Arial" w:hAnsi="Arial"/>
          <w:sz w:val="19"/>
          <w:szCs w:val="19"/>
          <w:color w:val="auto"/>
        </w:rPr>
      </w:pPr>
    </w:p>
    <w:p>
      <w:pPr>
        <w:ind w:left="980" w:hanging="491"/>
        <w:spacing w:after="0"/>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successful in commercializing our approved products;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our patent rights may prove to be an inadequate barrier to competition; and</w:t>
      </w:r>
    </w:p>
    <w:p>
      <w:pPr>
        <w:spacing w:after="0" w:line="133" w:lineRule="exact"/>
        <w:rPr>
          <w:rFonts w:ascii="Arial" w:cs="Arial" w:eastAsia="Arial" w:hAnsi="Arial"/>
          <w:sz w:val="20"/>
          <w:szCs w:val="20"/>
          <w:color w:val="auto"/>
        </w:rPr>
      </w:pPr>
    </w:p>
    <w:p>
      <w:pPr>
        <w:ind w:left="980" w:right="80" w:hanging="491"/>
        <w:spacing w:after="0" w:line="249"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will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condition and capital requirements</w:t>
      </w:r>
    </w:p>
    <w:p>
      <w:pPr>
        <w:spacing w:after="0" w:line="184"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a clinical-stage company with no approved products, which makes assessment of our future viability difficult.</w:t>
      </w:r>
    </w:p>
    <w:p>
      <w:pPr>
        <w:spacing w:after="0" w:line="1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We are primarily a clinical-stage company, with a relatively limited operating history and with no approved therapeutic products or revenues from the sale of therapeutic products. As a result, there is limited information for investors to use when assessing our future viability as a company focused primarily on therapeutic products and our potential to successfully develop product candidates, conduct clinical trials, manufacture our products on a commercial scale, obtain regulatory approval and profitably commercialize any approved products.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dependent upon the success of DCCR, our sole therapeutic product candidate.</w:t>
      </w:r>
    </w:p>
    <w:p>
      <w:pPr>
        <w:spacing w:after="0" w:line="12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We invest a significant portion of our efforts and financial resources in the development of DCCR for the treatment of PWS, a rare complex genetic neurobehavioral/metabolic disease. Our ability to generate product revenues, which may not occur for the foreseeable future, if ever, will depend heavily on the successful development, regulatory approval, and commercialization of DCCR.</w: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360"/>
          </w:cols>
          <w:pgMar w:left="1440" w:top="1440" w:right="1440" w:bottom="175" w:gutter="0" w:footer="0" w:header="0"/>
          <w:type w:val="continuous"/>
        </w:sectPr>
      </w:pPr>
    </w:p>
    <w:bookmarkStart w:id="16" w:name="page17"/>
    <w:bookmarkEnd w:id="16"/>
    <w:p>
      <w:pPr>
        <w:spacing w:after="0" w:line="249" w:lineRule="auto"/>
        <w:rPr>
          <w:sz w:val="20"/>
          <w:szCs w:val="20"/>
          <w:color w:val="auto"/>
        </w:rPr>
      </w:pPr>
      <w:r>
        <w:rPr>
          <w:rFonts w:ascii="Times New Roman" w:cs="Times New Roman" w:eastAsia="Times New Roman" w:hAnsi="Times New Roman"/>
          <w:sz w:val="20"/>
          <w:szCs w:val="20"/>
          <w:color w:val="auto"/>
        </w:rPr>
        <w:t>Any delay or impediment in our ability to obtain regulatory approval to commercialize in any region, or, if approved, obtain coverage and adequate reimbursement from third-parties, including government payors, for DCCR, may cause us to be unable to generate the revenues necessary to continue our research and development pipeline activities, thereby adversely affecting our business and our prospects for future growth. Further, the success of DCCR will depend on a number of factors, including the following:</w:t>
      </w:r>
    </w:p>
    <w:p>
      <w:pPr>
        <w:spacing w:after="0" w:line="91" w:lineRule="exact"/>
        <w:rPr>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obtain a sufficiently broad label that would not unduly restrict patient access;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receipt of marketing approvals for DCCR in the U.S. and E.U.;</w:t>
      </w:r>
    </w:p>
    <w:p>
      <w:pPr>
        <w:spacing w:after="0" w:line="133" w:lineRule="exact"/>
        <w:rPr>
          <w:rFonts w:ascii="Arial" w:cs="Arial" w:eastAsia="Arial" w:hAnsi="Arial"/>
          <w:sz w:val="20"/>
          <w:szCs w:val="20"/>
          <w:color w:val="auto"/>
        </w:rPr>
      </w:pPr>
    </w:p>
    <w:p>
      <w:pPr>
        <w:ind w:left="980" w:right="180" w:hanging="491"/>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building an infrastructure capable of supporting product sales, marketing, and distribution of DCCR in territories where we pursue commercialization directly;</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commercial manufacturing arrangements with third party manufacturers;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commercial distribution agreements with third party distributors;</w:t>
      </w:r>
    </w:p>
    <w:p>
      <w:pPr>
        <w:spacing w:after="0" w:line="133" w:lineRule="exact"/>
        <w:rPr>
          <w:rFonts w:ascii="Arial" w:cs="Arial" w:eastAsia="Arial" w:hAnsi="Arial"/>
          <w:sz w:val="20"/>
          <w:szCs w:val="20"/>
          <w:color w:val="auto"/>
        </w:rPr>
      </w:pPr>
    </w:p>
    <w:p>
      <w:pPr>
        <w:ind w:left="980" w:right="340" w:hanging="491"/>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launching commercial sales of DCCR, if and when approved, whether alone or in collaboration with others;</w:t>
      </w:r>
    </w:p>
    <w:p>
      <w:pPr>
        <w:spacing w:after="0" w:line="64" w:lineRule="exact"/>
        <w:rPr>
          <w:rFonts w:ascii="Arial" w:cs="Arial" w:eastAsia="Arial" w:hAnsi="Arial"/>
          <w:sz w:val="20"/>
          <w:szCs w:val="20"/>
          <w:color w:val="auto"/>
        </w:rPr>
      </w:pPr>
    </w:p>
    <w:p>
      <w:pPr>
        <w:ind w:left="980" w:right="600" w:hanging="491"/>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acceptance of DCCR, if and when approved, by patients, the medical community, and third-party payers;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the regulatory approval pathway that we pursue for DCCR in the U.S.;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effectively competing with other therapies;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a continued acceptable safety profile of DCCR following approval;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and maintaining patent and trade secret protection and regulatory exclusivity;</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protecting our rights in our intellectual property portfolio;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a commercially viable price for our products.</w:t>
      </w:r>
    </w:p>
    <w:p>
      <w:pPr>
        <w:spacing w:after="0" w:line="11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If we do not achieve one or more of these factors in a timely manner or at all, we could experience significant delays or an inability to successfully commercialize DCCR, which would materially harm our business. We have been in discussions with the FDA regarding the clinical data necessary to support the submission of a new drug application (NDA) seeking approval to market DCCR for the treatment of PWS, after our Phase 3 clinical trial, DESTINY PWS</w:t>
      </w:r>
    </w:p>
    <w:p>
      <w:pPr>
        <w:spacing w:after="0" w:line="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 xml:space="preserve">(C601) trial failed to demonstrate statistical significance on the primary efficacy endpoints. As part of the ongoing discussions with the FDA, we have provided the agency with the clinical study report for the C601 clinical trial and available data from our long-term, open-label extension study (C602) to allow FDA to further assess if those data may provide adequate evidence of safety and efficacy to permit us to submit a 505(b)(2) NDA for the product candidate. As we previously disclosed, the FDA has indicated that additional controlled data willl be necessary to support our planned NDA and we have commenced a randomized withdrawal period to Study C602 to obtain additional controlled data. </w:t>
      </w:r>
      <w:r>
        <w:rPr>
          <w:rFonts w:ascii="Times New Roman" w:cs="Times New Roman" w:eastAsia="Times New Roman" w:hAnsi="Times New Roman"/>
          <w:sz w:val="20"/>
          <w:szCs w:val="20"/>
          <w:color w:val="212121"/>
        </w:rPr>
        <w:t>Furthermore, w</w:t>
      </w:r>
      <w:r>
        <w:rPr>
          <w:rFonts w:ascii="Times New Roman" w:cs="Times New Roman" w:eastAsia="Times New Roman" w:hAnsi="Times New Roman"/>
          <w:sz w:val="20"/>
          <w:szCs w:val="20"/>
          <w:color w:val="auto"/>
        </w:rPr>
        <w:t>e cannot be certain that the FDA will agree that these additional data, once reviewed by FDA, are sufficient for the agency to determine that we have demonstrated substantial evidence that DCCR is safe and effective for the treatment of PWS.</w:t>
      </w:r>
    </w:p>
    <w:p>
      <w:pPr>
        <w:spacing w:after="0" w:line="83"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Complying with any additional requests for information from the FDA or MHRA will be time-consuming, expensive, and delay or prevent our ability to continue to study and develop DCCR, or may result in a change in our regulatory strategy such as pursuing a narrower indication of use. If we are unable to adequately address any previous or further recommendations, concerns, requests, or objections in a manner satisfactory to the FDA, as applicable, in a timely manner, or at all, we could be delayed or prevented from seeking approval of DCCR for any intended use.</w:t>
      </w:r>
    </w:p>
    <w:p>
      <w:pPr>
        <w:spacing w:after="0" w:line="14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will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360"/>
          </w:cols>
          <w:pgMar w:left="1440" w:top="1420" w:right="1440" w:bottom="175" w:gutter="0" w:footer="0" w:header="0"/>
          <w:type w:val="continuous"/>
        </w:sectPr>
      </w:pPr>
    </w:p>
    <w:bookmarkStart w:id="17" w:name="page18"/>
    <w:bookmarkEnd w:id="17"/>
    <w:p>
      <w:pPr>
        <w:spacing w:after="0" w:line="246" w:lineRule="auto"/>
        <w:rPr>
          <w:sz w:val="20"/>
          <w:szCs w:val="20"/>
          <w:color w:val="auto"/>
        </w:rPr>
      </w:pPr>
      <w:r>
        <w:rPr>
          <w:rFonts w:ascii="Times New Roman" w:cs="Times New Roman" w:eastAsia="Times New Roman" w:hAnsi="Times New Roman"/>
          <w:sz w:val="20"/>
          <w:szCs w:val="20"/>
          <w:color w:val="auto"/>
        </w:rPr>
        <w:t>We have not commenced commercialization of DCCR, our current sole novel therapeutic product, and accordingly, through December 31, 2022, have generated no revenue from operations. We had a net loss of $24.1 million during the year ended December 31, 2022 and an accumulated deficit of $237.4 million at December 31, 2022 as a result of having incurred losses since our inception. We had $14.6 million in cash and cash equivalents and $8.3 million of working capital at December 31, 2022, used $20.8 million of cash in operating activities during the year ended December 31, 2022 and expect to continue incurring losses for the foreseeable future. These matters raise substantial doubt about our ability to continue as a going concern.</w:t>
      </w:r>
    </w:p>
    <w:p>
      <w:pPr>
        <w:spacing w:after="0" w:line="80"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20"/>
          <w:szCs w:val="20"/>
          <w:color w:val="auto"/>
        </w:rPr>
        <w:t>We intend to raise additional capital, either through debt or equity financings to achieve our business plan objectives, including ongoing expenses related to resources being deployed to manage participants in our current ongoing clinical trial of DCCR and other activities necessary to support the submission of an NDA to the FDA. In December 2022, we entered into a Securities Purchase Agreement providing for the sale of up to $60.0 million in warrants and the common stock issuable upon the exercise thereof. The receipt of these funds is contingent upon future performance of the Company.</w:t>
      </w:r>
    </w:p>
    <w:p>
      <w:pPr>
        <w:spacing w:after="0" w:line="8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our product development and planned commercialization efforts, we are unable to predict the extent of our future losses or when, or if, we will generate meaningful revenue or become profitable, and it is possible we will never achieve these goals. Our ability to obtain additional financing will depend on a number of factors, including, among others, our ability to generate positive data from our clinical studies, our ability to obtain FDA clearance for DCCR, the condition of the capital markets and the other risks described in these risk factors. If any one of these risks are realized, we may not be able to obtain additional funding, in which case, our business could be jeopardized and we may not be able to continue our operations or pursue our strategic plans. If we are forced to scale down, limit or cease operations, our stockholders could lose all of their investment. Even if we are successful at raising capital, there is no assurance that any funds raised will be sufficient to enable us to attain profitable operations or continue as a going concern.</w:t>
      </w:r>
    </w:p>
    <w:p>
      <w:pPr>
        <w:spacing w:after="0" w:line="8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To the extent that we are unsuccessful raising sufficient capital, we may need to curtail or cease our operations and implement a plan to extend payables or reduce overhead until sufficient additional capital is raised to support further operations. There can be no assurance that such a plan will be successful. If adequate funds are not available, we may be required to curtail our operations significantly or to obtain funds on unfavorable terms, through dilutive financings or entering into arrangements with collaborative partners or others that may require us to relinquish rights to certain of our product candidates that we would not otherwise relinquish. If we issue equity or convertible debt securities to raise additional funds, our existing stockholders will experience further dilution, and the new equity or debt securities may have rights, preferences and privileges senior to those of our existing stockholders. If we incur debt, our fixed payment obligations, liabilities and leverage relative to our equity capitalization would increase, which could increase the cost of future capital. Further, the terms of any debt securities we issue or borrowings we incur, if available, could impose significant restrictions on our operations, such as limitations on our ability to incur additional debt or issue additional equity or other operating restrictions that could adversely affect our ability to conduct our business, and any such debt could be secured by any or all of our assets pledged as collateral. Additionally, we may incur substantial costs in pursuing future capital, including investment banking, legal and accounting fees, printing and distribution expenses and other costs.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maintain our cash at financial institutions, often in balances that exceed federally insured limits.</w:t>
      </w:r>
    </w:p>
    <w:p>
      <w:pPr>
        <w:spacing w:after="0" w:line="120"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Our cash is held in accounts at U.S. banking institutions that we believe are of high quality. Cash held in non-interest-bearing and interest-bearing operating accounts may exceed the Federal Deposit Insurance Corporation (“FDIC”) insurance limits. If such banking institutions were to fail, we could lose all or a portion of those amounts held in excess of such insurance limitations. We maintain our operating account at Silicon Valley Bank (SVB) and therefore those amounts held in excess of the FDIC insurance limit were at risk during the recent uncertainty about the viability of SVB. However, with the FDIC taking control of SVB on March 10, 2023, and the Federal Reserve announcing that account holders would be made whole this recent uncertainty has been resolved and we do not view the ongoing risk as material to our financial condition. However, as the FDIC continues to address the situation with SVB, Signature Bank and other similarly situated banking institutions, the risk of loss in excess of insurance limitations has generally increased. Any material loss that we may experience in the future could have an adverse effect on our ability to pay our operational expenses or make other payments and may require us to move our accounts to other banks, which could cause a temporary delay in making payments to our vendors and employees and cause other operational inconveniences.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60"/>
          </w:cols>
          <w:pgMar w:left="1440" w:top="1420" w:right="1440" w:bottom="175" w:gutter="0" w:footer="0" w:header="0"/>
          <w:type w:val="continuous"/>
        </w:sectPr>
      </w:pPr>
    </w:p>
    <w:bookmarkStart w:id="18" w:name="page19"/>
    <w:bookmarkEnd w:id="18"/>
    <w:p>
      <w:pPr>
        <w:ind w:right="3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have a limited commercialization history and have incurred significant losses since our inception, and we anticipate that we will continue to incur substantial losses for the foreseeable future. We transitioned to be primarily a research and development company, which, together with our limited operating history, makes it difficult to evaluate our business and assess our future viability.</w:t>
      </w:r>
    </w:p>
    <w:p>
      <w:pPr>
        <w:spacing w:after="0" w:line="7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We are a developer of therapeutics with a limited commercialization history. Evaluating our performance, viability or future success will be more difficult than if we had a longer operating history or approved products for sale on the market. We continue to incur significant research and development and general and administrative expenses related to our operations. Investment in product development is highly speculative, because it entails substantial upfront capital expenditures and significant risk that any planned product will fail to demonstrate adequate accuracy or clinical utility.</w:t>
      </w:r>
    </w:p>
    <w:p>
      <w:pPr>
        <w:spacing w:after="0" w:line="20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We expect that our future financial results will depend primarily on our success in developing, launching, selling and supporting our products. This will require us to be successful in a range of activities, including clinical trials, manufacturing, marketing and selling our products. We are only in the preliminary stages of some of these activities. We may not succeed in these activities and may never generate revenue that is sufficient to be profitable in the future.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planned products, market our current and planned products, or continue our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currently have generated limited product revenue and may never become profitable.</w:t>
      </w:r>
    </w:p>
    <w:p>
      <w:pPr>
        <w:spacing w:after="0" w:line="120"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To date, we have not generated significant revenues to achieve profitability. Our ability to generate significant revenue from product sales and achieve profitability will depend upon our ability, alone or with any future collaborators, to successfully commercialize products that we may develop, in-license or acquire in the future. Our ability to generate revenue from product sales from planned products also depends on a number of additional factors, including our ability to:</w:t>
      </w:r>
    </w:p>
    <w:p>
      <w:pPr>
        <w:spacing w:after="0" w:line="91" w:lineRule="exact"/>
        <w:rPr>
          <w:sz w:val="20"/>
          <w:szCs w:val="20"/>
          <w:color w:val="auto"/>
        </w:rPr>
      </w:pPr>
    </w:p>
    <w:p>
      <w:pPr>
        <w:jc w:val="both"/>
        <w:ind w:left="980" w:right="460" w:hanging="491"/>
        <w:spacing w:after="0" w:line="304" w:lineRule="auto"/>
        <w:tabs>
          <w:tab w:leader="none" w:pos="980" w:val="left"/>
        </w:tabs>
        <w:numPr>
          <w:ilvl w:val="0"/>
          <w:numId w:val="7"/>
        </w:numPr>
        <w:rPr>
          <w:rFonts w:ascii="Arial" w:cs="Arial" w:eastAsia="Arial" w:hAnsi="Arial"/>
          <w:sz w:val="19"/>
          <w:szCs w:val="19"/>
          <w:color w:val="auto"/>
        </w:rPr>
      </w:pPr>
      <w:r>
        <w:rPr>
          <w:rFonts w:ascii="Times New Roman" w:cs="Times New Roman" w:eastAsia="Times New Roman" w:hAnsi="Times New Roman"/>
          <w:sz w:val="19"/>
          <w:szCs w:val="19"/>
          <w:color w:val="auto"/>
        </w:rPr>
        <w:t>develop a commercial organization capable of sales, marketing and distribution of any products for which we obtain marketing approval in markets where we intend to commercialize independently;</w:t>
      </w:r>
    </w:p>
    <w:p>
      <w:pPr>
        <w:spacing w:after="0" w:line="39" w:lineRule="exact"/>
        <w:rPr>
          <w:rFonts w:ascii="Arial" w:cs="Arial" w:eastAsia="Arial" w:hAnsi="Arial"/>
          <w:sz w:val="19"/>
          <w:szCs w:val="19"/>
          <w:color w:val="auto"/>
        </w:rPr>
      </w:pPr>
    </w:p>
    <w:p>
      <w:pPr>
        <w:ind w:left="980" w:hanging="491"/>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achieve market acceptance of our current and future products, if any;</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set a commercially viable price for our current and future products, if any;</w:t>
      </w:r>
    </w:p>
    <w:p>
      <w:pPr>
        <w:spacing w:after="0" w:line="133" w:lineRule="exact"/>
        <w:rPr>
          <w:rFonts w:ascii="Arial" w:cs="Arial" w:eastAsia="Arial" w:hAnsi="Arial"/>
          <w:sz w:val="20"/>
          <w:szCs w:val="20"/>
          <w:color w:val="auto"/>
        </w:rPr>
      </w:pPr>
    </w:p>
    <w:p>
      <w:pPr>
        <w:ind w:left="980" w:right="360" w:hanging="491"/>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and maintain supply and manufacturing relationships with reliable third parties, and ensure adequate and legally compliant manufacturing to maintain that supply;</w:t>
      </w:r>
    </w:p>
    <w:p>
      <w:pPr>
        <w:spacing w:after="0" w:line="64" w:lineRule="exact"/>
        <w:rPr>
          <w:rFonts w:ascii="Arial" w:cs="Arial" w:eastAsia="Arial" w:hAnsi="Arial"/>
          <w:sz w:val="20"/>
          <w:szCs w:val="20"/>
          <w:color w:val="auto"/>
        </w:rPr>
      </w:pPr>
    </w:p>
    <w:p>
      <w:pPr>
        <w:ind w:left="980" w:right="20" w:hanging="491"/>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obtain coverage and adequate reimbursement from third-party payors, including government and private payors;</w:t>
      </w:r>
    </w:p>
    <w:p>
      <w:pPr>
        <w:spacing w:after="0" w:line="64" w:lineRule="exact"/>
        <w:rPr>
          <w:rFonts w:ascii="Arial" w:cs="Arial" w:eastAsia="Arial" w:hAnsi="Arial"/>
          <w:sz w:val="20"/>
          <w:szCs w:val="20"/>
          <w:color w:val="auto"/>
        </w:rPr>
      </w:pPr>
    </w:p>
    <w:p>
      <w:pPr>
        <w:ind w:left="980" w:right="220" w:hanging="491"/>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find suitable global and U.S. distribution partners to help us market, sell and distribute our products in other markets;</w:t>
      </w:r>
    </w:p>
    <w:p>
      <w:pPr>
        <w:spacing w:after="0" w:line="64" w:lineRule="exact"/>
        <w:rPr>
          <w:rFonts w:ascii="Arial" w:cs="Arial" w:eastAsia="Arial" w:hAnsi="Arial"/>
          <w:sz w:val="20"/>
          <w:szCs w:val="20"/>
          <w:color w:val="auto"/>
        </w:rPr>
      </w:pPr>
    </w:p>
    <w:p>
      <w:pPr>
        <w:ind w:left="980" w:right="940" w:hanging="491"/>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complete and submit applications to, and obtain regulatory approval from, foreign regulatory authorities;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complete development activities successfully and on a timely basis;</w:t>
      </w:r>
    </w:p>
    <w:p>
      <w:pPr>
        <w:spacing w:after="0" w:line="133" w:lineRule="exact"/>
        <w:rPr>
          <w:rFonts w:ascii="Arial" w:cs="Arial" w:eastAsia="Arial" w:hAnsi="Arial"/>
          <w:sz w:val="20"/>
          <w:szCs w:val="20"/>
          <w:color w:val="auto"/>
        </w:rPr>
      </w:pPr>
    </w:p>
    <w:p>
      <w:pPr>
        <w:ind w:left="980" w:right="160" w:hanging="491"/>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maintain and protect our intellectual property rights and avoid third-party patent interference or patent infringement claims; and</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attract, hire and retain qualified personnel.</w:t>
      </w:r>
    </w:p>
    <w:p>
      <w:pPr>
        <w:spacing w:after="0" w:line="23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In addition, because of the numerous risks and uncertainties associated with product development and commercialization, including that our planned products may not advance through development, achieve the endpoints of applicable clinical trials or obtain approval, we are unable to predict the timing or amount of increased expenses, or when or if we will be able to achieve or maintain profitability. In addition, our expenses could increase beyond expectations if we decide, or are required by the FDA or foreign regulatory authorities, to perform studies or clinical trials in addition to those that we currently anticipate.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360"/>
          </w:cols>
          <w:pgMar w:left="1440" w:top="1420" w:right="1440" w:bottom="175" w:gutter="0" w:footer="0" w:header="0"/>
          <w:type w:val="continuous"/>
        </w:sectPr>
      </w:pPr>
    </w:p>
    <w:bookmarkStart w:id="19" w:name="page20"/>
    <w:bookmarkEnd w:id="19"/>
    <w:p>
      <w:pPr>
        <w:ind w:right="60"/>
        <w:spacing w:after="0" w:line="252" w:lineRule="auto"/>
        <w:rPr>
          <w:sz w:val="20"/>
          <w:szCs w:val="20"/>
          <w:color w:val="auto"/>
        </w:rPr>
      </w:pPr>
      <w:r>
        <w:rPr>
          <w:rFonts w:ascii="Times New Roman" w:cs="Times New Roman" w:eastAsia="Times New Roman" w:hAnsi="Times New Roman"/>
          <w:sz w:val="20"/>
          <w:szCs w:val="20"/>
          <w:color w:val="auto"/>
        </w:rPr>
        <w:t>Even if we are able to generate significant revenue from the sale of any of our products that may be approved or commercialized,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or shut down our operations.</w:t>
      </w:r>
    </w:p>
    <w:p>
      <w:pPr>
        <w:spacing w:after="0" w:line="134"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operating results may fluctuate significantly, which makes our future operating results difficult to predict and could cause our operating results to fall below expectations or below our guidance.</w:t>
      </w:r>
    </w:p>
    <w:p>
      <w:pPr>
        <w:spacing w:after="0" w:line="4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Our quarterly and annual operating results may fluctuate significantly in the future, which makes it difficult for us to predict our future operating results. From time to time, we may enter into collaboration agreements with other companies that include development funding and significant upfront and milestone payments or royalties, which may become an important source of our revenue. Accordingly, our revenue may depend on development funding and the achievement of development and clinical milestones under any potential future collaboration and license agreements and sales of our products, if approved. These upfront and milestone payments may vary significantly from period to period, and any such variance could cause a significant fluctuation in our operating results from one period to the next. In addition, we measure compensation cost for stock-based awards made to employees at the grant date of the award, based on the fair value of the award as determined by our Board,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Furthermore, our operating results may fluctuate due to a variety of other factors, many of which are outside of our control and may be difficult to predict, including the following:</w:t>
      </w:r>
    </w:p>
    <w:p>
      <w:pPr>
        <w:spacing w:after="0" w:line="108" w:lineRule="exact"/>
        <w:rPr>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enroll patients in clinical trials and the timing of enrollment;</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design, timing and outcomes of clinical studies;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any delays in regulatory review or approval in the U.S. or globally, of any of our planned products;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cost and risk of initiating sales and marketing activities;</w:t>
      </w:r>
    </w:p>
    <w:p>
      <w:pPr>
        <w:spacing w:after="0" w:line="133" w:lineRule="exact"/>
        <w:rPr>
          <w:rFonts w:ascii="Arial" w:cs="Arial" w:eastAsia="Arial" w:hAnsi="Arial"/>
          <w:sz w:val="20"/>
          <w:szCs w:val="20"/>
          <w:color w:val="auto"/>
        </w:rPr>
      </w:pPr>
    </w:p>
    <w:p>
      <w:pPr>
        <w:ind w:left="980" w:right="320" w:hanging="491"/>
        <w:spacing w:after="0" w:line="276"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cost of, and level of investment in, research and development activities relating to our planned products, which will change from time to time;</w:t>
      </w:r>
    </w:p>
    <w:p>
      <w:pPr>
        <w:spacing w:after="0" w:line="64" w:lineRule="exact"/>
        <w:rPr>
          <w:rFonts w:ascii="Arial" w:cs="Arial" w:eastAsia="Arial" w:hAnsi="Arial"/>
          <w:sz w:val="20"/>
          <w:szCs w:val="20"/>
          <w:color w:val="auto"/>
        </w:rPr>
      </w:pPr>
    </w:p>
    <w:p>
      <w:pPr>
        <w:ind w:left="980" w:right="80" w:hanging="491"/>
        <w:spacing w:after="0" w:line="276"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manufacturing our products may vary depending on FDA and other regulatory requirements, the quantity of production and the terms of our agreements with manufacturers;</w:t>
      </w:r>
    </w:p>
    <w:p>
      <w:pPr>
        <w:spacing w:after="0" w:line="64" w:lineRule="exact"/>
        <w:rPr>
          <w:rFonts w:ascii="Arial" w:cs="Arial" w:eastAsia="Arial" w:hAnsi="Arial"/>
          <w:sz w:val="20"/>
          <w:szCs w:val="20"/>
          <w:color w:val="auto"/>
        </w:rPr>
      </w:pPr>
    </w:p>
    <w:p>
      <w:pPr>
        <w:ind w:left="980" w:right="940" w:hanging="491"/>
        <w:spacing w:after="0" w:line="276"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expenditures that we will or may incur to acquire or develop additional planned products and technologies;</w:t>
      </w:r>
    </w:p>
    <w:p>
      <w:pPr>
        <w:spacing w:after="0" w:line="64" w:lineRule="exact"/>
        <w:rPr>
          <w:rFonts w:ascii="Arial" w:cs="Arial" w:eastAsia="Arial" w:hAnsi="Arial"/>
          <w:sz w:val="20"/>
          <w:szCs w:val="20"/>
          <w:color w:val="auto"/>
        </w:rPr>
      </w:pPr>
    </w:p>
    <w:p>
      <w:pPr>
        <w:ind w:left="980" w:right="60" w:hanging="491"/>
        <w:spacing w:after="0" w:line="276"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competitive landscape of our industry, including consolidation among our competitors or potential partners;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level of demand for our products may fluctuate significantly and be difficult to predict;</w:t>
      </w:r>
    </w:p>
    <w:p>
      <w:pPr>
        <w:spacing w:after="0" w:line="133" w:lineRule="exact"/>
        <w:rPr>
          <w:rFonts w:ascii="Arial" w:cs="Arial" w:eastAsia="Arial" w:hAnsi="Arial"/>
          <w:sz w:val="20"/>
          <w:szCs w:val="20"/>
          <w:color w:val="auto"/>
        </w:rPr>
      </w:pPr>
    </w:p>
    <w:p>
      <w:pPr>
        <w:ind w:left="980" w:right="40" w:hanging="491"/>
        <w:spacing w:after="0" w:line="276"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risk/benefit profile, cost and reimbursement policies with respect to our future products, if approved, and existing and potential future drugs that compete with our planned products;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competition from existing and potential future offerings that compete with our products;</w:t>
      </w:r>
    </w:p>
    <w:p>
      <w:pPr>
        <w:spacing w:after="0" w:line="133" w:lineRule="exact"/>
        <w:rPr>
          <w:rFonts w:ascii="Arial" w:cs="Arial" w:eastAsia="Arial" w:hAnsi="Arial"/>
          <w:sz w:val="20"/>
          <w:szCs w:val="20"/>
          <w:color w:val="auto"/>
        </w:rPr>
      </w:pPr>
    </w:p>
    <w:p>
      <w:pPr>
        <w:ind w:left="980" w:right="700" w:hanging="491"/>
        <w:spacing w:after="0" w:line="276"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commercialize our products inside and outside of the U.S., either independently or working with third parties;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and maintain collaborations, licensing or other arrangements;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adequately support future growth;</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unforeseen business disruptions that increase our costs or expenses;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future accounting pronouncements or changes in our accounting policies;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changing and volatile global economic environment.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360"/>
          </w:cols>
          <w:pgMar w:left="1440" w:top="1420" w:right="1440" w:bottom="175" w:gutter="0" w:footer="0" w:header="0"/>
          <w:type w:val="continuous"/>
        </w:sectPr>
      </w:pPr>
    </w:p>
    <w:bookmarkStart w:id="20" w:name="page21"/>
    <w:bookmarkEnd w:id="20"/>
    <w:p>
      <w:pPr>
        <w:ind w:right="100"/>
        <w:spacing w:after="0" w:line="244" w:lineRule="auto"/>
        <w:rPr>
          <w:sz w:val="20"/>
          <w:szCs w:val="20"/>
          <w:color w:val="auto"/>
        </w:rPr>
      </w:pPr>
      <w:r>
        <w:rPr>
          <w:rFonts w:ascii="Times New Roman" w:cs="Times New Roman" w:eastAsia="Times New Roman" w:hAnsi="Times New Roman"/>
          <w:sz w:val="20"/>
          <w:szCs w:val="20"/>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46"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engage in strategic transactions that could impact our liquidity, increase our expenses and present significant distractions to our management.</w:t>
      </w:r>
    </w:p>
    <w:p>
      <w:pPr>
        <w:spacing w:after="0" w:line="49"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0"/>
          <w:szCs w:val="20"/>
          <w:color w:val="auto"/>
        </w:rPr>
        <w:t>From time to time we may consider strategic transactions, such as acquisitions, asset purchases and sales,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could not result in perceived benefits that were contemplated upon entering into the transaction, and may pose significant integration challenges or disrupt our management or business, which could adversely affect our operations, solvency and financial results. For example, these transactions may entail numerous operational and financial risks, including:</w:t>
      </w:r>
    </w:p>
    <w:p>
      <w:pPr>
        <w:spacing w:after="0" w:line="96" w:lineRule="exact"/>
        <w:rPr>
          <w:sz w:val="20"/>
          <w:szCs w:val="20"/>
          <w:color w:val="auto"/>
        </w:rPr>
      </w:pPr>
    </w:p>
    <w:p>
      <w:pPr>
        <w:ind w:left="980" w:hanging="491"/>
        <w:spacing w:after="0"/>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exposure to unknown and contingent liabilities;</w:t>
      </w:r>
    </w:p>
    <w:p>
      <w:pPr>
        <w:spacing w:after="0" w:line="133" w:lineRule="exact"/>
        <w:rPr>
          <w:rFonts w:ascii="Arial" w:cs="Arial" w:eastAsia="Arial" w:hAnsi="Arial"/>
          <w:sz w:val="20"/>
          <w:szCs w:val="20"/>
          <w:color w:val="auto"/>
        </w:rPr>
      </w:pPr>
    </w:p>
    <w:p>
      <w:pPr>
        <w:ind w:left="980" w:right="360" w:hanging="491"/>
        <w:spacing w:after="0" w:line="276"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disruption of our business and diversion of our management’s time and attention in order to develop acquired products, product candidates or technologies;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incurrence of substantial debt or dilutive issuances of equity securities to pay for acquisitions;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higher than expected acquisition and integration costs;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likelihood of payment of milestones or royalties;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write-downs of assets or goodwill or impairment charges;</w:t>
      </w:r>
    </w:p>
    <w:p>
      <w:pPr>
        <w:spacing w:after="0" w:line="133" w:lineRule="exact"/>
        <w:rPr>
          <w:rFonts w:ascii="Arial" w:cs="Arial" w:eastAsia="Arial" w:hAnsi="Arial"/>
          <w:sz w:val="20"/>
          <w:szCs w:val="20"/>
          <w:color w:val="auto"/>
        </w:rPr>
      </w:pPr>
    </w:p>
    <w:p>
      <w:pPr>
        <w:ind w:left="980" w:right="220" w:hanging="491"/>
        <w:spacing w:after="0" w:line="276"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operating expenditures, including additional research, development and sales and marketing expenses;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amortization expenses;</w:t>
      </w:r>
    </w:p>
    <w:p>
      <w:pPr>
        <w:spacing w:after="0" w:line="133" w:lineRule="exact"/>
        <w:rPr>
          <w:rFonts w:ascii="Arial" w:cs="Arial" w:eastAsia="Arial" w:hAnsi="Arial"/>
          <w:sz w:val="20"/>
          <w:szCs w:val="20"/>
          <w:color w:val="auto"/>
        </w:rPr>
      </w:pPr>
    </w:p>
    <w:p>
      <w:pPr>
        <w:ind w:left="980" w:right="560" w:hanging="491"/>
        <w:spacing w:after="0" w:line="276"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difficulty and cost in combining the operations and personnel of any acquired businesses with our operations and personnel; and</w:t>
      </w:r>
    </w:p>
    <w:p>
      <w:pPr>
        <w:spacing w:after="0" w:line="64" w:lineRule="exact"/>
        <w:rPr>
          <w:rFonts w:ascii="Arial" w:cs="Arial" w:eastAsia="Arial" w:hAnsi="Arial"/>
          <w:sz w:val="20"/>
          <w:szCs w:val="20"/>
          <w:color w:val="auto"/>
        </w:rPr>
      </w:pPr>
    </w:p>
    <w:p>
      <w:pPr>
        <w:ind w:left="980" w:right="140" w:hanging="491"/>
        <w:spacing w:after="0" w:line="276"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impairment of relationships with key suppliers or customers of any acquired businesses due to changes in management and ownership.</w:t>
      </w:r>
    </w:p>
    <w:p>
      <w:pPr>
        <w:spacing w:after="0" w:line="50"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0"/>
          <w:szCs w:val="20"/>
          <w:color w:val="auto"/>
        </w:rPr>
        <w:t>Accordingly, although there can be no assurance that we will undertake or successfully complete any additional transactions of the nature described above or that we will achieve an economic benefit that justifies such transactions, any additional transactions that we do complete could have a material adverse effect on our business, results of operations, financial condition and prospects.</w:t>
      </w:r>
    </w:p>
    <w:p>
      <w:pPr>
        <w:spacing w:after="0" w:line="134"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enter into strategic transactions on a timely basis or on acceptable terms, which may impact our development and commercialization plans.</w:t>
      </w:r>
    </w:p>
    <w:p>
      <w:pPr>
        <w:spacing w:after="0" w:line="4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color w:val="auto"/>
        </w:rPr>
        <w:t>We have relied, and expect to continue to rely, on strategic transactions, which include in-licensing, out-licensing, purchases and sales of assets, and other ventures. The terms of any additional strategic transaction that we may enter into may not be favorable to us, and the contracts governing such strategic transaction may be subject to differing interpretations exposing us to potential litigation. We may also be restricted under existing collaboration or licensing arrangements from entering into future agreements on certain terms with potential strategic partners. We may not be able to negotiate additional strategic transactions on a timely basis, on acceptable terms, or at all. If we elect to increase our expenditures to fund development or commercialization activities on our own, we may need to obtain additional capital, which may not be available to us on acceptable terms or at all. If we do not have sufficient funds,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360"/>
          </w:cols>
          <w:pgMar w:left="1440" w:top="1420" w:right="1440" w:bottom="175" w:gutter="0" w:footer="0" w:header="0"/>
          <w:type w:val="continuous"/>
        </w:sectPr>
      </w:pPr>
    </w:p>
    <w:bookmarkStart w:id="21" w:name="page22"/>
    <w:bookmarkEnd w:id="21"/>
    <w:p>
      <w:pPr>
        <w:ind w:right="260"/>
        <w:spacing w:after="0" w:line="258" w:lineRule="auto"/>
        <w:rPr>
          <w:sz w:val="20"/>
          <w:szCs w:val="20"/>
          <w:color w:val="auto"/>
        </w:rPr>
      </w:pPr>
      <w:r>
        <w:rPr>
          <w:rFonts w:ascii="Times New Roman" w:cs="Times New Roman" w:eastAsia="Times New Roman" w:hAnsi="Times New Roman"/>
          <w:sz w:val="20"/>
          <w:szCs w:val="20"/>
          <w:color w:val="auto"/>
        </w:rPr>
        <w:t>we may not be able to further develop our products or bring them to market and generate product revenue. Furthermore, there is no assurance that any such transaction will be successful or that we will derive an economic benefit as a result.</w:t>
      </w:r>
    </w:p>
    <w:p>
      <w:pPr>
        <w:spacing w:after="0" w:line="184" w:lineRule="exact"/>
        <w:rPr>
          <w:sz w:val="20"/>
          <w:szCs w:val="20"/>
          <w:color w:val="auto"/>
        </w:rPr>
      </w:pPr>
    </w:p>
    <w:p>
      <w:pPr>
        <w:ind w:right="3200"/>
        <w:spacing w:after="0" w:line="419" w:lineRule="auto"/>
        <w:rPr>
          <w:sz w:val="20"/>
          <w:szCs w:val="20"/>
          <w:color w:val="auto"/>
        </w:rPr>
      </w:pPr>
      <w:r>
        <w:rPr>
          <w:rFonts w:ascii="Times New Roman" w:cs="Times New Roman" w:eastAsia="Times New Roman" w:hAnsi="Times New Roman"/>
          <w:sz w:val="19"/>
          <w:szCs w:val="19"/>
          <w:b w:val="1"/>
          <w:bCs w:val="1"/>
          <w:color w:val="auto"/>
        </w:rPr>
        <w:t xml:space="preserve">Risks related to the development and commercialization of our products </w:t>
      </w:r>
      <w:r>
        <w:rPr>
          <w:rFonts w:ascii="Times New Roman" w:cs="Times New Roman" w:eastAsia="Times New Roman" w:hAnsi="Times New Roman"/>
          <w:sz w:val="19"/>
          <w:szCs w:val="19"/>
          <w:b w:val="1"/>
          <w:bCs w:val="1"/>
          <w:i w:val="1"/>
          <w:iCs w:val="1"/>
          <w:color w:val="auto"/>
        </w:rPr>
        <w:t>We may not be successful in commercializing our approved products.</w:t>
      </w:r>
    </w:p>
    <w:p>
      <w:pPr>
        <w:spacing w:after="0" w:line="1"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Commercialization of products is subject to a variety of regulations regarding the manner in which potential customers may be engaged, the manner in which products may be lawfully advertised, and the claims that can be made for the benefits of the product, among other things. Our lack of experience with product launches may expose us to a higher than usual level of risk of non-compliance with these regulations, with consequences that may include fines or the removal of our approved products from the marketplace by regulatory authorities.</w:t>
      </w:r>
    </w:p>
    <w:p>
      <w:pPr>
        <w:spacing w:after="0" w:line="13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execute our sales and marketing strategy for our products, and are unable to gain acceptance in the market, we may be unable to generate sufficient revenue to sustain our business.</w:t>
      </w:r>
    </w:p>
    <w:p>
      <w:pPr>
        <w:spacing w:after="0" w:line="4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Although we believe that DCCR and our other planned products represent promising commercial opportunities, our products may never gain significant acceptance in the marketplace and therefore may never generate substantial revenue or profits for us. We will need to establish a market for DCCR globally and build these markets through physician education, awareness programs, and other marketing efforts. Gaining acceptance in medical communities depends on a variety of factors, including clinical data published or reported in reputable contexts and word-of-mouth between physicians. The process of publication in leading medical journals is subject to a peer review process and peer reviewers may not consider the results of our studies sufficiently novel or worthy of publication. Failure to have our studies published in peer-reviewed journals may limit the adoption of our products. Our ability to successfully market our products will depend on numerous factors, including:</w:t>
      </w:r>
    </w:p>
    <w:p>
      <w:pPr>
        <w:spacing w:after="0" w:line="100" w:lineRule="exact"/>
        <w:rPr>
          <w:sz w:val="20"/>
          <w:szCs w:val="20"/>
          <w:color w:val="auto"/>
        </w:rPr>
      </w:pPr>
    </w:p>
    <w:p>
      <w:pPr>
        <w:ind w:left="980" w:right="180" w:hanging="491"/>
        <w:spacing w:after="0" w:line="276"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the outcomes of clinical utility studies of such products in collaboration with key thought leaders to demonstrate our products’ value in informing important medical decisions such as treatment selection;</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of our distribution partners;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whether healthcare providers believe such tests provide clinical utility;</w:t>
      </w:r>
    </w:p>
    <w:p>
      <w:pPr>
        <w:spacing w:after="0" w:line="133" w:lineRule="exact"/>
        <w:rPr>
          <w:rFonts w:ascii="Arial" w:cs="Arial" w:eastAsia="Arial" w:hAnsi="Arial"/>
          <w:sz w:val="20"/>
          <w:szCs w:val="20"/>
          <w:color w:val="auto"/>
        </w:rPr>
      </w:pPr>
    </w:p>
    <w:p>
      <w:pPr>
        <w:ind w:left="980" w:right="520" w:hanging="491"/>
        <w:spacing w:after="0" w:line="276"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whether the medical community accepts that such tests are sufficiently sensitive and specific to be meaningful in-patient care and treatment decisions; and</w:t>
      </w:r>
    </w:p>
    <w:p>
      <w:pPr>
        <w:spacing w:after="0" w:line="64" w:lineRule="exact"/>
        <w:rPr>
          <w:rFonts w:ascii="Arial" w:cs="Arial" w:eastAsia="Arial" w:hAnsi="Arial"/>
          <w:sz w:val="20"/>
          <w:szCs w:val="20"/>
          <w:color w:val="auto"/>
        </w:rPr>
      </w:pPr>
    </w:p>
    <w:p>
      <w:pPr>
        <w:ind w:left="980" w:right="460" w:hanging="491"/>
        <w:spacing w:after="0" w:line="276"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whether hospital administrators, health insurers, government health programs and other payers will cover and pay for such tests and, if so, whether they will adequately reimburse us.</w:t>
      </w:r>
    </w:p>
    <w:p>
      <w:pPr>
        <w:spacing w:after="0" w:line="5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We are relying, or will rely, on third parties with whom we are directly engaged with, but who we do not control, to distribute and sell our products. If these distributors are not committed to our products or otherwise run into their own financial or other difficulties, it may result in failure to achieve widespread market acceptance of our products, and would materially harm our business, financial condition and results of operations.</w:t>
      </w:r>
    </w:p>
    <w:p>
      <w:pPr>
        <w:spacing w:after="0" w:line="13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implement our sales, marketing, distribution, training and support strategies or enter into agreements with third parties to perform these functions in markets outside of the U.S. and E.U., we will not be able to effectively commercialize DCCR and may not reach profitability.</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We do not have a sales or marketing infrastructure and have no experience in the sale, marketing or distribution of therapeutic products. To achieve commercial success for DCCR, if and when we obtain marketing approval, we will need to establish a sales and marketing organization.</w:t>
      </w:r>
    </w:p>
    <w:p>
      <w:pPr>
        <w:spacing w:after="0" w:line="68"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In the future, we expect to build a targeted sales, marketing, training and support infrastructure to market DCCR in the U.S. and E.U. and to opportunistically establish collaborations to market, distribute and support DCCR outside of the U.S. and E.U. There are risks involved with establishing our own sales, marketing, distribution, training and support capabilities. For example, recruiting and training sales and marketing personnel is expensive and time consuming and could delay any product launch. If the commercial launch of DCCR is delayed or does not occur for any reason, we would have prematurely or unnecessarily incurred these commercialization expenses. This may be costly, and our investment would be lost if we cannot retain or reposition our sales, marketing, training and support personnel.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360"/>
          </w:cols>
          <w:pgMar w:left="1440" w:top="1420" w:right="1440" w:bottom="175"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color w:val="auto"/>
        </w:rPr>
        <w:t>Factors that may inhibit our efforts to commercialize DCCR on our own include:</w:t>
      </w:r>
    </w:p>
    <w:p>
      <w:pPr>
        <w:spacing w:after="0" w:line="134" w:lineRule="exact"/>
        <w:rPr>
          <w:sz w:val="20"/>
          <w:szCs w:val="20"/>
          <w:color w:val="auto"/>
        </w:rPr>
      </w:pPr>
    </w:p>
    <w:p>
      <w:pPr>
        <w:ind w:left="980" w:hanging="491"/>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recruit, train and retain adequate numbers of effective sales and marketing personnel;</w:t>
      </w:r>
    </w:p>
    <w:p>
      <w:pPr>
        <w:spacing w:after="0" w:line="133" w:lineRule="exact"/>
        <w:rPr>
          <w:rFonts w:ascii="Arial" w:cs="Arial" w:eastAsia="Arial" w:hAnsi="Arial"/>
          <w:sz w:val="20"/>
          <w:szCs w:val="20"/>
          <w:color w:val="auto"/>
        </w:rPr>
      </w:pPr>
    </w:p>
    <w:p>
      <w:pPr>
        <w:ind w:left="980" w:right="620" w:hanging="491"/>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of sales personnel to obtain access to or persuade adequate numbers of physicians to prescribe DCCR or any future products;</w:t>
      </w:r>
    </w:p>
    <w:p>
      <w:pPr>
        <w:spacing w:after="0" w:line="64" w:lineRule="exact"/>
        <w:rPr>
          <w:rFonts w:ascii="Arial" w:cs="Arial" w:eastAsia="Arial" w:hAnsi="Arial"/>
          <w:sz w:val="20"/>
          <w:szCs w:val="20"/>
          <w:color w:val="auto"/>
        </w:rPr>
      </w:pPr>
    </w:p>
    <w:p>
      <w:pPr>
        <w:ind w:left="980" w:right="80" w:hanging="491"/>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the lack of complementary products to be offered by sales personnel, which may put us at a competitive disadvantage relative to companies with more extensive product lines;</w:t>
      </w:r>
    </w:p>
    <w:p>
      <w:pPr>
        <w:spacing w:after="0" w:line="64" w:lineRule="exact"/>
        <w:rPr>
          <w:rFonts w:ascii="Arial" w:cs="Arial" w:eastAsia="Arial" w:hAnsi="Arial"/>
          <w:sz w:val="20"/>
          <w:szCs w:val="20"/>
          <w:color w:val="auto"/>
        </w:rPr>
      </w:pPr>
    </w:p>
    <w:p>
      <w:pPr>
        <w:ind w:left="980" w:right="1060" w:hanging="491"/>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unforeseen costs and expenses associated with creating an independent sales and marketing organization; and</w:t>
      </w:r>
    </w:p>
    <w:p>
      <w:pPr>
        <w:spacing w:after="0" w:line="64" w:lineRule="exact"/>
        <w:rPr>
          <w:rFonts w:ascii="Arial" w:cs="Arial" w:eastAsia="Arial" w:hAnsi="Arial"/>
          <w:sz w:val="20"/>
          <w:szCs w:val="20"/>
          <w:color w:val="auto"/>
        </w:rPr>
      </w:pPr>
    </w:p>
    <w:p>
      <w:pPr>
        <w:ind w:left="980" w:right="160" w:hanging="491"/>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efforts by our competitors to commercialize products at or about the time when our product candidates would be coming to market.</w:t>
      </w:r>
    </w:p>
    <w:p>
      <w:pPr>
        <w:spacing w:after="0" w:line="5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If we are unable to establish our own sales, marketing, distribution, training and support capabilities and instead enter into arrangements with third parties to perform these services, our product revenues and our profitability, if any, are likely to be lower than if we were to market, sell and distribute DCCR ourselves. In addition, we may not be successful in entering into arrangements with third parties to sell, market and distribute DCCR or may be unable to do so on terms that are favorable to us. We likely will have little control over such third parties, and any of them may fail to devote the necessary resources and attention to commercialize DCCR effectively. If we do not establish sales, marketing, distribution, training and support capabilities successfully, either on our own or in collaboration with third parties, we will not be successful in commercializing DCCR and achieving profitability, and our business would be harmed.</w:t>
      </w:r>
    </w:p>
    <w:p>
      <w:pPr>
        <w:spacing w:after="0" w:line="146"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physicians decide not to order our products in significant numbers, we may be unable to generate sufficient revenue to sustain our business.</w:t>
      </w:r>
    </w:p>
    <w:p>
      <w:pPr>
        <w:spacing w:after="0" w:line="49"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To generate demand for our current and planned products, we will need to educate physicians and other health care professionals on the clinical utility, benefits and value of the tests we provide through published papers, presentations at scientific conferences, educational programs and one-on-one education sessions by members of our sales force. In addition, we will need support of hospital administrators that the clinical and economic utility of our products justifies payment for the device and consumables at adequate pricing levels. We need to hire additional commercial, scientific, technical and other personnel to support this process.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our products do not continue to perform as expected, our operating results, reputation and business will suffer.</w:t>
      </w:r>
    </w:p>
    <w:p>
      <w:pPr>
        <w:spacing w:after="0" w:line="120"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Our success depends on the market’s confidence that our products can provide reliable, high-quality results or treatments. We believe that our customers are likely to be particularly sensitive to any test defects and errors in our products, and prior products made by other companies for the same diagnostic purpose have failed in the marketplace, in part as a result of poor accuracy. As a result, the failure of our current and planned products to perform as expected would significantly impair our reputation and the clinical usefulness of such tests. Reduced sales might result, and we may also be subject to legal claims arising from any defects or errors.</w:t>
      </w:r>
    </w:p>
    <w:p>
      <w:pPr>
        <w:spacing w:after="0" w:line="14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clinical studies of any of our planned products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p>
    <w:p>
      <w:pPr>
        <w:spacing w:after="0" w:line="7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Before obtaining regulatory approval for the sale of any planned product we must conduct extensive clinical studies to demonstrate the safety and effectiveness of our planned products in humans. Clinical studies are expensive, difficult to design and implement, can take many years to complete and are uncertain as to outcome. A failure of one or more of our clinical studies could occur at any stage of testing.</w:t>
      </w:r>
    </w:p>
    <w:p>
      <w:pPr>
        <w:spacing w:after="0" w:line="7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auto"/>
        </w:rPr>
        <w:t>Numerous unforeseen events during, or as a result of, clinical studies could occur, which would delay or prevent our ability to receive regulatory approval or commercialize any of our planned products, including the following:</w:t>
      </w:r>
    </w:p>
    <w:p>
      <w:pPr>
        <w:spacing w:after="0" w:line="63" w:lineRule="exact"/>
        <w:rPr>
          <w:sz w:val="20"/>
          <w:szCs w:val="20"/>
          <w:color w:val="auto"/>
        </w:rPr>
      </w:pPr>
    </w:p>
    <w:p>
      <w:pPr>
        <w:ind w:left="980" w:right="380" w:hanging="491"/>
        <w:spacing w:after="0" w:line="276" w:lineRule="auto"/>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clinical studies may produce negative or inconclusive results, and we may decide, or regulators may require us, to conduct additional clinical studies or abandon product development programs;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360"/>
          </w:cols>
          <w:pgMar w:left="1440" w:top="1420" w:right="1440" w:bottom="175" w:gutter="0" w:footer="0" w:header="0"/>
          <w:type w:val="continuous"/>
        </w:sectPr>
      </w:pPr>
    </w:p>
    <w:bookmarkStart w:id="23" w:name="page24"/>
    <w:bookmarkEnd w:id="23"/>
    <w:p>
      <w:pPr>
        <w:ind w:left="980" w:right="60" w:hanging="491"/>
        <w:spacing w:after="0" w:line="258"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of patients required for clinical studies may be larger than we anticipate, enrollment in these clinical studies may be insufficient or slower than we anticipate, or patients may drop out of these clinical studies at a higher rate than we anticipate;</w:t>
      </w:r>
    </w:p>
    <w:p>
      <w:pPr>
        <w:spacing w:after="0" w:line="81" w:lineRule="exact"/>
        <w:rPr>
          <w:rFonts w:ascii="Arial" w:cs="Arial" w:eastAsia="Arial" w:hAnsi="Arial"/>
          <w:sz w:val="20"/>
          <w:szCs w:val="20"/>
          <w:color w:val="auto"/>
        </w:rPr>
      </w:pPr>
    </w:p>
    <w:p>
      <w:pPr>
        <w:ind w:left="980" w:right="700" w:hanging="491"/>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clinical studies or the manufacturing of our planned products may be greater than we anticipate; including due to inflationary pressures outside of our control;</w:t>
      </w:r>
    </w:p>
    <w:p>
      <w:pPr>
        <w:spacing w:after="0" w:line="64" w:lineRule="exact"/>
        <w:rPr>
          <w:rFonts w:ascii="Arial" w:cs="Arial" w:eastAsia="Arial" w:hAnsi="Arial"/>
          <w:sz w:val="20"/>
          <w:szCs w:val="20"/>
          <w:color w:val="auto"/>
        </w:rPr>
      </w:pPr>
    </w:p>
    <w:p>
      <w:pPr>
        <w:ind w:left="980" w:right="640" w:hanging="491"/>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third-party contractors may fail to comply with regulatory requirements or meet their contractual obligations to us in a timely manner, or at all;</w:t>
      </w:r>
    </w:p>
    <w:p>
      <w:pPr>
        <w:spacing w:after="0" w:line="64" w:lineRule="exact"/>
        <w:rPr>
          <w:rFonts w:ascii="Arial" w:cs="Arial" w:eastAsia="Arial" w:hAnsi="Arial"/>
          <w:sz w:val="20"/>
          <w:szCs w:val="20"/>
          <w:color w:val="auto"/>
        </w:rPr>
      </w:pPr>
    </w:p>
    <w:p>
      <w:pPr>
        <w:ind w:left="980" w:hanging="491"/>
        <w:spacing w:after="0" w:line="258"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we might have to suspend or terminate clinical studies of our planned products for various reasons, including a finding that our planned products have unanticipated serious side effects or other unexpected characteristics or that the patients are being exposed to unacceptable health risks;</w:t>
      </w:r>
    </w:p>
    <w:p>
      <w:pPr>
        <w:spacing w:after="0" w:line="81" w:lineRule="exact"/>
        <w:rPr>
          <w:rFonts w:ascii="Arial" w:cs="Arial" w:eastAsia="Arial" w:hAnsi="Arial"/>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regulators may not approve our proposed clinical development plans;</w:t>
      </w:r>
    </w:p>
    <w:p>
      <w:pPr>
        <w:spacing w:after="0" w:line="133" w:lineRule="exact"/>
        <w:rPr>
          <w:rFonts w:ascii="Arial" w:cs="Arial" w:eastAsia="Arial" w:hAnsi="Arial"/>
          <w:sz w:val="20"/>
          <w:szCs w:val="20"/>
          <w:color w:val="auto"/>
        </w:rPr>
      </w:pPr>
    </w:p>
    <w:p>
      <w:pPr>
        <w:ind w:left="980" w:right="180" w:hanging="491"/>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regulators or independent institutional review boards (IRBs), may not authorize us or our investigators to commence a clinical study or conduct a clinical study at a prospective study site;</w:t>
      </w:r>
    </w:p>
    <w:p>
      <w:pPr>
        <w:spacing w:after="0" w:line="64" w:lineRule="exact"/>
        <w:rPr>
          <w:rFonts w:ascii="Arial" w:cs="Arial" w:eastAsia="Arial" w:hAnsi="Arial"/>
          <w:sz w:val="20"/>
          <w:szCs w:val="20"/>
          <w:color w:val="auto"/>
        </w:rPr>
      </w:pPr>
    </w:p>
    <w:p>
      <w:pPr>
        <w:ind w:left="980" w:right="300" w:hanging="491"/>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regulators or IRBs may require that we or our investigators suspend or terminate clinical research for various reasons, including noncompliance with regulatory requirements; and</w:t>
      </w:r>
    </w:p>
    <w:p>
      <w:pPr>
        <w:spacing w:after="0" w:line="64" w:lineRule="exact"/>
        <w:rPr>
          <w:rFonts w:ascii="Arial" w:cs="Arial" w:eastAsia="Arial" w:hAnsi="Arial"/>
          <w:sz w:val="20"/>
          <w:szCs w:val="20"/>
          <w:color w:val="auto"/>
        </w:rPr>
      </w:pPr>
    </w:p>
    <w:p>
      <w:pPr>
        <w:ind w:left="980" w:right="140" w:hanging="491"/>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supply or quality of our planned products or other materials necessary to conduct clinical studies of our planned products may be insufficient or inadequate.</w:t>
      </w:r>
    </w:p>
    <w:p>
      <w:pPr>
        <w:spacing w:after="0" w:line="50"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auto"/>
        </w:rPr>
        <w:t>If we or any future collaboration partners are required to conduct additional clinical trials or other testing of any planned products beyond those that we contemplate, if those clinical studies or other testing cannot be successfully completed, if the results of these studies or tests are not positive or are only modestly positive or if there are safety concerns, we may:</w:t>
      </w:r>
    </w:p>
    <w:p>
      <w:pPr>
        <w:spacing w:after="0" w:line="88" w:lineRule="exact"/>
        <w:rPr>
          <w:sz w:val="20"/>
          <w:szCs w:val="20"/>
          <w:color w:val="auto"/>
        </w:rPr>
      </w:pPr>
    </w:p>
    <w:p>
      <w:pPr>
        <w:ind w:left="980" w:hanging="491"/>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be delayed in obtaining marketing approval for our planned products;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not obtain marketing approval at all;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obtain approval for indications that are not as broad as intended;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have the product removed from the market after obtaining marketing approval;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be subject to additional post-marketing testing requirements; or</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be subject to restrictions on how the product is distributed or used.</w:t>
      </w:r>
    </w:p>
    <w:p>
      <w:pPr>
        <w:spacing w:after="0" w:line="11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9"/>
          <w:szCs w:val="19"/>
          <w:color w:val="auto"/>
        </w:rPr>
        <w:t>Our product development costs will also increase if we experience delays in testing or approvals. We do not know whether any clinical studies will begin as planned, will need to be restructured or will be completed on schedule, or at all. Significant clinical study delays also could shorten any periods during which we may have the exclusive right to commercialize our planned products or allow our competitors to bring products to market before we do, which would impair our ability to commercialize our planned products and harm our business and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fail to obtain regulatory approval for DCCR in the U.S. and E.U., our business would be harmed.</w:t>
      </w:r>
    </w:p>
    <w:p>
      <w:pPr>
        <w:spacing w:after="0" w:line="12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We are required to obtain regulatory approval for each indication we are seeking before we can market and sell DCCR in a particular jurisdiction, for such indication. Our ability to obtain regulatory approval of DCCR depends on, among other things, successful completion of clinical trials by demonstrating efficacy with statistical significance and clinical meaning, and safety in humans. The results of our current and future clinical trials may not meet the FDA, the European Medicines Agency (EMA), or other regulatory agencies’ requirements to approve DCCR for marketing under any specific indication, and these regulatory agencies may otherwise determine that our third parties’ manufacturing processes, validation, and/ or facilities are insufficient to support approval. As such, we may need to conduct more clinical trials than we currently anticipate and upgrade the manufacturing processes and facilities, which may require significant additional time and expense, and may delay or prevent approval. If we fail to obtain regulatory approval in a timely manner, our commercialization of DCCR would be delayed and our business would be harmed.</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360"/>
          </w:cols>
          <w:pgMar w:left="1440" w:top="1434" w:right="1440" w:bottom="175" w:gutter="0" w:footer="0" w:header="0"/>
          <w:type w:val="continuous"/>
        </w:sectPr>
      </w:pPr>
    </w:p>
    <w:bookmarkStart w:id="24" w:name="page25"/>
    <w:bookmarkEnd w:id="24"/>
    <w:p>
      <w:pPr>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DCCR or other potential product candidates.</w:t>
      </w:r>
    </w:p>
    <w:p>
      <w:pPr>
        <w:spacing w:after="0" w:line="6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Clinical testing is expensive and can take many years to complete, and its outcome is inherently uncertain. A failure of one or more of our clinical trials can occur at any time during the clinical trial process. The results of preclinical studies and early clinical trials of our product candidates may not be predictive of the results of later stage clinical trials. There is a high failure rate for drugs proceeding through clinical trials, and product candidates in later stages of clinical trials may fail to show the required safety and efficacy despite having progressed through preclinical studies and initial clinical trials. A number of companies in the pharmaceutical industry have suffered significant setbacks in advanced clinical trials due to lack of efficacy or adverse safety profiles, notwithstanding promising results in earlier clinical trials, and we cannot be certain that we will not face similar setbacks. Even if our clinical trials are completed, the results may not be sufficient to obtain regulatory approval for our product candidates.</w:t>
      </w:r>
    </w:p>
    <w:p>
      <w:pPr>
        <w:spacing w:after="0" w:line="86"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color w:val="auto"/>
        </w:rPr>
        <w:t>We may experience delays in our clinical trials. We do not know whether future clinical trials, if any, will begin on time, need to be redesigned, enroll an adequate number of patients in a timely manner or be completed on schedule, if at all. Clinical trials can be delayed, suspended or terminated for a variety of reasons, including failure to:</w:t>
      </w:r>
    </w:p>
    <w:p>
      <w:pPr>
        <w:spacing w:after="0" w:line="83" w:lineRule="exact"/>
        <w:rPr>
          <w:sz w:val="20"/>
          <w:szCs w:val="20"/>
          <w:color w:val="auto"/>
        </w:rPr>
      </w:pPr>
    </w:p>
    <w:p>
      <w:pPr>
        <w:ind w:left="980" w:right="420" w:hanging="491"/>
        <w:spacing w:after="0" w:line="276"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generate sufficient nonclinical, toxicology, or other in vivo or in vitro data, or clinical safety data to support the initiation or continuation of clinical trials;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obtain regulatory approval, or feedback on trial design, to commence a trial;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identify, recruit and train suitable clinical investigators;</w:t>
      </w:r>
    </w:p>
    <w:p>
      <w:pPr>
        <w:spacing w:after="0" w:line="133" w:lineRule="exact"/>
        <w:rPr>
          <w:rFonts w:ascii="Arial" w:cs="Arial" w:eastAsia="Arial" w:hAnsi="Arial"/>
          <w:sz w:val="20"/>
          <w:szCs w:val="20"/>
          <w:color w:val="auto"/>
        </w:rPr>
      </w:pPr>
    </w:p>
    <w:p>
      <w:pPr>
        <w:ind w:left="980" w:right="460" w:hanging="491"/>
        <w:spacing w:after="0" w:line="276"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reach agreement on acceptable terms with prospective contract research organizations (CROs), and clinical trial sites;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obtain and maintain IRB approval at each clinical trial site;</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identify, recruit and enroll suitable patients to participate in a trial;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have a sufficient number of patients complete a trial and/or return for post-treatment follow-up;</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ensure clinical investigators observe trial protocol or continue to participate in a trial;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address any patient safety concerns that arise during the course of a trial;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address any conflicts or compliance with new or existing laws, rule, regulations or guidelines;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have a sufficient number of clinical trial sites to conduct the trials;</w:t>
      </w:r>
    </w:p>
    <w:p>
      <w:pPr>
        <w:spacing w:after="0" w:line="133" w:lineRule="exact"/>
        <w:rPr>
          <w:rFonts w:ascii="Arial" w:cs="Arial" w:eastAsia="Arial" w:hAnsi="Arial"/>
          <w:sz w:val="20"/>
          <w:szCs w:val="20"/>
          <w:color w:val="auto"/>
        </w:rPr>
      </w:pPr>
    </w:p>
    <w:p>
      <w:pPr>
        <w:ind w:left="980" w:right="420" w:hanging="491"/>
        <w:spacing w:after="0" w:line="276"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timely manufacture sufficient quantities of product candidate suitable for use at the stage of clinical development; or</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raise sufficient capital to fund a trial.</w:t>
      </w:r>
    </w:p>
    <w:p>
      <w:pPr>
        <w:spacing w:after="0" w:line="11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approved for the indications we are investigating or any investigational new drugs or treatment under development for the indications we are investigating.</w:t>
      </w:r>
    </w:p>
    <w:p>
      <w:pPr>
        <w:spacing w:after="0" w:line="8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We could also encounter delays if a clinical trial is suspended or terminated by us, by a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360"/>
          </w:cols>
          <w:pgMar w:left="1440" w:top="1420" w:right="1440" w:bottom="175" w:gutter="0" w:footer="0" w:header="0"/>
          <w:type w:val="continuous"/>
        </w:sectPr>
      </w:pPr>
    </w:p>
    <w:bookmarkStart w:id="25" w:name="page26"/>
    <w:bookmarkEnd w:id="25"/>
    <w:p>
      <w:pPr>
        <w:spacing w:after="0" w:line="245" w:lineRule="auto"/>
        <w:rPr>
          <w:sz w:val="20"/>
          <w:szCs w:val="20"/>
          <w:color w:val="auto"/>
        </w:rPr>
      </w:pPr>
      <w:r>
        <w:rPr>
          <w:rFonts w:ascii="Times New Roman" w:cs="Times New Roman" w:eastAsia="Times New Roman" w:hAnsi="Times New Roman"/>
          <w:sz w:val="20"/>
          <w:szCs w:val="20"/>
          <w:color w:val="auto"/>
        </w:rPr>
        <w:t>If we experience delays in the completion of, or termination of, any clinical trial of our product candidates for any reason, the commercial prospects of our product candidates may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142"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obtain regulatory approval for DCCR or other potential product candidates. The denial or delay of any such approval would delay commercialization and have a material adverse effect on our potential to generate revenue, our business and our results of operations.</w:t>
      </w:r>
    </w:p>
    <w:p>
      <w:pPr>
        <w:spacing w:after="0" w:line="6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research, development, testing, manufacturing, labeling, packaging, approval, promotion, advertising, storage, record keeping, marketing, distribution, post-approval monitoring and reporting, and export and import of drug products are subject to extensive regulation by the FDA, and by foreign regulatory authorities in other countries. The legislation and regulations differ from country to country. To gain approval to market our product candidates, we must provide development, manufacturing and clinical data that adequately demonstrates the safety and efficacy of the product for the intended indication. We have not yet obtained regulatory approval to market any of our product candidates in the U.S. or any other country. Our business depends upon obtaining these regulatory approvals. The FDA can delay, limit or deny approval of our product candidates for many reasons, including:</w:t>
      </w:r>
    </w:p>
    <w:p>
      <w:pPr>
        <w:spacing w:after="0" w:line="96" w:lineRule="exact"/>
        <w:rPr>
          <w:sz w:val="20"/>
          <w:szCs w:val="20"/>
          <w:color w:val="auto"/>
        </w:rPr>
      </w:pPr>
    </w:p>
    <w:p>
      <w:pPr>
        <w:ind w:left="980" w:right="560" w:hanging="491"/>
        <w:spacing w:after="0" w:line="276" w:lineRule="auto"/>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satisfactorily demonstrate that the product candidates are safe and effective for the requested indication;</w:t>
      </w:r>
    </w:p>
    <w:p>
      <w:pPr>
        <w:spacing w:after="0" w:line="64" w:lineRule="exact"/>
        <w:rPr>
          <w:rFonts w:ascii="Arial" w:cs="Arial" w:eastAsia="Arial" w:hAnsi="Arial"/>
          <w:sz w:val="20"/>
          <w:szCs w:val="20"/>
          <w:color w:val="auto"/>
        </w:rPr>
      </w:pPr>
    </w:p>
    <w:p>
      <w:pPr>
        <w:ind w:left="980" w:right="220" w:hanging="491"/>
        <w:spacing w:after="0" w:line="276" w:lineRule="auto"/>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the FDA’s disagreement with our trial protocol or the interpretation of data from preclinical studies or clinical trials;</w:t>
      </w:r>
    </w:p>
    <w:p>
      <w:pPr>
        <w:spacing w:after="0" w:line="64" w:lineRule="exact"/>
        <w:rPr>
          <w:rFonts w:ascii="Arial" w:cs="Arial" w:eastAsia="Arial" w:hAnsi="Arial"/>
          <w:sz w:val="20"/>
          <w:szCs w:val="20"/>
          <w:color w:val="auto"/>
        </w:rPr>
      </w:pPr>
    </w:p>
    <w:p>
      <w:pPr>
        <w:ind w:left="980" w:right="20" w:hanging="491"/>
        <w:spacing w:after="0" w:line="276" w:lineRule="auto"/>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the population studied in the clinical trial may not be sufficiently broad or representative to assess safety in the full population for which we seek approval;</w:t>
      </w:r>
    </w:p>
    <w:p>
      <w:pPr>
        <w:spacing w:after="0" w:line="64" w:lineRule="exact"/>
        <w:rPr>
          <w:rFonts w:ascii="Arial" w:cs="Arial" w:eastAsia="Arial" w:hAnsi="Arial"/>
          <w:sz w:val="20"/>
          <w:szCs w:val="20"/>
          <w:color w:val="auto"/>
        </w:rPr>
      </w:pPr>
    </w:p>
    <w:p>
      <w:pPr>
        <w:ind w:left="980" w:right="60" w:hanging="491"/>
        <w:spacing w:after="0" w:line="276" w:lineRule="auto"/>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demonstrate that clinical or other benefits of our product candidates outweigh any safety or other perceived risks;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the FDA’s determination that additional preclinical or clinical trials are required;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the FDA’s non-approval of the formulation, labeling or the specifications of our product candidates;</w:t>
      </w:r>
    </w:p>
    <w:p>
      <w:pPr>
        <w:spacing w:after="0" w:line="133" w:lineRule="exact"/>
        <w:rPr>
          <w:rFonts w:ascii="Arial" w:cs="Arial" w:eastAsia="Arial" w:hAnsi="Arial"/>
          <w:sz w:val="20"/>
          <w:szCs w:val="20"/>
          <w:color w:val="auto"/>
        </w:rPr>
      </w:pPr>
    </w:p>
    <w:p>
      <w:pPr>
        <w:ind w:left="980" w:right="200" w:hanging="491"/>
        <w:spacing w:after="0" w:line="276" w:lineRule="auto"/>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the FDA’s failure to accept the manufacturing processes or facilities of third-party manufacturers with which we contract; or</w:t>
      </w:r>
    </w:p>
    <w:p>
      <w:pPr>
        <w:spacing w:after="0" w:line="64" w:lineRule="exact"/>
        <w:rPr>
          <w:rFonts w:ascii="Arial" w:cs="Arial" w:eastAsia="Arial" w:hAnsi="Arial"/>
          <w:sz w:val="20"/>
          <w:szCs w:val="20"/>
          <w:color w:val="auto"/>
        </w:rPr>
      </w:pPr>
    </w:p>
    <w:p>
      <w:pPr>
        <w:ind w:left="980" w:right="700" w:hanging="491"/>
        <w:spacing w:after="0" w:line="276" w:lineRule="auto"/>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for approval policies or regulations of the FDA to significantly change in a manner rendering our clinical data insufficient for approval.</w:t>
      </w:r>
    </w:p>
    <w:p>
      <w:pPr>
        <w:spacing w:after="0" w:line="170"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Even if we eventually complete clinical testing and receive approval of any regulatory filing for our product candidates, the FDA may grant approval contingent on the performance of costly additional post-approval clinical trials. The FDA may also approve our product candidates for a more limited indication or a narrower patient population than we originally requested, and the FDA may not approve the labeling that we believe is necessary or desirable for the successful commercialization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materially adversely impact our business, results of operations and prospects.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Even if any planned products receive regulatory approval, these products may fail to achieve the degree of market acceptance by physicians, patients, caregivers, healthcare payors and others in the medical community necessary for commercial success.</w:t>
      </w:r>
    </w:p>
    <w:p>
      <w:pPr>
        <w:spacing w:after="0" w:line="68"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9"/>
          <w:szCs w:val="19"/>
          <w:color w:val="auto"/>
        </w:rPr>
        <w:t>If any planned products receive regulatory approval from the FDA or other regulatory agencies in jurisdictions in which they are not currently approved, they may nonetheless fail to gain sufficient market acceptance by physicians, hospital administrators, patients, healthcare payors and others in the medical community. The degree of market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360"/>
          </w:cols>
          <w:pgMar w:left="1440" w:top="1420" w:right="1440" w:bottom="175" w:gutter="0" w:footer="0" w:header="0"/>
          <w:type w:val="continuous"/>
        </w:sectPr>
      </w:pPr>
    </w:p>
    <w:bookmarkStart w:id="26" w:name="page27"/>
    <w:bookmarkEnd w:id="26"/>
    <w:p>
      <w:pPr>
        <w:ind w:right="120"/>
        <w:spacing w:after="0" w:line="277" w:lineRule="auto"/>
        <w:rPr>
          <w:sz w:val="20"/>
          <w:szCs w:val="20"/>
          <w:color w:val="auto"/>
        </w:rPr>
      </w:pPr>
      <w:r>
        <w:rPr>
          <w:rFonts w:ascii="Times New Roman" w:cs="Times New Roman" w:eastAsia="Times New Roman" w:hAnsi="Times New Roman"/>
          <w:sz w:val="20"/>
          <w:szCs w:val="20"/>
          <w:color w:val="auto"/>
        </w:rPr>
        <w:t>acceptance of our planned products, if approved for commercial sale, will depend on a number of factors, including the following:</w:t>
      </w:r>
    </w:p>
    <w:p>
      <w:pPr>
        <w:spacing w:after="0" w:line="63" w:lineRule="exact"/>
        <w:rPr>
          <w:sz w:val="20"/>
          <w:szCs w:val="20"/>
          <w:color w:val="auto"/>
        </w:rPr>
      </w:pPr>
    </w:p>
    <w:p>
      <w:pPr>
        <w:ind w:left="980" w:hanging="491"/>
        <w:spacing w:after="0"/>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and severity of any side effects;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their effectiveness and potential advantages compared to alternative treatments;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price we charge for our planned products;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physicians to change their current treatment practices;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convenience and ease of administration compared to alternative treatments;</w:t>
      </w:r>
    </w:p>
    <w:p>
      <w:pPr>
        <w:spacing w:after="0" w:line="133" w:lineRule="exact"/>
        <w:rPr>
          <w:rFonts w:ascii="Arial" w:cs="Arial" w:eastAsia="Arial" w:hAnsi="Arial"/>
          <w:sz w:val="20"/>
          <w:szCs w:val="20"/>
          <w:color w:val="auto"/>
        </w:rPr>
      </w:pPr>
    </w:p>
    <w:p>
      <w:pPr>
        <w:ind w:left="980" w:right="120" w:hanging="491"/>
        <w:spacing w:after="0" w:line="276"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the target patient population to try new therapies and of physicians to prescribe these therapies;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strength or effectiveness of marketing and distribution support or partners;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third-party coverage or reimbursement.</w:t>
      </w:r>
    </w:p>
    <w:p>
      <w:pPr>
        <w:spacing w:after="0" w:line="17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the market opportunity for DCCR is smaller than we believe it is, then our revenues may be adversely affected, and our business may suffer.</w:t>
      </w:r>
    </w:p>
    <w:p>
      <w:pPr>
        <w:spacing w:after="0" w:line="4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auto"/>
        </w:rPr>
        <w:t>PWS is a rare disease, and as such, our projections of both the number of people who have this disease, as well as the subset of people with PWS who have the potential to benefit from treatment with our product candidate, are based on estimates.</w:t>
      </w:r>
    </w:p>
    <w:p>
      <w:pPr>
        <w:spacing w:after="0" w:line="68"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Currently, most reported estimates of the prevalence of PWS are based on studies of small subsets of the population of specific geographic areas, which are then extrapolated to estimate the prevalence of the diseases in the broader world population. In addition, as new studies are performed the estimated prevalence of these diseases may change. There can be no assurance that the prevalence of PWS in the study populations, particularly in these newer studies, accurately reflects the prevalence of this disease in the broader world population. If our estimates of the prevalence of PWS, or of the number of patients who may benefit from treatment with our product candidates prove to be incorrect, the market opportunities for our product candidate may be smaller than we believe it is, our prospects for generating revenue may be adversely affected and our business may suffer.</w:t>
      </w:r>
    </w:p>
    <w:p>
      <w:pPr>
        <w:spacing w:after="0" w:line="142"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DCCR is currently under development and we have no sales and distribution personnel, and limited marketing capabilities at the present time to commercialize DCCR, if we receive regulatory approval. If we are unable to develop a sales and marketing and distribution capability on our own or through collaborations or other marketing partners, we will not be successful in commercializing our products, or other planned products.</w:t>
      </w:r>
    </w:p>
    <w:p>
      <w:pPr>
        <w:spacing w:after="0" w:line="57"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product launch. If the commercial launch of a planned product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8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To achieve commercial success for any approved product, we must either develop a sales and marketing infrastructure or outsource these functions to third parties. We also may not be successful entering into arrangements with third parties to sell and market our planned products or may be unable to do so on terms that are favorable to us. We likely will have little control over such third parties, and any of them may fail to devote the necessary resources and attention to sell and market our products effectively and could damage our reputation. If we do not establish sales and marketing capabilities successfully, either on our own or in collaboration with third parties, we will not be successful in commercializing our planned products.</w:t>
      </w:r>
    </w:p>
    <w:p>
      <w:pPr>
        <w:spacing w:after="0" w:line="14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attempt to form partnerships with respect to our products, but we may not be able to do so, which may cause us to alter our development and commercialization plans and may cause us to terminate any such programs.</w:t>
      </w:r>
    </w:p>
    <w:p>
      <w:pPr>
        <w:spacing w:after="0" w:line="6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We may form strategic alliances, create joint ventures or collaborations, or enter into licensing agreements with third parties that we believe will more effectively provide resources to develop and commercialize our programs.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360"/>
          </w:cols>
          <w:pgMar w:left="1440" w:top="1420" w:right="1440" w:bottom="175" w:gutter="0" w:footer="0" w:header="0"/>
          <w:type w:val="continuous"/>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20"/>
          <w:szCs w:val="20"/>
          <w:color w:val="auto"/>
        </w:rPr>
        <w:t>If we attempt to seek appropriate strategic partners, we may face significant competition, and the negotiation process to secure favorable terms is time-consuming and complex. We may not be successful in our efforts to establish such a strategic partnership for any future products and programs on terms that are acceptable to us, or at all.</w:t>
      </w:r>
    </w:p>
    <w:p>
      <w:pPr>
        <w:spacing w:after="0" w:line="6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Any delays in identifying suitable collaborators and entering into agreements to develop or commercialize our future products could negatively impact the development or commercialization of our future products, particularly in geographic regions like the E.U., where we do not currently have development and commercialization infrastructure. Absent a partner or collaborator, we would need to undertake development or commercialization activities at our own expense. If we elect to fund and undertake development and commercialization activities on our own, we may need to obtain additional expertise and additional capital, which may not be available to us on acceptable terms or at all. If we are unable to do so, we may not be able to develop our future products or bring them to market, and our business may be materially and adversely affected.</w:t>
      </w:r>
    </w:p>
    <w:p>
      <w:pPr>
        <w:spacing w:after="0" w:line="14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product candidates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6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risk of failure of clinical development is high. It is impossible to predict when or if any planned product candidates will prove safe enough to receive regulatory approval. Undesirable side effects caused by any of our product candidates could cause us or regulatory authorities to interrupt, delay or halt clinical trials or could result in a more restrictive label or the delay or denial of regulatory approval by the FDA or other comparable foreign regulatory authority. Additionally, if any of our planned products receives additional marketing approvals, and we or others later identify undesirable side effects caused by such product, a number of potentially significant negative consequences could result, including:</w:t>
      </w:r>
    </w:p>
    <w:p>
      <w:pPr>
        <w:spacing w:after="0" w:line="94" w:lineRule="exact"/>
        <w:rPr>
          <w:sz w:val="20"/>
          <w:szCs w:val="20"/>
          <w:color w:val="auto"/>
        </w:rPr>
      </w:pPr>
    </w:p>
    <w:p>
      <w:pPr>
        <w:ind w:left="980" w:hanging="491"/>
        <w:spacing w:after="0"/>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forced to recall such product and suspend the marketing of such product;</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may withdraw their approvals of such product;</w:t>
      </w:r>
    </w:p>
    <w:p>
      <w:pPr>
        <w:spacing w:after="0" w:line="133" w:lineRule="exact"/>
        <w:rPr>
          <w:rFonts w:ascii="Arial" w:cs="Arial" w:eastAsia="Arial" w:hAnsi="Arial"/>
          <w:sz w:val="20"/>
          <w:szCs w:val="20"/>
          <w:color w:val="auto"/>
        </w:rPr>
      </w:pPr>
    </w:p>
    <w:p>
      <w:pPr>
        <w:ind w:left="980" w:right="420" w:hanging="491"/>
        <w:spacing w:after="0" w:line="276"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may require additional warnings on the label that could diminish the usage or otherwise limit the commercial success of such products;</w:t>
      </w:r>
    </w:p>
    <w:p>
      <w:pPr>
        <w:spacing w:after="0" w:line="64" w:lineRule="exact"/>
        <w:rPr>
          <w:rFonts w:ascii="Arial" w:cs="Arial" w:eastAsia="Arial" w:hAnsi="Arial"/>
          <w:sz w:val="20"/>
          <w:szCs w:val="20"/>
          <w:color w:val="auto"/>
        </w:rPr>
      </w:pPr>
    </w:p>
    <w:p>
      <w:pPr>
        <w:ind w:left="980" w:right="520" w:hanging="491"/>
        <w:spacing w:after="0" w:line="276"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other regulatory bodies may issue safety alerts, Dear Healthcare Provider letters, press releases or other communications containing warnings about such product;</w:t>
      </w:r>
    </w:p>
    <w:p>
      <w:pPr>
        <w:spacing w:after="0" w:line="64" w:lineRule="exact"/>
        <w:rPr>
          <w:rFonts w:ascii="Arial" w:cs="Arial" w:eastAsia="Arial" w:hAnsi="Arial"/>
          <w:sz w:val="20"/>
          <w:szCs w:val="20"/>
          <w:color w:val="auto"/>
        </w:rPr>
      </w:pPr>
    </w:p>
    <w:p>
      <w:pPr>
        <w:ind w:left="980" w:right="300" w:hanging="491"/>
        <w:spacing w:after="0" w:line="252"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FDA may require the establishment or modification of Risk Evaluation Mitigation Strategies or a comparable foreign regulatory authority may require the establishment or modification of a similar strategy that may, for instance, restrict distribution of our products and impose burdensome implementation requirements on us;</w:t>
      </w:r>
    </w:p>
    <w:p>
      <w:pPr>
        <w:spacing w:after="0" w:line="87" w:lineRule="exact"/>
        <w:rPr>
          <w:rFonts w:ascii="Arial" w:cs="Arial" w:eastAsia="Arial" w:hAnsi="Arial"/>
          <w:sz w:val="20"/>
          <w:szCs w:val="20"/>
          <w:color w:val="auto"/>
        </w:rPr>
      </w:pPr>
    </w:p>
    <w:p>
      <w:pPr>
        <w:ind w:left="980" w:hanging="491"/>
        <w:spacing w:after="0"/>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required to change the way the product is administered or conduct additional clinical trials;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we could be sued and held liable for harm caused to subjects or patients;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subject to litigation or product liability claims;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our reputation may suffer.</w:t>
      </w:r>
    </w:p>
    <w:p>
      <w:pPr>
        <w:spacing w:after="0" w:line="119"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color w:val="auto"/>
        </w:rPr>
        <w:t>Any of these events could prevent us from achieving or maintaining market acceptance of the particular planned product, if approved.</w:t>
      </w:r>
    </w:p>
    <w:p>
      <w:pPr>
        <w:spacing w:after="0" w:line="109"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face competition, which may result in others discovering, developing or commercializing products before we do, or more successfully than we do.</w:t>
      </w:r>
    </w:p>
    <w:p>
      <w:pPr>
        <w:spacing w:after="0" w:line="4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Alternatives exist for our product candidates and we will likely face competition with respect to any planned products that we may seek to develop or commercialize in the future, from major pharmaceutical companies, specialty pharmaceutical companies, medical device companies, and biotechnology companies worldwide. These companies may reduce prices for their competing drugs in an effort to gain or retain market share and undermine the value our products might otherwise be able to offer to payers. Potential competitors also include academic institutions, government agencies and other public and private research organizations that conduct research, seek patent protection and establish collaborative arrangements for research, development, manufacturing and commercialization. Many of these competitors are attempting to develop therapeutics for our target indications.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360"/>
          </w:cols>
          <w:pgMar w:left="1440" w:top="1420" w:right="1440" w:bottom="175" w:gutter="0" w:footer="0" w:header="0"/>
          <w:type w:val="continuous"/>
        </w:sectPr>
      </w:pPr>
    </w:p>
    <w:bookmarkStart w:id="28" w:name="page29"/>
    <w:bookmarkEnd w:id="28"/>
    <w:p>
      <w:pPr>
        <w:ind w:right="160"/>
        <w:spacing w:after="0" w:line="252" w:lineRule="auto"/>
        <w:rPr>
          <w:sz w:val="20"/>
          <w:szCs w:val="20"/>
          <w:color w:val="auto"/>
        </w:rPr>
      </w:pPr>
      <w:r>
        <w:rPr>
          <w:rFonts w:ascii="Times New Roman" w:cs="Times New Roman" w:eastAsia="Times New Roman" w:hAnsi="Times New Roman"/>
          <w:sz w:val="20"/>
          <w:szCs w:val="20"/>
          <w:color w:val="auto"/>
        </w:rPr>
        <w:t>Smaller or early stage companies may also prove to be significant competitors, particularly through collaborative arrangements with large and established companies. These third parties compete with us in recruiting and retaining qualified technical and management personnel, establishing clinical study sites and patient registration for clinical studies, as well as in acquiring technologies complementary to, or necessary for, our programs.</w:t>
      </w:r>
    </w:p>
    <w:p>
      <w:pPr>
        <w:spacing w:after="0" w:line="74"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color w:val="auto"/>
        </w:rPr>
        <w:t>There has recently been increased activity in the development of drugs to treat PWS. We are aware of seven other current or proposed clinical trials evaluating PWS therapies.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patent rights may prove to be an inadequate barrier to competition.</w:t>
      </w:r>
    </w:p>
    <w:p>
      <w:pPr>
        <w:spacing w:after="0" w:line="12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We are the sole owner of patents and patent applications in the U.S. with claims covering the compounds underlying our primary product candidate, DCCR. Foreign counterparts of these patents and applications have been issued in the E.U., Japan, China, Canada, Australia, India and Hong Kong. However, the lifespan of any one patent is limited, and each of these patents will ultimately expire and we cannot be sure that pending applications will be granted, or that we will discover new inventions which we can successfully patent. Moreover, any of our granted patents may be held invalid by a court of competent jurisdiction, and any of these patents may also be construed narrowly by a court of competent jurisdiction in such a way that it is held to not directly cover DCCR. Furthermore, even if our patents are held to be valid and broadly interpreted, third parties may find legitimate ways to compete with DCCR by inventing around our patent. Finally, the process of obtaining new patents is lengthy and expensive, as is the process for enforcing patent rights against an alleged infringer. Any such litigation could take years, cost large sums of money and pose a significant distraction to management. Indeed, certain jurisdictions outside of the U.S. and E.U., where we hope to initially commercialize DCCR have a history of inconsistent, relatively lax or ineffective enforcement of patent rights. In such jurisdictions, even a valid patent may have limited value. Our failure to effectively prosecute our patents would have a harmful impact on our ability to commercialize DCCR in these jurisdictions.</w:t>
      </w:r>
    </w:p>
    <w:p>
      <w:pPr>
        <w:spacing w:after="0" w:line="1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Even if we are able to engage partners in commercializing our products, they may become subject to unfavorable pricing regulations, third-party reimbursement practices or healthcare reform initiatives, thereby harming our business.</w:t>
      </w:r>
    </w:p>
    <w:p>
      <w:pPr>
        <w:spacing w:after="0" w:line="68"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 we are able to generate from the sale of the product in that country. Adverse pricing limitations may hinder our ability to recoup our investment in one or more planned products, even if our planned products obtain regulatory approval.</w:t>
      </w:r>
    </w:p>
    <w:p>
      <w:pPr>
        <w:spacing w:after="0" w:line="8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Our ability to commercialize our products successfully also will depend in part on the extent to which reimbursement for these products and related treatments becomes available from government health administration authorities, private health insurers and other organizations. Government authorities and third-party payers, such as private health insurers and health maintenance organizations, decide which medications they will pay for and establish reimbursement levels. A primary trend in the U.S. healthcare industry and elsewhere is cost containment. Government authorities and these third-party payers have attempted to control costs by limiting coverage and the amount of reimbursement for particular medications. We cannot be sure that reimbursement will be available for any product that we commercialize and, if reimbursement is available, what the level of reimbursement will be. Reimbursement may impact the demand for, or the price of, any product for which we obtain marketing approval. Obtaining reimbursement for our products may be particularly difficult because of the higher prices often associated with products administered under the supervision of a physician. If reimbursement is not available or is available only to limited levels, we may not be able to successfully commercialize any planned product that we successfully develop.</w:t>
      </w:r>
    </w:p>
    <w:p>
      <w:pPr>
        <w:spacing w:after="0" w:line="83"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color w:val="auto"/>
        </w:rPr>
        <w:t>In the U.S.,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government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360"/>
          </w:cols>
          <w:pgMar w:left="1440" w:top="1420" w:right="1440" w:bottom="175" w:gutter="0" w:footer="0" w:header="0"/>
          <w:type w:val="continuous"/>
        </w:sectPr>
      </w:pPr>
    </w:p>
    <w:bookmarkStart w:id="29" w:name="page30"/>
    <w:bookmarkEnd w:id="29"/>
    <w:p>
      <w:pPr>
        <w:jc w:val="both"/>
        <w:ind w:right="40"/>
        <w:spacing w:after="0" w:line="258" w:lineRule="auto"/>
        <w:rPr>
          <w:sz w:val="20"/>
          <w:szCs w:val="20"/>
          <w:color w:val="auto"/>
        </w:rPr>
      </w:pPr>
      <w:r>
        <w:rPr>
          <w:rFonts w:ascii="Times New Roman" w:cs="Times New Roman" w:eastAsia="Times New Roman" w:hAnsi="Times New Roman"/>
          <w:sz w:val="20"/>
          <w:szCs w:val="20"/>
          <w:color w:val="auto"/>
        </w:rPr>
        <w:t>healthcare programs or private payers and by any future relaxation of laws that presently restrict imports of products from countries where they may be sold at lower prices than in the U.S. Third-party payers often rely upon Medicare coverage policy and payment limitations in setting their own reimbursement policies.</w:t>
      </w:r>
    </w:p>
    <w:p>
      <w:pPr>
        <w:spacing w:after="0" w:line="68"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Our inability to promptly obtain coverage and profitable payment rates from both government funded and private payers for new products that we develop could have a material adverse effect on our operating results, our ability to raise capital needed to commercialize products and our overall financial condition. In some foreign countries, including major markets in the E.U. and Japan, the pricing of prescription pharmaceuticals is subject to governmental control. In these countries, pricing negotiations with governmental authorities can take nine to twelve months or longer after the receipt of regulatory marketing approval for a product. To obtain reimbursement or pricing approval in some countries, we may be required to conduct a clinical trial that compares the cost-effectiveness of our product to other available therapies. Our business could be materially harmed if reimbursement of our products, if any, is unavailable or limited in scope or amount or if pricing is set at unsatisfactory levels.</w:t>
      </w:r>
    </w:p>
    <w:p>
      <w:pPr>
        <w:spacing w:after="0" w:line="146"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Product liability lawsuits against us could cause us to incur substantial liabilities and to limit commercialization of any products that we may develop.</w:t>
      </w:r>
    </w:p>
    <w:p>
      <w:pPr>
        <w:spacing w:after="0" w:line="4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We face an inherent risk of product liability exposure related to the sale of our products. The marketing, sale and use of our products could lead to the filing of product liability claims against us if someone alleges that our tests failed to perform as designed. We may also be subject to liability for a misunderstanding of, or inappropriate reliance upon, the information we provide. If we cannot successfully defend ourselves against claims that our products caused injuries, we may incur substantial liabilities. Regardless of merit or eventual outcome, liability claims may result in:</w:t>
      </w:r>
    </w:p>
    <w:p>
      <w:pPr>
        <w:spacing w:after="0" w:line="94" w:lineRule="exact"/>
        <w:rPr>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decreased demand for any planned products that we may develop;</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injury to our reputation and significant negative media attention;</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withdrawal of patients from clinical studies or cancellation of studies;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costs to defend the related litigation and distraction to our management team;</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monetary awards to patients;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loss of revenue;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to commercialize any products that we may develop.</w:t>
      </w:r>
    </w:p>
    <w:p>
      <w:pPr>
        <w:spacing w:after="0" w:line="239"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19"/>
          <w:szCs w:val="19"/>
          <w:color w:val="auto"/>
        </w:rPr>
        <w:t>We currently hold $8.0 million 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loss of key members of our executive management team could adversely affect our business.</w:t>
      </w:r>
    </w:p>
    <w:p>
      <w:pPr>
        <w:spacing w:after="0" w:line="12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Our success in implementing our business strategy depends largely on the skills, experience and performance of key members of our executive management team and others in key management positions. The collective efforts of each of these persons, and others working with them as a team, are critical to us as we continue to develop our technologies, tests and research and development and sales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Our officers all have employment agreements; however, the existence of an employment agreement does not guarantee retention of members of our executive management team and we may not be able to retain those individuals for the duration of or beyond the end of their respective terms. We do not currently maintain “key person” life insurance on any of our employees.</w:t>
      </w:r>
    </w:p>
    <w:p>
      <w:pPr>
        <w:spacing w:after="0" w:line="8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360"/>
          </w:cols>
          <w:pgMar w:left="1440" w:top="1420" w:right="1440" w:bottom="175" w:gutter="0" w:footer="0" w:header="0"/>
          <w:type w:val="continuous"/>
        </w:sectPr>
      </w:pPr>
    </w:p>
    <w:bookmarkStart w:id="30" w:name="page31"/>
    <w:bookmarkEnd w:id="30"/>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There is a scarcity of experienced professionals in our industry. If we are not able to retain and recruit personnel with the requisite technical skills, we may be unable to successfully execute our business strategy.</w:t>
      </w:r>
    </w:p>
    <w:p>
      <w:pPr>
        <w:spacing w:after="0" w:line="4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biotechnology businesses, we may not succeed in attracting or retaining the personnel we require to continue and grow our operations.</w:t>
      </w:r>
    </w:p>
    <w:p>
      <w:pPr>
        <w:spacing w:after="0" w:line="14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acquire other businesses or form joint ventures or make investments in other companies or technologies that could harm our operating results, dilute our stockholders’ ownership, increase our debt or cause us to incur significant expense.</w:t>
      </w:r>
    </w:p>
    <w:p>
      <w:pPr>
        <w:spacing w:after="0" w:line="6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As part of our business strategy, we may pursue acquisitions or licenses of assets or acquisitions of businesses. We also may pursue strategic alliances and joint ventures that leverage our core technology and industry experience to expand our product offerings or sales and distribution resources. Our company has limited experience with acquiring other companies, acquiring or licensing assets or forming strategic alliances and joint ventures.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significant write-offs or the incurrence of debt and contingent liabilities, any of which could have a material adverse effect on our financial condition, results of operations and cash flows. Integration of an acquired company also may disrupt ongoing operations and require management resources that would otherwise focus on developing our existing business. We may experience losses related to investments in other companies, which could have a material negative effect on our results of operations.</w:t>
      </w:r>
    </w:p>
    <w:p>
      <w:pPr>
        <w:spacing w:after="0" w:line="86"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We may not identify or complete these transactions in a timely manner, on a cost-effective basis, or at all, and we may not realize the anticipated benefits of any acquisition, license, strategic alliance or joint venture. To finance such a transaction, we may choose to issue shares of our common stock as consideration, which would dilute the ownership of our stockholders. If the price of our common stock is low or volatile, we may not be able to acquire other companies or fund a joint venture project using our stock as consideration. Alternatively, it may be necessary for us to raise additional funds for acquisitions through public or private financings. Additional funds may not be available on terms that are favorable to us, or at all.</w:t>
      </w:r>
    </w:p>
    <w:p>
      <w:pPr>
        <w:spacing w:after="0" w:line="140"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International expansion of our business will expose us to business, regulatory, political, operational, financial and economic risks associated with doing business outside of the U.S.</w:t>
      </w:r>
    </w:p>
    <w:p>
      <w:pPr>
        <w:spacing w:after="0" w:line="49"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20"/>
          <w:szCs w:val="20"/>
          <w:color w:val="auto"/>
        </w:rPr>
        <w:t>Our business strategy contemplates international expansion, including partnering with distributors, and introducing our current products and other planned products outside the U.S. Doing business internationally involves a number of risks, including:</w:t>
      </w:r>
    </w:p>
    <w:p>
      <w:pPr>
        <w:spacing w:after="0" w:line="83" w:lineRule="exact"/>
        <w:rPr>
          <w:sz w:val="20"/>
          <w:szCs w:val="20"/>
          <w:color w:val="auto"/>
        </w:rPr>
      </w:pPr>
    </w:p>
    <w:p>
      <w:pPr>
        <w:ind w:left="980" w:right="60" w:hanging="491"/>
        <w:spacing w:after="0" w:line="276"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multiple, conflicting and changing laws and regulations such as tax laws, export and import restrictions, employment laws, regulatory requirements and other governmental approvals, permits and licenses;</w:t>
      </w:r>
    </w:p>
    <w:p>
      <w:pPr>
        <w:spacing w:after="0" w:line="64" w:lineRule="exact"/>
        <w:rPr>
          <w:rFonts w:ascii="Arial" w:cs="Arial" w:eastAsia="Arial" w:hAnsi="Arial"/>
          <w:sz w:val="20"/>
          <w:szCs w:val="20"/>
          <w:color w:val="auto"/>
        </w:rPr>
      </w:pPr>
    </w:p>
    <w:p>
      <w:pPr>
        <w:ind w:left="980" w:right="60" w:hanging="491"/>
        <w:spacing w:after="0" w:line="276"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failure by us or our distributors to obtain regulatory approvals for the sale or use of our current products and our planned future products in various countries;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in managing foreign operations;</w:t>
      </w:r>
    </w:p>
    <w:p>
      <w:pPr>
        <w:spacing w:after="0" w:line="133" w:lineRule="exact"/>
        <w:rPr>
          <w:rFonts w:ascii="Arial" w:cs="Arial" w:eastAsia="Arial" w:hAnsi="Arial"/>
          <w:sz w:val="20"/>
          <w:szCs w:val="20"/>
          <w:color w:val="auto"/>
        </w:rPr>
      </w:pPr>
    </w:p>
    <w:p>
      <w:pPr>
        <w:ind w:left="980" w:right="540" w:hanging="491"/>
        <w:spacing w:after="0" w:line="276"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complexities associated with managing government payer systems, multiple payer-reimbursement regimes or self-pay systems;</w:t>
      </w:r>
    </w:p>
    <w:p>
      <w:pPr>
        <w:spacing w:after="0" w:line="64" w:lineRule="exact"/>
        <w:rPr>
          <w:rFonts w:ascii="Arial" w:cs="Arial" w:eastAsia="Arial" w:hAnsi="Arial"/>
          <w:sz w:val="20"/>
          <w:szCs w:val="20"/>
          <w:color w:val="auto"/>
        </w:rPr>
      </w:pPr>
    </w:p>
    <w:p>
      <w:pPr>
        <w:ind w:left="980" w:right="480" w:hanging="491"/>
        <w:spacing w:after="0" w:line="276"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logistics and regulations associated with shipping products, including infrastructure conditions and transportation delays;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limits on our ability to penetrate international markets if our distributors do not execute successfully;</w:t>
      </w:r>
    </w:p>
    <w:p>
      <w:pPr>
        <w:spacing w:after="0" w:line="133" w:lineRule="exact"/>
        <w:rPr>
          <w:rFonts w:ascii="Arial" w:cs="Arial" w:eastAsia="Arial" w:hAnsi="Arial"/>
          <w:sz w:val="20"/>
          <w:szCs w:val="20"/>
          <w:color w:val="auto"/>
        </w:rPr>
      </w:pPr>
    </w:p>
    <w:p>
      <w:pPr>
        <w:ind w:left="980" w:right="360" w:hanging="491"/>
        <w:spacing w:after="0" w:line="276"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financial risks, such as longer payment cycles, difficulty enforcing contracts and collecting accounts receivable, and exposure to foreign currency exchange rate fluctuations;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60"/>
          </w:cols>
          <w:pgMar w:left="1440" w:top="1420" w:right="1440" w:bottom="175" w:gutter="0" w:footer="0" w:header="0"/>
          <w:type w:val="continuous"/>
        </w:sectPr>
      </w:pPr>
    </w:p>
    <w:bookmarkStart w:id="31" w:name="page32"/>
    <w:bookmarkEnd w:id="31"/>
    <w:p>
      <w:pPr>
        <w:ind w:left="980" w:right="140" w:hanging="491"/>
        <w:spacing w:after="0" w:line="276"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reduced protection for intellectual property rights, or lack of them in certain jurisdictions, forcing more reliance on our trade secrets, if available;</w:t>
      </w:r>
    </w:p>
    <w:p>
      <w:pPr>
        <w:spacing w:after="0" w:line="64" w:lineRule="exact"/>
        <w:rPr>
          <w:rFonts w:ascii="Arial" w:cs="Arial" w:eastAsia="Arial" w:hAnsi="Arial"/>
          <w:sz w:val="20"/>
          <w:szCs w:val="20"/>
          <w:color w:val="auto"/>
        </w:rPr>
      </w:pPr>
    </w:p>
    <w:p>
      <w:pPr>
        <w:ind w:left="980" w:right="240" w:hanging="491"/>
        <w:spacing w:after="0" w:line="258"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natural disasters, political and economic instability, including wars, terrorism and political unrest, including the outbreak of hostilities in the Ukraine, outbreak of disease, boycotts, curtailment of trade and other business restrictions; and</w:t>
      </w:r>
    </w:p>
    <w:p>
      <w:pPr>
        <w:spacing w:after="0" w:line="81" w:lineRule="exact"/>
        <w:rPr>
          <w:rFonts w:ascii="Arial" w:cs="Arial" w:eastAsia="Arial" w:hAnsi="Arial"/>
          <w:sz w:val="20"/>
          <w:szCs w:val="20"/>
          <w:color w:val="auto"/>
        </w:rPr>
      </w:pPr>
    </w:p>
    <w:p>
      <w:pPr>
        <w:ind w:left="980" w:right="20" w:hanging="491"/>
        <w:spacing w:after="0" w:line="258" w:lineRule="auto"/>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comply with the Foreign Corrupt Practices Act, including its books and records provisions and its anti-bribery provisions, by maintaining accurate information and control over sales activities and distributors’ activities.</w:t>
      </w:r>
    </w:p>
    <w:p>
      <w:pPr>
        <w:spacing w:after="0" w:line="67"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color w:val="auto"/>
        </w:rPr>
        <w:t>Any of these risks, if encountered, could significantly harm our future international expansion and operations and, consequently, have a material adverse effect on our financial condition, results of operations and cash flows.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operation of our business</w:t>
      </w:r>
    </w:p>
    <w:p>
      <w:pPr>
        <w:spacing w:after="0" w:line="184"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Any future distribution or commercialization agreements we may enter into for our products may place the development of these products outside our control, may require us to relinquish important rights, or may otherwise be on terms unfavorable to us.</w:t>
      </w:r>
    </w:p>
    <w:p>
      <w:pPr>
        <w:spacing w:after="0" w:line="68"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9"/>
          <w:szCs w:val="19"/>
          <w:color w:val="auto"/>
        </w:rPr>
        <w:t>We may enter into distribution or commercialization agreements with third parties with respect to our products. Our likely collaborators for any distribution, marketing, licensing or other collaboration arrangements include large and mid-size companies, regional and national companies, and distribution or group purchasing organizations. We will have limited control over the amount and timing of resources that our collaborators dedicate to the development or commercialization of our products. Our ability to generate revenue from these arrangements will depend in part on our collaborators’ abilities to successfully perform the functions assigned to them in these arrangements.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Collaborations involving our products are subject to numerous risks, which may include the following:</w:t>
      </w:r>
    </w:p>
    <w:p>
      <w:pPr>
        <w:spacing w:after="0" w:line="134" w:lineRule="exact"/>
        <w:rPr>
          <w:sz w:val="20"/>
          <w:szCs w:val="20"/>
          <w:color w:val="auto"/>
        </w:rPr>
      </w:pPr>
    </w:p>
    <w:p>
      <w:pPr>
        <w:ind w:left="980" w:right="140" w:hanging="491"/>
        <w:spacing w:after="0" w:line="276"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have significant discretion in determining the efforts and resources that they will apply to any such collaborations;</w:t>
      </w:r>
    </w:p>
    <w:p>
      <w:pPr>
        <w:spacing w:after="0" w:line="64" w:lineRule="exact"/>
        <w:rPr>
          <w:rFonts w:ascii="Arial" w:cs="Arial" w:eastAsia="Arial" w:hAnsi="Arial"/>
          <w:sz w:val="20"/>
          <w:szCs w:val="20"/>
          <w:color w:val="auto"/>
        </w:rPr>
      </w:pPr>
    </w:p>
    <w:p>
      <w:pPr>
        <w:ind w:left="980" w:right="100" w:hanging="491"/>
        <w:spacing w:after="0" w:line="252"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not pursue development and commercialization of our products, or may elect not to continue or renew efforts based on clinical study results, changes in their strategic focus for a variety of reasons, potentially including the acquisition of competitive products, availability of funding, and mergers or acquisitions that divert resources or create competing priorities;</w:t>
      </w:r>
    </w:p>
    <w:p>
      <w:pPr>
        <w:spacing w:after="0" w:line="87" w:lineRule="exact"/>
        <w:rPr>
          <w:rFonts w:ascii="Arial" w:cs="Arial" w:eastAsia="Arial" w:hAnsi="Arial"/>
          <w:sz w:val="20"/>
          <w:szCs w:val="20"/>
          <w:color w:val="auto"/>
        </w:rPr>
      </w:pPr>
    </w:p>
    <w:p>
      <w:pPr>
        <w:ind w:left="980" w:right="20" w:hanging="491"/>
        <w:spacing w:after="0" w:line="258"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delay clinical studies, provide insufficient funding for a clinical study program, stop a clinical study, abandon a product, repeat or conduct new clinical studies or require a new engineering iteration of a product for clinical testing;</w:t>
      </w:r>
    </w:p>
    <w:p>
      <w:pPr>
        <w:spacing w:after="0" w:line="81" w:lineRule="exact"/>
        <w:rPr>
          <w:rFonts w:ascii="Arial" w:cs="Arial" w:eastAsia="Arial" w:hAnsi="Arial"/>
          <w:sz w:val="20"/>
          <w:szCs w:val="20"/>
          <w:color w:val="auto"/>
        </w:rPr>
      </w:pPr>
    </w:p>
    <w:p>
      <w:pPr>
        <w:ind w:left="980" w:right="80" w:hanging="491"/>
        <w:spacing w:after="0" w:line="276"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could independently develop, or develop with third parties, products that compete directly or indirectly with our products;</w:t>
      </w:r>
    </w:p>
    <w:p>
      <w:pPr>
        <w:spacing w:after="0" w:line="64" w:lineRule="exact"/>
        <w:rPr>
          <w:rFonts w:ascii="Arial" w:cs="Arial" w:eastAsia="Arial" w:hAnsi="Arial"/>
          <w:sz w:val="20"/>
          <w:szCs w:val="20"/>
          <w:color w:val="auto"/>
        </w:rPr>
      </w:pPr>
    </w:p>
    <w:p>
      <w:pPr>
        <w:ind w:left="980" w:right="60" w:hanging="491"/>
        <w:spacing w:after="0" w:line="276"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a collaborator with marketing and distribution rights to one or more products may not commit sufficient resources to their marketing and distribution;</w:t>
      </w:r>
    </w:p>
    <w:p>
      <w:pPr>
        <w:spacing w:after="0" w:line="64" w:lineRule="exact"/>
        <w:rPr>
          <w:rFonts w:ascii="Arial" w:cs="Arial" w:eastAsia="Arial" w:hAnsi="Arial"/>
          <w:sz w:val="20"/>
          <w:szCs w:val="20"/>
          <w:color w:val="auto"/>
        </w:rPr>
      </w:pPr>
    </w:p>
    <w:p>
      <w:pPr>
        <w:ind w:left="980" w:right="120" w:hanging="491"/>
        <w:spacing w:after="0" w:line="252"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7" w:lineRule="exact"/>
        <w:rPr>
          <w:rFonts w:ascii="Arial" w:cs="Arial" w:eastAsia="Arial" w:hAnsi="Arial"/>
          <w:sz w:val="20"/>
          <w:szCs w:val="20"/>
          <w:color w:val="auto"/>
        </w:rPr>
      </w:pPr>
    </w:p>
    <w:p>
      <w:pPr>
        <w:ind w:left="980" w:right="220" w:hanging="491"/>
        <w:spacing w:after="0" w:line="258"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disputes may arise between us and a collaborator that causes the delay or termination of the research, development or commercialization of our products or that results in costly litigation or arbitration that diverts management attention and resources;</w:t>
      </w:r>
    </w:p>
    <w:p>
      <w:pPr>
        <w:spacing w:after="0" w:line="81" w:lineRule="exact"/>
        <w:rPr>
          <w:rFonts w:ascii="Arial" w:cs="Arial" w:eastAsia="Arial" w:hAnsi="Arial"/>
          <w:sz w:val="20"/>
          <w:szCs w:val="20"/>
          <w:color w:val="auto"/>
        </w:rPr>
      </w:pPr>
    </w:p>
    <w:p>
      <w:pPr>
        <w:ind w:left="980" w:right="20" w:hanging="491"/>
        <w:spacing w:after="0" w:line="276"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collaborations may be terminated and, if terminated, may result in a need for additional capital to pursue further development or commercialization of the applicable products; and</w:t>
      </w:r>
    </w:p>
    <w:p>
      <w:pPr>
        <w:spacing w:after="0" w:line="64" w:lineRule="exact"/>
        <w:rPr>
          <w:rFonts w:ascii="Arial" w:cs="Arial" w:eastAsia="Arial" w:hAnsi="Arial"/>
          <w:sz w:val="20"/>
          <w:szCs w:val="20"/>
          <w:color w:val="auto"/>
        </w:rPr>
      </w:pPr>
    </w:p>
    <w:p>
      <w:pPr>
        <w:ind w:left="980" w:right="420" w:hanging="491"/>
        <w:spacing w:after="0" w:line="258"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own or co-own intellectual property covering our products that results from our collaborating with them, and in such cases, we would not have the exclusive right to commercialize such intellectual property.</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60"/>
          </w:cols>
          <w:pgMar w:left="1440" w:top="1434" w:right="1440" w:bottom="175" w:gutter="0" w:footer="0" w:header="0"/>
          <w:type w:val="continuous"/>
        </w:sectPr>
      </w:pPr>
    </w:p>
    <w:bookmarkStart w:id="32" w:name="page33"/>
    <w:bookmarkEnd w:id="32"/>
    <w:p>
      <w:pPr>
        <w:ind w:right="240"/>
        <w:spacing w:after="0" w:line="277" w:lineRule="auto"/>
        <w:rPr>
          <w:sz w:val="20"/>
          <w:szCs w:val="20"/>
          <w:color w:val="auto"/>
        </w:rPr>
      </w:pPr>
      <w:r>
        <w:rPr>
          <w:rFonts w:ascii="Times New Roman" w:cs="Times New Roman" w:eastAsia="Times New Roman" w:hAnsi="Times New Roman"/>
          <w:sz w:val="20"/>
          <w:szCs w:val="20"/>
          <w:color w:val="auto"/>
        </w:rPr>
        <w:t>Any termination or disruption of collaborations could result in delays in the development of products, increases in our costs to develop the products or the termination of development of a product.</w:t>
      </w:r>
    </w:p>
    <w:p>
      <w:pPr>
        <w:spacing w:after="0" w:line="109"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4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As of December 31, 2022, we had 25 employees and 7 full-time or part-time consultants. Over the next several years, we expect to experience significant growth in the number of our employees and the scope of our operations, particularly in the areas of drug development, quality assurance, engineering, product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Future growth would impose significant added responsibilities on members of management, including:</w:t>
      </w:r>
    </w:p>
    <w:p>
      <w:pPr>
        <w:spacing w:after="0" w:line="96" w:lineRule="exact"/>
        <w:rPr>
          <w:sz w:val="20"/>
          <w:szCs w:val="20"/>
          <w:color w:val="auto"/>
        </w:rPr>
      </w:pPr>
    </w:p>
    <w:p>
      <w:pPr>
        <w:ind w:left="980" w:hanging="491"/>
        <w:spacing w:after="0"/>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managing our clinical trials effectively, which we anticipate being conducted at numerous clinical sites;</w:t>
      </w:r>
    </w:p>
    <w:p>
      <w:pPr>
        <w:spacing w:after="0" w:line="133" w:lineRule="exact"/>
        <w:rPr>
          <w:rFonts w:ascii="Arial" w:cs="Arial" w:eastAsia="Arial" w:hAnsi="Arial"/>
          <w:sz w:val="20"/>
          <w:szCs w:val="20"/>
          <w:color w:val="auto"/>
        </w:rPr>
      </w:pPr>
    </w:p>
    <w:p>
      <w:pPr>
        <w:ind w:left="980" w:right="120" w:hanging="491"/>
        <w:spacing w:after="0" w:line="276"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identifying, recruiting, maintaining, motivating and integrating additional employees with the expertise and experience we will require;</w:t>
      </w:r>
    </w:p>
    <w:p>
      <w:pPr>
        <w:spacing w:after="0" w:line="64" w:lineRule="exact"/>
        <w:rPr>
          <w:rFonts w:ascii="Arial" w:cs="Arial" w:eastAsia="Arial" w:hAnsi="Arial"/>
          <w:sz w:val="20"/>
          <w:szCs w:val="20"/>
          <w:color w:val="auto"/>
        </w:rPr>
      </w:pPr>
    </w:p>
    <w:p>
      <w:pPr>
        <w:ind w:left="980" w:right="60" w:hanging="491"/>
        <w:spacing w:after="0" w:line="276"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managing our internal development efforts effectively while complying with our contractual obligations to licensors, licensees, contractors and other third parties;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managing additional relationships with various strategic partners, suppliers and other third parties;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improving our managerial, development, operational and finance reporting systems and procedures;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expanding our facilities.</w:t>
      </w:r>
    </w:p>
    <w:p>
      <w:pPr>
        <w:spacing w:after="0" w:line="119"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color w:val="auto"/>
        </w:rPr>
        <w:t>Our failure to accomplish any of these tasks could prevent us from successfully growing. Any inability to manage growth could delay the execution of our business plans or disrupt our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Because we intend to commercialize our products outside the U.S., we will be subject to additional risks.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variety of risks associated with international operations could materially adversely affect our business, including:</w:t>
      </w:r>
    </w:p>
    <w:p>
      <w:pPr>
        <w:spacing w:after="0" w:line="134" w:lineRule="exact"/>
        <w:rPr>
          <w:sz w:val="20"/>
          <w:szCs w:val="20"/>
          <w:color w:val="auto"/>
        </w:rPr>
      </w:pPr>
    </w:p>
    <w:p>
      <w:pPr>
        <w:ind w:left="980" w:hanging="491"/>
        <w:spacing w:after="0"/>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different regulatory requirements for drug approvals in foreign countries;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reduced protection for intellectual property rights;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unexpected changes in tariffs, trade barriers and regulatory requirements;</w:t>
      </w:r>
    </w:p>
    <w:p>
      <w:pPr>
        <w:spacing w:after="0" w:line="133" w:lineRule="exact"/>
        <w:rPr>
          <w:rFonts w:ascii="Arial" w:cs="Arial" w:eastAsia="Arial" w:hAnsi="Arial"/>
          <w:sz w:val="20"/>
          <w:szCs w:val="20"/>
          <w:color w:val="auto"/>
        </w:rPr>
      </w:pPr>
    </w:p>
    <w:p>
      <w:pPr>
        <w:ind w:left="980" w:right="540" w:hanging="491"/>
        <w:spacing w:after="0" w:line="276"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economic weakness, including inflation or political instability in particular foreign economies and markets;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compliance with tax, employment, immigration and labor laws for employees living or traveling abroad;</w:t>
      </w:r>
    </w:p>
    <w:p>
      <w:pPr>
        <w:spacing w:after="0" w:line="145" w:lineRule="exact"/>
        <w:rPr>
          <w:rFonts w:ascii="Arial" w:cs="Arial" w:eastAsia="Arial" w:hAnsi="Arial"/>
          <w:sz w:val="19"/>
          <w:szCs w:val="19"/>
          <w:color w:val="auto"/>
        </w:rPr>
      </w:pPr>
    </w:p>
    <w:p>
      <w:pPr>
        <w:ind w:left="980" w:hanging="491"/>
        <w:spacing w:after="0"/>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foreign taxes, including withholding of payroll taxes;</w:t>
      </w:r>
    </w:p>
    <w:p>
      <w:pPr>
        <w:spacing w:after="0" w:line="133" w:lineRule="exact"/>
        <w:rPr>
          <w:rFonts w:ascii="Arial" w:cs="Arial" w:eastAsia="Arial" w:hAnsi="Arial"/>
          <w:sz w:val="20"/>
          <w:szCs w:val="20"/>
          <w:color w:val="auto"/>
        </w:rPr>
      </w:pPr>
    </w:p>
    <w:p>
      <w:pPr>
        <w:ind w:left="980" w:right="140" w:hanging="491"/>
        <w:spacing w:after="0" w:line="276"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foreign currency fluctuations, which could result in increased operating expenses and reduced revenue, and other obligations incident to doing business in another country;</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workforce uncertainty in countries where labor unrest is more common than in the U.S.;</w:t>
      </w:r>
    </w:p>
    <w:p>
      <w:pPr>
        <w:spacing w:after="0" w:line="133" w:lineRule="exact"/>
        <w:rPr>
          <w:rFonts w:ascii="Arial" w:cs="Arial" w:eastAsia="Arial" w:hAnsi="Arial"/>
          <w:sz w:val="20"/>
          <w:szCs w:val="20"/>
          <w:color w:val="auto"/>
        </w:rPr>
      </w:pPr>
    </w:p>
    <w:p>
      <w:pPr>
        <w:ind w:left="980" w:right="780" w:hanging="491"/>
        <w:spacing w:after="0" w:line="276"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production shortages resulting from any events affecting raw material supply or manufacturing capabilities abroad; and</w:t>
      </w:r>
    </w:p>
    <w:p>
      <w:pPr>
        <w:spacing w:after="0" w:line="64" w:lineRule="exact"/>
        <w:rPr>
          <w:rFonts w:ascii="Arial" w:cs="Arial" w:eastAsia="Arial" w:hAnsi="Arial"/>
          <w:sz w:val="20"/>
          <w:szCs w:val="20"/>
          <w:color w:val="auto"/>
        </w:rPr>
      </w:pPr>
    </w:p>
    <w:p>
      <w:pPr>
        <w:ind w:left="980" w:right="240" w:hanging="491"/>
        <w:spacing w:after="0" w:line="258"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business interruptions resulting from geopolitical actions, including war and terrorism, including the outbreak of hostilities in the Ukraine, or natural disasters including earthquakes, typhoons, floods and fires.</w:t>
      </w:r>
    </w:p>
    <w:p>
      <w:pPr>
        <w:spacing w:after="0" w:line="127"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conduct certain components of our clinical studies, and those third parties may not perform satisfactorily, including failing to meet deadlines for the completion of such studies.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60"/>
          </w:cols>
          <w:pgMar w:left="1440" w:top="1420" w:right="1440" w:bottom="175" w:gutter="0" w:footer="0" w:header="0"/>
          <w:type w:val="continuous"/>
        </w:sectPr>
      </w:pPr>
    </w:p>
    <w:bookmarkStart w:id="33" w:name="page34"/>
    <w:bookmarkEnd w:id="33"/>
    <w:p>
      <w:pPr>
        <w:ind w:right="80"/>
        <w:spacing w:after="0" w:line="242" w:lineRule="auto"/>
        <w:rPr>
          <w:sz w:val="20"/>
          <w:szCs w:val="20"/>
          <w:color w:val="auto"/>
        </w:rPr>
      </w:pPr>
      <w:r>
        <w:rPr>
          <w:rFonts w:ascii="Times New Roman" w:cs="Times New Roman" w:eastAsia="Times New Roman" w:hAnsi="Times New Roman"/>
          <w:sz w:val="20"/>
          <w:szCs w:val="20"/>
          <w:color w:val="auto"/>
        </w:rPr>
        <w:t>We rely on third parties, such as CROs, investigational product packaging, labeling and distribution, laboratories, medical institutions and clinical investigators and staff, to perform various functions for our clinical trials. Our reliance on these third parties for clinical development activities reduces our control over these activities but does not relieve us of our responsibilities. We remain responsible for ensuring that each of our clinical studies is conducted in accordance with the general investigational plan and protocols for the study. Moreover, the FDA requires us and third parties involved in the set-up, conduct, analysis and reporting of the clinical studies to comply with regulations and with standards, commonly referred to as good clinical practices (GCPs), to assure that data and reported results are credible and accurate and that the rights, integrity and confidentiality of patients in clinical studies are protected. Our clinical investigators are also required to comply with GCPs. Furthermore, these third parties may also have relationships with other entities, some of which may be our competitors. If these third parties do not successfully carry out their contractual duties, meet expected deadlines or conduct our clinical studies in accordance with regulatory requirements or our stated protocols, we will not be able to obtain, or may be delayed in obtaining, regulatory approvals for our planned products and will not be able to, or may be delayed in our efforts to, successfully commercialize our planned products.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use biological and hazardous materials in a manner that causes injury, we could be liable for damages.</w:t>
      </w:r>
    </w:p>
    <w:p>
      <w:pPr>
        <w:spacing w:after="0" w:line="12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auto"/>
        </w:rPr>
        <w:t>Our manufacturing processes currently require the controlled use of potentially harmful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The cost of compliance with these laws and regulations may become significant and could have a material adverse effect on our financial condition, results of operations and cash flows. In the event of an accident or if we otherwise fail to comply with applicable regulations, we could lose our permits or approvals or be held liable for damages or penalized with fines.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w:t>
      </w:r>
    </w:p>
    <w:p>
      <w:pPr>
        <w:spacing w:after="0" w:line="184" w:lineRule="exact"/>
        <w:rPr>
          <w:sz w:val="20"/>
          <w:szCs w:val="20"/>
          <w:color w:val="auto"/>
        </w:rPr>
      </w:pPr>
    </w:p>
    <w:p>
      <w:pPr>
        <w:ind w:right="18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25"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Patent and other intellectual property litigation is prevalent in our sectors. Our commercial success depends upon our ability and the ability of our distributors, contract manufacturers, and suppliers to manufacture, market, and sell our planned products, and to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products and technology. Third parties may assert infringement claims against us based on existing or future intellectual property rights. If we are found to infringe a third-party’s intellectual property rights, we could be required to obtain a license from such third-party to continue developing and marketing our products and technology. We may also elect to enter into such a license in order to settle pending or threatened litigation. However, we may not be able to obtain any required license on commercially reasonable terms or at all. Even if we were able to obtain a license, it could be non-exclusive, thereby giving our competitors access to the same technologies licensed to us and could require us to pay significant royalties and other fees.</w:t>
      </w:r>
    </w:p>
    <w:p>
      <w:pPr>
        <w:spacing w:after="0" w:line="86"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We could be forced, including by court order, to cease commercializing the infringing technology or product. In addition, we could be found liable for monetary damages. A finding of infringement could prevent us from commercializing our planned products or force us to cease some of our business operations, which could materially harm our business. 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These and other claims that we have misappropriated the confidential information or trade secrets of third parties can have a similar negative impact on our business to the infringement claims discussed above.</w:t>
      </w:r>
    </w:p>
    <w:p>
      <w:pPr>
        <w:spacing w:after="0" w:line="82" w:lineRule="exact"/>
        <w:rPr>
          <w:sz w:val="20"/>
          <w:szCs w:val="20"/>
          <w:color w:val="auto"/>
        </w:rPr>
      </w:pPr>
    </w:p>
    <w:p>
      <w:pPr>
        <w:ind w:right="140"/>
        <w:spacing w:after="0" w:line="305" w:lineRule="auto"/>
        <w:rPr>
          <w:sz w:val="20"/>
          <w:szCs w:val="20"/>
          <w:color w:val="auto"/>
        </w:rPr>
      </w:pPr>
      <w:r>
        <w:rPr>
          <w:rFonts w:ascii="Times New Roman" w:cs="Times New Roman" w:eastAsia="Times New Roman" w:hAnsi="Times New Roman"/>
          <w:sz w:val="19"/>
          <w:szCs w:val="19"/>
          <w:color w:val="auto"/>
        </w:rPr>
        <w:t>Even if we are successful in defending against intellectual property claims, litigation or other legal proceedings relating to such claims may cause us to incur significant expenses and could distract our technical and management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60"/>
          </w:cols>
          <w:pgMar w:left="1440" w:top="1420" w:right="1440" w:bottom="175" w:gutter="0" w:footer="0" w:header="0"/>
          <w:type w:val="continuous"/>
        </w:sectPr>
      </w:pPr>
    </w:p>
    <w:bookmarkStart w:id="34" w:name="page35"/>
    <w:bookmarkEnd w:id="34"/>
    <w:p>
      <w:pPr>
        <w:ind w:right="60"/>
        <w:spacing w:after="0" w:line="244" w:lineRule="auto"/>
        <w:rPr>
          <w:sz w:val="20"/>
          <w:szCs w:val="20"/>
          <w:color w:val="auto"/>
        </w:rPr>
      </w:pPr>
      <w:r>
        <w:rPr>
          <w:rFonts w:ascii="Times New Roman" w:cs="Times New Roman" w:eastAsia="Times New Roman" w:hAnsi="Times New Roman"/>
          <w:sz w:val="20"/>
          <w:szCs w:val="20"/>
          <w:color w:val="auto"/>
        </w:rPr>
        <w:t>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have a material adverse effect on our ability to compete in the marketplace.</w:t>
      </w:r>
    </w:p>
    <w:p>
      <w:pPr>
        <w:spacing w:after="0" w:line="14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ability to successfully commercialize our technology and products may be materially adversely affected if we are unable to obtain and maintain effective intellectual property rights for our technologies and planned products, or if the scope of the intellectual property protection is not sufficiently broad.</w:t>
      </w:r>
    </w:p>
    <w:p>
      <w:pPr>
        <w:spacing w:after="0" w:line="68" w:lineRule="exact"/>
        <w:rPr>
          <w:sz w:val="20"/>
          <w:szCs w:val="20"/>
          <w:color w:val="auto"/>
        </w:rPr>
      </w:pPr>
    </w:p>
    <w:p>
      <w:pPr>
        <w:ind w:right="700"/>
        <w:spacing w:after="0" w:line="305" w:lineRule="auto"/>
        <w:rPr>
          <w:sz w:val="20"/>
          <w:szCs w:val="20"/>
          <w:color w:val="auto"/>
        </w:rPr>
      </w:pPr>
      <w:r>
        <w:rPr>
          <w:rFonts w:ascii="Times New Roman" w:cs="Times New Roman" w:eastAsia="Times New Roman" w:hAnsi="Times New Roman"/>
          <w:sz w:val="19"/>
          <w:szCs w:val="19"/>
          <w:color w:val="auto"/>
        </w:rPr>
        <w:t>Our success depends in large part on our ability to obtain and maintain patent and other intellectual property protection in the U.S. and in other countries with respect to our proprietary technology and products.</w:t>
      </w:r>
    </w:p>
    <w:p>
      <w:pPr>
        <w:spacing w:after="0" w:line="2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patent position of pharmaceutical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the patent rights we rely on are highly uncertain. Pending and future patent applications may not result in patents being issued which protect our technology or products or which effectively prevent others from commercializing competitive technologies and products. Changes in either the patent laws or interpretation of the patent laws in the U.S. and other countries may diminish the value of the patents we rely on or narrow the scope of our patent protection. The laws of foreign countries may not protect our rights to the same extent as the laws of the U.S.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or were the first to file for patent protection of such inventions.</w:t>
      </w:r>
    </w:p>
    <w:p>
      <w:pPr>
        <w:spacing w:after="0" w:line="8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Even if the patent applications we rely on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The issuance of a patent is not conclusive as to its scope, validity or enforceability, and the patents we rely on may be challenged in the courts or patent offices in the U.S. and abroad. 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planned products, patents protecting such products might expire before or shortly after such products are commercialized. As a result, our patent portfolio may not provide us with sufficient rights to exclude others from commercializing products similar or identical to ours or otherwise provide us with a competitive advantage.</w:t>
      </w:r>
    </w:p>
    <w:p>
      <w:pPr>
        <w:spacing w:after="0" w:line="86"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color w:val="auto"/>
        </w:rPr>
        <w:t>The scope, validity, enforceability, and commercial value of trademark rights are also uncertain. Pending and future trademark applications may not be successful.</w:t>
      </w:r>
    </w:p>
    <w:p>
      <w:pPr>
        <w:spacing w:after="0" w:line="109"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legal proceedings to protect or enforce our intellectual property rights, which could be expensive, time-consuming, or unsuccessful.</w:t>
      </w:r>
    </w:p>
    <w:p>
      <w:pPr>
        <w:spacing w:after="0" w:line="4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Competitors may infringe or otherwise violate the patents we rely on, or our other intellectual property rights including trademarks.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we are asserting is invalid or unenforceable or may refuse to stop the other party from using the technology at issue on the grounds that the patents we are asserting do not cover the technology in question. An adverse result in any litigation proceeding could put one or more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60"/>
          </w:cols>
          <w:pgMar w:left="1440" w:top="1420" w:right="1440" w:bottom="175" w:gutter="0" w:footer="0" w:header="0"/>
          <w:type w:val="continuous"/>
        </w:sectPr>
      </w:pPr>
    </w:p>
    <w:bookmarkStart w:id="35" w:name="page36"/>
    <w:bookmarkEnd w:id="35"/>
    <w:p>
      <w:pPr>
        <w:ind w:right="20"/>
        <w:spacing w:after="0" w:line="243" w:lineRule="auto"/>
        <w:rPr>
          <w:sz w:val="20"/>
          <w:szCs w:val="20"/>
          <w:color w:val="auto"/>
        </w:rPr>
      </w:pPr>
      <w:r>
        <w:rPr>
          <w:rFonts w:ascii="Times New Roman" w:cs="Times New Roman" w:eastAsia="Times New Roman" w:hAnsi="Times New Roman"/>
          <w:sz w:val="20"/>
          <w:szCs w:val="20"/>
          <w:color w:val="auto"/>
        </w:rPr>
        <w:t>Interference or derivation proceedings provoked by third parties or brought by the U.S. Patent and Trademark Office (USPTO), or any foreign patent authority may be necessary to determine the priority of inventions or other matters of inventorship with respect to patents and patent applications. We may become involved in proceedings, including oppositions, interferences, derivation proceedings interparty reviews, patent nullification proceedings, or re-examinations, challenging our patent rights or the patent rights of others, and the outcome of any such proceedings are highly uncertain. An adverse determination in any such proceeding could reduce the scope of, or invalidate, important patent rights, allow third parties to commercialize our technology or products and compete directly with us, without payment to us, or result in our inability to manufacture or commercialize products without infringing third-party patent rights. Our business also could be harmed if a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If we are unable to resolve these disputes, we could lose valuable intellectual property rights.</w:t>
      </w:r>
    </w:p>
    <w:p>
      <w:pPr>
        <w:spacing w:after="0" w:line="8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Even if resolved in our favor, litigation or other legal proceedings relating to intellectual property claims may cause us to incur significant expenses and could distract our technical 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Uncertainties resulting from the initiation and continuation of intellectual property litigation or other proceedings could have a material adverse effect on our ability to compete in the marketplace.</w:t>
      </w:r>
    </w:p>
    <w:p>
      <w:pPr>
        <w:spacing w:after="0" w:line="14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trade secrets, the value of our technology could be materially adversely affected, harming our business and competitive position.</w:t>
      </w:r>
    </w:p>
    <w:p>
      <w:pPr>
        <w:spacing w:after="0" w:line="4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In addition to our patented technology and products, we rely upon confidential proprietary information, including trade secrets, unpatented know-how, technology and other proprietary information, to develop and maintain our competitive position. Any disclosure to or misappropriation by third parties of our confidential proprietary information could enable competitors to quickly duplicate or surpass our technological achievements, thus eroding our competitive position in the market. We seek to protect our confidential proprietary information, in part, by confidentiality agreements with our employees and our collaborators and consultants. We also have agreements with our employees and selected consultants that obligate them to assign their inventions to us. These agreements are designed to protect our proprietary information; however, we cannot be certain that our trade secrets and other confidential information will not be disclosed or that competitors will not otherwise gain access to our trade secrets, or that technology relevant to our business will not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trade secrets and confidential information to the same extent as the laws of the U.S.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protect or enforce our intellectual property rights throughout the world.</w:t>
      </w:r>
    </w:p>
    <w:p>
      <w:pPr>
        <w:spacing w:after="0" w:line="1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color w:val="auto"/>
        </w:rPr>
        <w:t>Filing, prosecuting and defending patents and trademarks on all of our planned products throughout the world would be prohibitively expensive to us. Competitors may use our technologies in jurisdictions where we have not obtained patent protection to develop their own products and, further, may export otherwise infringing products to territories where we have patent protection but where enforcement is not as strong as in the U.S. These products may compete with our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60"/>
          </w:cols>
          <w:pgMar w:left="1440" w:top="1420" w:right="1440" w:bottom="175" w:gutter="0" w:footer="0" w:header="0"/>
          <w:type w:val="continuous"/>
        </w:sectPr>
      </w:pPr>
    </w:p>
    <w:bookmarkStart w:id="36" w:name="page37"/>
    <w:bookmarkEnd w:id="36"/>
    <w:p>
      <w:pPr>
        <w:ind w:right="820"/>
        <w:spacing w:after="0" w:line="277" w:lineRule="auto"/>
        <w:rPr>
          <w:sz w:val="20"/>
          <w:szCs w:val="20"/>
          <w:color w:val="auto"/>
        </w:rPr>
      </w:pPr>
      <w:r>
        <w:rPr>
          <w:rFonts w:ascii="Times New Roman" w:cs="Times New Roman" w:eastAsia="Times New Roman" w:hAnsi="Times New Roman"/>
          <w:sz w:val="20"/>
          <w:szCs w:val="20"/>
          <w:color w:val="auto"/>
        </w:rPr>
        <w:t>proprietary rights generally. Proceedings to enforce our patent rights in foreign jurisdictions could result in substantial cost and divert our efforts and attention from other aspects of our business.</w:t>
      </w:r>
    </w:p>
    <w:p>
      <w:pPr>
        <w:spacing w:after="0" w:line="159" w:lineRule="exact"/>
        <w:rPr>
          <w:sz w:val="20"/>
          <w:szCs w:val="20"/>
          <w:color w:val="auto"/>
        </w:rPr>
      </w:pPr>
    </w:p>
    <w:p>
      <w:pPr>
        <w:jc w:val="both"/>
        <w:ind w:right="500"/>
        <w:spacing w:after="0" w:line="258" w:lineRule="auto"/>
        <w:rPr>
          <w:sz w:val="20"/>
          <w:szCs w:val="20"/>
          <w:color w:val="auto"/>
        </w:rPr>
      </w:pPr>
      <w:r>
        <w:rPr>
          <w:rFonts w:ascii="Times New Roman" w:cs="Times New Roman" w:eastAsia="Times New Roman" w:hAnsi="Times New Roman"/>
          <w:sz w:val="20"/>
          <w:szCs w:val="20"/>
          <w:color w:val="auto"/>
        </w:rPr>
        <w:t>The ongoing conflict in Ukraine and related sanctions could significantly devalue our Russian, Belarusian, and Eurasian patents and/or patent applications. Recent Russian decrees may also significantly limit our ability to enforce Russian patents. We cannot predict when or how this situation will change.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rights do not necessarily address all potential threats to our competitive advantage.</w:t>
      </w:r>
    </w:p>
    <w:p>
      <w:pPr>
        <w:spacing w:after="0" w:line="1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83" w:lineRule="exact"/>
        <w:rPr>
          <w:sz w:val="20"/>
          <w:szCs w:val="20"/>
          <w:color w:val="auto"/>
        </w:rPr>
      </w:pPr>
    </w:p>
    <w:p>
      <w:pPr>
        <w:ind w:left="980" w:right="300" w:hanging="491"/>
        <w:spacing w:after="0" w:line="276"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others may be able to make products that are similar to our current and planned products, but that are not covered by claims in our patents;</w:t>
      </w:r>
    </w:p>
    <w:p>
      <w:pPr>
        <w:spacing w:after="0" w:line="64" w:lineRule="exact"/>
        <w:rPr>
          <w:rFonts w:ascii="Arial" w:cs="Arial" w:eastAsia="Arial" w:hAnsi="Arial"/>
          <w:sz w:val="20"/>
          <w:szCs w:val="20"/>
          <w:color w:val="auto"/>
        </w:rPr>
      </w:pPr>
    </w:p>
    <w:p>
      <w:pPr>
        <w:ind w:left="980" w:right="240" w:hanging="491"/>
        <w:spacing w:after="0" w:line="276"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original filers of our patents that we developed or purchased might not have been the first to make the inventions covered by the claims contained in such patents;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we might not have been the first to file patent applications covering an invention;</w:t>
      </w:r>
    </w:p>
    <w:p>
      <w:pPr>
        <w:spacing w:after="0" w:line="133" w:lineRule="exact"/>
        <w:rPr>
          <w:rFonts w:ascii="Arial" w:cs="Arial" w:eastAsia="Arial" w:hAnsi="Arial"/>
          <w:sz w:val="20"/>
          <w:szCs w:val="20"/>
          <w:color w:val="auto"/>
        </w:rPr>
      </w:pPr>
    </w:p>
    <w:p>
      <w:pPr>
        <w:ind w:left="980" w:right="980" w:hanging="491"/>
        <w:spacing w:after="0" w:line="276"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others may independently develop similar or alternative technologies or duplicate any of our technologies without infringing our intellectual property rights;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pending patent applications may not lead to issued patents;</w:t>
      </w:r>
    </w:p>
    <w:p>
      <w:pPr>
        <w:spacing w:after="0" w:line="133" w:lineRule="exact"/>
        <w:rPr>
          <w:rFonts w:ascii="Arial" w:cs="Arial" w:eastAsia="Arial" w:hAnsi="Arial"/>
          <w:sz w:val="20"/>
          <w:szCs w:val="20"/>
          <w:color w:val="auto"/>
        </w:rPr>
      </w:pPr>
    </w:p>
    <w:p>
      <w:pPr>
        <w:ind w:left="980" w:right="880" w:hanging="491"/>
        <w:spacing w:after="0" w:line="276"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issued patents may not provide us with any competitive advantages, or may be held invalid or unenforceable, as a result of legal challenges by our competitors;</w:t>
      </w:r>
    </w:p>
    <w:p>
      <w:pPr>
        <w:spacing w:after="0" w:line="64" w:lineRule="exact"/>
        <w:rPr>
          <w:rFonts w:ascii="Arial" w:cs="Arial" w:eastAsia="Arial" w:hAnsi="Arial"/>
          <w:sz w:val="20"/>
          <w:szCs w:val="20"/>
          <w:color w:val="auto"/>
        </w:rPr>
      </w:pPr>
    </w:p>
    <w:p>
      <w:pPr>
        <w:jc w:val="both"/>
        <w:ind w:left="980" w:right="160" w:hanging="491"/>
        <w:spacing w:after="0" w:line="258"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81" w:lineRule="exact"/>
        <w:rPr>
          <w:rFonts w:ascii="Arial" w:cs="Arial" w:eastAsia="Arial" w:hAnsi="Arial"/>
          <w:sz w:val="20"/>
          <w:szCs w:val="20"/>
          <w:color w:val="auto"/>
        </w:rPr>
      </w:pPr>
    </w:p>
    <w:p>
      <w:pPr>
        <w:ind w:left="980" w:hanging="491"/>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develop or in-license additional proprietary technologies that are patentable;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patents of others may have an adverse effect on our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Should any of these events occur, they could significantly harm our business, results of operations and prospects.</w:t>
      </w:r>
    </w:p>
    <w:p>
      <w:pPr>
        <w:spacing w:after="0" w:line="180"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Periodic maintenance fees, renewal fees, annuity fees and various other governmental fees on patents or applications will be due to be paid by us to the USPTO and various governmental patent agencies outside of the U.S. in several stages over the lifetime of the patents or applications. The USPTO and various non-U.S. governmental patent agencies require compliance with a number of procedural, documentary, fee payment and other similar provisions during the patent application process.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use our technologies and this circumstance would have a material adverse effect on our business.</w:t>
      </w:r>
    </w:p>
    <w:p>
      <w:pPr>
        <w:spacing w:after="0" w:line="146"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109"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0"/>
          <w:szCs w:val="20"/>
          <w:color w:val="auto"/>
        </w:rPr>
        <w:t>The U.S.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60"/>
          </w:cols>
          <w:pgMar w:left="1440" w:top="1420" w:right="1440" w:bottom="175" w:gutter="0" w:footer="0" w:header="0"/>
          <w:type w:val="continuous"/>
        </w:sectPr>
      </w:pPr>
    </w:p>
    <w:bookmarkStart w:id="37" w:name="page38"/>
    <w:bookmarkEnd w:id="37"/>
    <w:p>
      <w:pPr>
        <w:ind w:right="120"/>
        <w:spacing w:after="0" w:line="246" w:lineRule="auto"/>
        <w:rPr>
          <w:sz w:val="20"/>
          <w:szCs w:val="20"/>
          <w:color w:val="auto"/>
        </w:rPr>
      </w:pPr>
      <w:r>
        <w:rPr>
          <w:rFonts w:ascii="Times New Roman" w:cs="Times New Roman" w:eastAsia="Times New Roman" w:hAnsi="Times New Roman"/>
          <w:sz w:val="20"/>
          <w:szCs w:val="20"/>
          <w:color w:val="auto"/>
        </w:rPr>
        <w:t>respect to the value of patents, once obtained.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140"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do not obtain a patent term extension in the U.S. under the Hatch-Waxman Act and in foreign countries under similar legislation, thereby potentially extending the term of our marketing exclusivity for our planned products, our business may be materially harmed.</w:t>
      </w:r>
    </w:p>
    <w:p>
      <w:pPr>
        <w:spacing w:after="0" w:line="6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Depending upon the timing, duration and specifics of FDA marketing approval of our products, if any, one or more of the U.S. patents covering any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planned products. Nevertheless, we may not be granted patent term extension either in the U.S. or in any foreign country because of, for example, our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86"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If we are unable to obtain patent term extension or restoration, or the term of any such extension is less than requested,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w:t>
      </w:r>
    </w:p>
    <w:p>
      <w:pPr>
        <w:spacing w:after="0" w:line="18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regulatory approval process is expensive, time consuming and uncertain, and may prevent us from obtaining approvals for our planned products.</w:t>
      </w:r>
    </w:p>
    <w:p>
      <w:pPr>
        <w:spacing w:after="0" w:line="4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color w:val="auto"/>
        </w:rPr>
        <w:t>The research, testing, manufacturing, labeling, approval, selling, import, export, marketing and distribution of our products are subject to extensive regulation by the FDA in the U.S. and other regulatory authorities in other countries, which regulations differ from country to country. We are not permitted to market our planned products in the U.S. until we received the requisite approval or clearance from the FDA. We have not submitted an application or received marketing approval for any planned products. Obtaining approvals from the FDA can be a lengthy, expensive and uncertain process. In addition, failure to comply with FDA and other applicable U.S. and foreign regulatory requirements may subject us to administrative or judicially imposed sanctions, including the following:</w:t>
      </w:r>
    </w:p>
    <w:p>
      <w:pPr>
        <w:spacing w:after="0" w:line="81" w:lineRule="exact"/>
        <w:rPr>
          <w:sz w:val="20"/>
          <w:szCs w:val="20"/>
          <w:color w:val="auto"/>
        </w:rPr>
      </w:pPr>
    </w:p>
    <w:p>
      <w:pPr>
        <w:ind w:left="980" w:hanging="491"/>
        <w:spacing w:after="0"/>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warning letters;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civil or criminal penalties and fines;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suspension or withdrawal of regulatory approval;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suspension of any ongoing clinical studies;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voluntary or mandatory product recalls and publicity requirements;</w:t>
      </w:r>
    </w:p>
    <w:p>
      <w:pPr>
        <w:spacing w:after="0" w:line="133" w:lineRule="exact"/>
        <w:rPr>
          <w:rFonts w:ascii="Arial" w:cs="Arial" w:eastAsia="Arial" w:hAnsi="Arial"/>
          <w:sz w:val="20"/>
          <w:szCs w:val="20"/>
          <w:color w:val="auto"/>
        </w:rPr>
      </w:pPr>
    </w:p>
    <w:p>
      <w:pPr>
        <w:ind w:left="980" w:right="940" w:hanging="491"/>
        <w:spacing w:after="0" w:line="276" w:lineRule="auto"/>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refusal to accept or approve applications for marketing approval of new drugs or biologics or supplements to approved applications filed by us;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operations, including costly new manufacturing requirements; or</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seizure or detention of our products or import bans.</w:t>
      </w:r>
    </w:p>
    <w:p>
      <w:pPr>
        <w:spacing w:after="0" w:line="11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9"/>
          <w:szCs w:val="19"/>
          <w:color w:val="auto"/>
        </w:rPr>
        <w:t>Prior to receiving approval to commercialize any of our planned products in the U.S. or abroad, we may be required to demonstrate with substantial evidence from well-controlled clinical studies, and to the satisfaction of the FDA and other regulatory authorities abroad, that such planned products are safe and effective for their intended uses. Results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60"/>
          </w:cols>
          <w:pgMar w:left="1440" w:top="1420" w:right="1440" w:bottom="175" w:gutter="0" w:footer="0" w:header="0"/>
          <w:type w:val="continuous"/>
        </w:sectPr>
      </w:pPr>
    </w:p>
    <w:bookmarkStart w:id="38" w:name="page39"/>
    <w:bookmarkEnd w:id="38"/>
    <w:p>
      <w:pPr>
        <w:spacing w:after="0" w:line="249" w:lineRule="auto"/>
        <w:rPr>
          <w:sz w:val="20"/>
          <w:szCs w:val="20"/>
          <w:color w:val="auto"/>
        </w:rPr>
      </w:pPr>
      <w:r>
        <w:rPr>
          <w:rFonts w:ascii="Times New Roman" w:cs="Times New Roman" w:eastAsia="Times New Roman" w:hAnsi="Times New Roman"/>
          <w:sz w:val="20"/>
          <w:szCs w:val="20"/>
          <w:color w:val="auto"/>
        </w:rPr>
        <w:t>from preclinical studies and clinical studies can be interpreted in different ways. Even if we believe the preclinical or clinical data for our planned products are promising, such data may not be sufficient to support approval by the FDA and other regulatory authorities. Administering any of our planned products to humans may produce undesirable side effects, which could interrupt, delay or cause suspension of clinical studies of our planned products and result in the FDA or other regulatory authorities denying approval of our planned products for any or all targeted indications.</w:t>
      </w:r>
    </w:p>
    <w:p>
      <w:pPr>
        <w:spacing w:after="0" w:line="7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Regulatory approval from the FDA is not guaranteed, and the approval process is expensive and may take several years. The FDA also has substantial discretion in the approval process. Despite the time and expense exerted, failure can occur at any stage, and we could encounter problems that cause us to abandon or repeat clinical studies or perform additional preclinical studies and clinical studies. The number of preclinical studies and clinical studies that will be required for FDA approval varies depending on the planned product, the disease or condition that the planned product is designed to address and the regulations applicable to any particular planned product. The FDA can delay, limit or deny approval of a planned product for many reasons, including, but not limited to, the following:</w:t>
      </w:r>
    </w:p>
    <w:p>
      <w:pPr>
        <w:spacing w:after="0" w:line="94" w:lineRule="exact"/>
        <w:rPr>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a planned product may not be deemed safe or effective;</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FDA officials may not find the data from preclinical studies and clinical studies sufficient;</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FDA might not approve our or our third-party manufacturer’s processes or facilities; or</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FDA may change its approval policies or adopt new regulations.</w:t>
      </w:r>
    </w:p>
    <w:p>
      <w:pPr>
        <w:spacing w:after="0" w:line="119"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20"/>
          <w:szCs w:val="20"/>
          <w:color w:val="auto"/>
        </w:rPr>
        <w:t>If any planned products fail to demonstrate safety and effectiveness in clinical studies or do not gain regulatory approval, our business and results of operations will be materially and adversely harmed.</w:t>
      </w:r>
    </w:p>
    <w:p>
      <w:pPr>
        <w:spacing w:after="0" w:line="4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9"/>
          <w:szCs w:val="19"/>
          <w:color w:val="auto"/>
        </w:rPr>
        <w:t>The research, development, conduct of clinical trials, manufacturing, labeling, approval, selling, import, export, marketing and distribution of pharmaceutical and biologic products also are subject to extensive regulation by the FDA in the U.S. and other regulatory authorities in other countries, which regulations differ from country to country.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Nonclinical Testing</w:t>
      </w:r>
    </w:p>
    <w:p>
      <w:pPr>
        <w:spacing w:after="0" w:line="120"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0"/>
          <w:szCs w:val="20"/>
          <w:color w:val="auto"/>
        </w:rPr>
        <w:t>Before a drug candidate in can be tested in humans, it must be studied in laboratory experiments and in animals to generate data to support the drug candidate’s potential benefits and safety. Additional nonclinical testing may be required during the clinical development process such as reproductive toxicology and juvenile toxicology studies. Carcinogenicity studies in two species are generally required for products intended for long-term use.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Investigational New Drug Exemption Application (IND)</w:t>
      </w:r>
    </w:p>
    <w:p>
      <w:pPr>
        <w:spacing w:after="0" w:line="120"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The results of initial nonclinical tests, together with manufacturing information, analytical data and a proposed clinical trial protocol and other information, are submitted as part of an IND to the FDA. If FDA does not identify significant issues during the initial 30-day IND review, the drug candidate can then be studied in human clinical trials to determine if the drug candidate is safe and effective. Each clinical trial protocol and/or amendment, new nonclinical data, and/or new or revised manufacturing information must be submitted to the IND, and the FDA has 30 days to complete its review of each submission.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Trials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clinical trials involve three separate phases that often overlap, can take many years and are very expensive.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three phases, which are subject to considerable regulation, are as follows:</w:t>
      </w:r>
    </w:p>
    <w:p>
      <w:pPr>
        <w:spacing w:after="0" w:line="106" w:lineRule="exact"/>
        <w:rPr>
          <w:sz w:val="20"/>
          <w:szCs w:val="20"/>
          <w:color w:val="auto"/>
        </w:rPr>
      </w:pPr>
    </w:p>
    <w:p>
      <w:pPr>
        <w:jc w:val="both"/>
        <w:ind w:left="980" w:right="280" w:hanging="491"/>
        <w:spacing w:after="0" w:line="258" w:lineRule="auto"/>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Phase 1. The drug candidate is given to a small number of healthy human control subjects or patients suffering from the indicated disease, to test for safety, dose tolerance, pharmacokinetics, metabolism, distribution and excretion.</w:t>
      </w:r>
    </w:p>
    <w:p>
      <w:pPr>
        <w:spacing w:after="0" w:line="81" w:lineRule="exact"/>
        <w:rPr>
          <w:rFonts w:ascii="Arial" w:cs="Arial" w:eastAsia="Arial" w:hAnsi="Arial"/>
          <w:sz w:val="20"/>
          <w:szCs w:val="20"/>
          <w:color w:val="auto"/>
        </w:rPr>
      </w:pPr>
    </w:p>
    <w:p>
      <w:pPr>
        <w:ind w:left="980" w:right="200" w:hanging="491"/>
        <w:spacing w:after="0" w:line="252" w:lineRule="auto"/>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Phase 2. The drug candidate is given to a limited patient population to determine the effect of the drug candidate in treating the disease, the best dose of the drug candidate, and the possible side effects and safety risks of the drug candidate. It is not uncommon for a drug candidate that appears promising in Phase 1 clinical trials to fail in the more rigorous Phase 2 clinical trials.</w:t>
      </w:r>
    </w:p>
    <w:p>
      <w:pPr>
        <w:spacing w:after="0" w:line="87" w:lineRule="exact"/>
        <w:rPr>
          <w:rFonts w:ascii="Arial" w:cs="Arial" w:eastAsia="Arial" w:hAnsi="Arial"/>
          <w:sz w:val="20"/>
          <w:szCs w:val="20"/>
          <w:color w:val="auto"/>
        </w:rPr>
      </w:pPr>
    </w:p>
    <w:p>
      <w:pPr>
        <w:ind w:left="980" w:right="200" w:hanging="491"/>
        <w:spacing w:after="0" w:line="278" w:lineRule="auto"/>
        <w:tabs>
          <w:tab w:leader="none" w:pos="98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Phase 3. If a drug candidate appears to be effective and safe in Phase 2 clinical trials, Phase 3 clinical trials are commenced to confirm those results. Phase 3 clinical trials are conducted over a longer term, involve a significantly larger population, are conducted at numerous sites in different geographic</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60"/>
          </w:cols>
          <w:pgMar w:left="1440" w:top="1420" w:right="1440" w:bottom="175" w:gutter="0" w:footer="0" w:header="0"/>
          <w:type w:val="continuous"/>
        </w:sectPr>
      </w:pPr>
    </w:p>
    <w:bookmarkStart w:id="39" w:name="page40"/>
    <w:bookmarkEnd w:id="39"/>
    <w:p>
      <w:pPr>
        <w:ind w:left="980" w:right="100"/>
        <w:spacing w:after="0" w:line="258" w:lineRule="auto"/>
        <w:rPr>
          <w:sz w:val="20"/>
          <w:szCs w:val="20"/>
          <w:color w:val="auto"/>
        </w:rPr>
      </w:pPr>
      <w:r>
        <w:rPr>
          <w:rFonts w:ascii="Times New Roman" w:cs="Times New Roman" w:eastAsia="Times New Roman" w:hAnsi="Times New Roman"/>
          <w:sz w:val="20"/>
          <w:szCs w:val="20"/>
          <w:color w:val="auto"/>
        </w:rPr>
        <w:t>regions and are carefully designed to provide reliable and conclusive data regarding the safety and benefits of a drug candidate. It is not uncommon for a drug candidate that appears promising in Phase 2 clinical trials to fail in the more rigorous and extensive Phase 3 clinical trials.</w:t>
      </w:r>
    </w:p>
    <w:p>
      <w:pPr>
        <w:spacing w:after="0" w:line="6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For each clinical trial, an independent IRB or independent ethics committee, covering each site proposing to conduct a clinical trial must review and approve the plan for any clinical trial and informed consent information for subjects before the trial commences at that site and it must monitor the study until completed. The FDA, the IRB, or the sponsor may suspend a clinical trial at any time on various grounds, including a finding that the subjects or patients are being exposed to an unacceptable health risk or for failure to comply with the IRB’s requirements, or may impose other conditions.</w:t>
      </w:r>
    </w:p>
    <w:p>
      <w:pPr>
        <w:spacing w:after="0" w:line="8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Clinical trials involve the administration of an investigational drug to human subjects under the supervision of qualified investigators in accordance with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spacing w:after="0" w:line="77"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 that the patients are being exposed to an unacceptable health risk or if the drug candidate does not appear to have sufficient treatment benefit.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FDA Approval Process</w:t>
      </w:r>
    </w:p>
    <w:p>
      <w:pPr>
        <w:spacing w:after="0" w:line="12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When we believe that the data from our clinical trials show an adequate level of safety and efficacy, we submit the application to market the drug for a particular use, normally a New Drug Application (NDA) with FDA. FDA may hold a public hearing where an independent advisory committee of expert advisors asks additional questions and makes recommendations regarding the drug candidate. This committee makes a recommendation to FDA that is not binding but is generally followed by FDA. If FDA agrees that the compound has met the required level of safety and efficacy for a particular use, it will allow the drug candidate in the U.S. to be marketed and sold for that use. It is not unusual, however, for FDA to reject an application because it believes that the risks of the drug candidate outweigh the purported benefit or because it does not believe that the data submitted are reliable or conclusive. The FDA may also issue a Complete Response Letter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w:t>
      </w:r>
    </w:p>
    <w:p>
      <w:pPr>
        <w:spacing w:after="0" w:line="9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FDA may also require Phase 4 non-registrational studies to explore scientific questions to further characterize safety and efficacy during commercial use of our drug. FDA may also require us to provide additional data or information, improve our manufacturing processes, procedures or facilities or may require extensive surveillance to monitor the safety or benefits of our product candidates if it determines that our filing does not contain adequate evidence of the safety and benefits of the drug. In addition, even if FDA approves a drug, it could limit the uses of the drug. FDA can withdraw approvals if it does not believe that we are complying with regulatory standards or if problems are uncovered or occur after approval.</w:t>
      </w:r>
    </w:p>
    <w:p>
      <w:pPr>
        <w:spacing w:after="0" w:line="80"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auto"/>
        </w:rPr>
        <w:t>In addition to obtaining FDA approval for each drug, we obtain FDA approval of the manufacturing facilities for companies who manufacture our drugs for us. All of these facilities are subject to periodic inspections by FDA. FDA must also approve foreign establishments that manufacture products to be sold in the U.S. and these facilities are subject to periodic regulatory inspection.</w:t>
      </w:r>
    </w:p>
    <w:p>
      <w:pPr>
        <w:spacing w:after="0" w:line="7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Once issued, the FDA may withdraw product approval if ongoing regulatory requirements are not met or if safety problems are identified after the product reaches the market. In addition, the FDA may require post-approval testing, including Phase 4 studies, and surveillance programs to monitor the effect of approved products which have been commercialized, and the FDA has the authority to prevent or limit further marketing of a product based on the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60"/>
          </w:cols>
          <w:pgMar w:left="1440" w:top="1420" w:right="1440" w:bottom="175" w:gutter="0" w:footer="0" w:header="0"/>
          <w:type w:val="continuous"/>
        </w:sectPr>
      </w:pPr>
    </w:p>
    <w:bookmarkStart w:id="40" w:name="page41"/>
    <w:bookmarkEnd w:id="40"/>
    <w:p>
      <w:pPr>
        <w:ind w:right="80"/>
        <w:spacing w:after="0" w:line="246" w:lineRule="auto"/>
        <w:rPr>
          <w:sz w:val="20"/>
          <w:szCs w:val="20"/>
          <w:color w:val="auto"/>
        </w:rPr>
      </w:pPr>
      <w:r>
        <w:rPr>
          <w:rFonts w:ascii="Times New Roman" w:cs="Times New Roman" w:eastAsia="Times New Roman" w:hAnsi="Times New Roman"/>
          <w:sz w:val="20"/>
          <w:szCs w:val="20"/>
          <w:color w:val="auto"/>
        </w:rPr>
        <w:t>results of these post-marketing programs.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 required to submit and obtain FDA approval of a new or supplemental NDA, which may require the development of additional data or conduct of additional pre-clinical studies and clinical trials.</w:t>
      </w:r>
    </w:p>
    <w:p>
      <w:pPr>
        <w:spacing w:after="0" w:line="14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Even if we receive marketing approval for a planned product, we will be subject to ongoing regulatory obligations and continued regulatory review, which may result in significant additional expense and subject us to penalties if we fail to comply with applicable regulatory requirements.</w:t>
      </w:r>
    </w:p>
    <w:p>
      <w:pPr>
        <w:spacing w:after="0" w:line="6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Once marketing approval has been obtained, the approved product and its manufacturer are subject to continual review by the FDA or non-U.S. regulatory authorities. Future approvals may contain requirements for potentially costly post-marketing follow-up studies to monitor the safety and effectiveness of the approved product. In addition, we are subject to extensive and ongoing regulatory requirements by the FDA and other regulatory authorities with regard to the labeling, packaging, adverse event reporting, storage, advertising, promotion and recordkeeping for our products.</w:t>
      </w:r>
    </w:p>
    <w:p>
      <w:pPr>
        <w:spacing w:after="0" w:line="80"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0"/>
          <w:szCs w:val="20"/>
          <w:color w:val="auto"/>
        </w:rPr>
        <w:t>In addition, we are required to comply with cGMP regulations regarding the manufacture of our drugs, which include requirements related to quality control and quality assurance as well as the corresponding maintenance of records and documentation. Further, regulatory authorities must approve these manufacturing facilities before they can be used to manufacture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w:t>
      </w:r>
    </w:p>
    <w:p>
      <w:pPr>
        <w:spacing w:after="0" w:line="86"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9"/>
          <w:szCs w:val="19"/>
          <w:color w:val="auto"/>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 The drug name will also be subject to review and approval by the FDA and other non-U.S. regulatory authorities.</w:t>
      </w:r>
    </w:p>
    <w:p>
      <w:pPr>
        <w:spacing w:after="0" w:line="57"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In addition, drug manufacturers and other entities involved in the manufacture and distribution of approved drugs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 Accordingly, manufacturers must continue to expend time, money, and effort in the area of production and quality control to maintain cGMP or QSR compliance.</w:t>
      </w:r>
    </w:p>
    <w:p>
      <w:pPr>
        <w:spacing w:after="0" w:line="8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94" w:lineRule="exact"/>
        <w:rPr>
          <w:sz w:val="20"/>
          <w:szCs w:val="20"/>
          <w:color w:val="auto"/>
        </w:rPr>
      </w:pPr>
    </w:p>
    <w:p>
      <w:pPr>
        <w:ind w:left="980" w:right="80" w:hanging="491"/>
        <w:spacing w:after="0" w:line="276" w:lineRule="auto"/>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marketing or manufacturing of the product, complete withdrawal of the product from the market or product recalls;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fines, warning letters or holds on post-approval clinical trials;</w:t>
      </w:r>
    </w:p>
    <w:p>
      <w:pPr>
        <w:spacing w:after="0" w:line="133" w:lineRule="exact"/>
        <w:rPr>
          <w:rFonts w:ascii="Arial" w:cs="Arial" w:eastAsia="Arial" w:hAnsi="Arial"/>
          <w:sz w:val="20"/>
          <w:szCs w:val="20"/>
          <w:color w:val="auto"/>
        </w:rPr>
      </w:pPr>
    </w:p>
    <w:p>
      <w:pPr>
        <w:ind w:left="980" w:right="720" w:hanging="491"/>
        <w:spacing w:after="0" w:line="276" w:lineRule="auto"/>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refusal of the FDA to approve pending applications or supplements to approved applications, or suspension or revocation of product approvals;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60"/>
          </w:cols>
          <w:pgMar w:left="1440" w:top="1420" w:right="1440" w:bottom="175" w:gutter="0" w:footer="0" w:header="0"/>
          <w:type w:val="continuous"/>
        </w:sectPr>
      </w:pPr>
    </w:p>
    <w:bookmarkStart w:id="41" w:name="page42"/>
    <w:bookmarkEnd w:id="41"/>
    <w:p>
      <w:pPr>
        <w:ind w:right="100"/>
        <w:spacing w:after="0" w:line="249" w:lineRule="auto"/>
        <w:rPr>
          <w:sz w:val="20"/>
          <w:szCs w:val="20"/>
          <w:color w:val="auto"/>
        </w:rPr>
      </w:pPr>
      <w:r>
        <w:rPr>
          <w:rFonts w:ascii="Times New Roman" w:cs="Times New Roman" w:eastAsia="Times New Roman" w:hAnsi="Times New Roman"/>
          <w:sz w:val="20"/>
          <w:szCs w:val="20"/>
          <w:color w:val="auto"/>
        </w:rPr>
        <w:t>The FDA strictly regulates the marketing, labeling, advertising and promotion of drug and device products that are placed on the market. While physicians may prescribe drugs and devices for off label uses, manufacturers may only promote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w:t>
      </w:r>
    </w:p>
    <w:p>
      <w:pPr>
        <w:spacing w:after="0" w:line="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Drugs that treat serious or life-threatening diseases and conditions that are not adequately addressed by existing drugs, and for which the development program is designed to address the unmet medical need, may be designated as fast track and/or breakthrough candidates by FDA and may be eligible for accelerated and priority review.</w:t>
      </w:r>
    </w:p>
    <w:p>
      <w:pPr>
        <w:spacing w:after="0" w:line="68"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Drugs that are developed for rare diseases can be designated as Orphan Drugs. In the U.S., the disease or condition has an incidence of less than 200,000 persons and in the E.U. the prevalence of the condition must be not more than 5 in 10,000 persons. In the U.S., orphan-designated drugs are granted up to 7-year market exclusivity. In the E.U., products granted orphan designation are subject to reduced fees for protocol assistance, marketing authorization applications, inspections before authorization, applications for changes to marketing authorizations, and annual fees, access to the centralized authorization procedure, and 10 years of market exclusivity.</w:t>
      </w:r>
    </w:p>
    <w:p>
      <w:pPr>
        <w:spacing w:after="0" w:line="8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Drugs are also subject to extensive regulation outside of the U.S. In the E.U., there is a centralized approval procedure that authorizes marketing of a product in all countries of the E.U. (which includes most major countries in the E.U.). If this centralized approval procedure is not used, approval in one country of the E.U. can be used to obtain approval in another country of the E.U. under one of two simplified application processes: the mutual recognition procedure or the decentralized procedure, both of which rely on the principle of mutual recognition. After receiving regulatory approval through any of the E.U. registration procedures, separate pricing and reimbursement approvals are also required in most countries. The E.U. also has requirements for approval of manufacturing facilities for all products that are approved for sale by the E.U. regulatory authorities.</w:t>
      </w:r>
    </w:p>
    <w:p>
      <w:pPr>
        <w:spacing w:after="0" w:line="142"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Failure to obtain marketing approvals in foreign jurisdictions will prevent us from marketing our products internationally.</w:t>
      </w:r>
    </w:p>
    <w:p>
      <w:pPr>
        <w:spacing w:after="0" w:line="49"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20"/>
          <w:szCs w:val="20"/>
          <w:color w:val="auto"/>
        </w:rPr>
        <w:t>We intend to seek distribution and marketing partners for our current products outside the U.S. and may market planned products in international markets.</w:t>
      </w:r>
    </w:p>
    <w:p>
      <w:pPr>
        <w:spacing w:after="0" w:line="4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We have had limited interactions with foreign regulatory authorities. The approval procedures vary among countries and can involve additional clinical testing, and the time required to obtain approval may differ from that required to obtain FDA approval. Moreover, clinical studies or manufacturing processes conducted in one country may not be accepted by regulatory authorities in other countries. Approval by the FDA does not ensure approval by regulatory authorities in other countries or regions,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reform measures could hinder or prevent our planned products’ commercial success.</w:t>
      </w:r>
    </w:p>
    <w:p>
      <w:pPr>
        <w:spacing w:after="0" w:line="12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In the U.S.,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(PPACA), was enacted in 2010. The PPACA contains a number of provisions, including those governing enrollments in federal healthcare programs, reimbursement changes and fraud and abuse measures, all of which will impact existing government healthcare programs and will result in the development of new programs. The PPACA, among other things:</w:t>
      </w:r>
    </w:p>
    <w:p>
      <w:pPr>
        <w:spacing w:after="0" w:line="100" w:lineRule="exact"/>
        <w:rPr>
          <w:sz w:val="20"/>
          <w:szCs w:val="20"/>
          <w:color w:val="auto"/>
        </w:rPr>
      </w:pPr>
    </w:p>
    <w:p>
      <w:pPr>
        <w:ind w:left="980" w:hanging="491"/>
        <w:spacing w:after="0"/>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could result in the imposition of injunctions;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requires collection of rebates for drugs paid by Medicaid managed care organizations; and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60"/>
          </w:cols>
          <w:pgMar w:left="1440" w:top="1420" w:right="1440" w:bottom="175" w:gutter="0" w:footer="0" w:header="0"/>
          <w:type w:val="continuous"/>
        </w:sectPr>
      </w:pPr>
    </w:p>
    <w:bookmarkStart w:id="42" w:name="page43"/>
    <w:bookmarkEnd w:id="42"/>
    <w:p>
      <w:pPr>
        <w:ind w:left="980" w:right="100" w:hanging="491"/>
        <w:spacing w:after="0" w:line="252" w:lineRule="auto"/>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requires manufacturers to participate in a coverage gap discount program, under which they must agree to offer 50% point-of-sale discounts off negotiated prices of applicable branded drugs to eligible beneficiaries during their coverage gap period, as a condition for the manufacturer’s outpatient drugs to be covered under Medicare Part D.</w:t>
      </w:r>
    </w:p>
    <w:p>
      <w:pPr>
        <w:spacing w:after="0" w:line="7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While the U.S. Supreme Court upheld the constitutionality of most elements of the PPACA in June 2012, other legal challenges are still pending final adjudication in several jurisdictions. The current presidential administration and Congress may continue to attempt broad sweeping changes to the current health care laws. We face uncertainties that might result from modifications or repeal of any of the provisions of the PPACA, including as a result of current and future executive orders and legislative actions. The impact of those changes on us and potential effect on the medical industry as a whole is currently unknown. Any changes to the PPACA are likely to have an impact on our results of operations and may have a material adverse effect on our results of operations. We cannot predict what other health care programs and regulations will ultimately be implemented at the federal or state level or the effect of any future legislation or regulation in the U.S. may have on our business.</w:t>
      </w:r>
    </w:p>
    <w:p>
      <w:pPr>
        <w:spacing w:after="0" w:line="8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In addition, other legislative changes have been proposed and adopted since the PPACA was enacted. For example, the Budget Control Act of 2011, among other things, created the Joint Select Committee on Deficit Reduction to recommend proposals for spending reductions to Congress. The Joint Select Committee did not achieve a targeted deficit reduction of at least $1.2 trillion for the years 2013 through 2021, which triggered the legislation’s automatic reduction to several government programs, including aggregate reductions to Medicare payments to providers of up to 2% per fiscal year, starting in 2013. In January 2013, former President Obama signed into law the American Taxpayer Relief Act of 2012 (ATRA), which delayed for another two months the budget cuts mandated by the sequestration provisions of the Budget Control Act of 2011. The ATRA, among other things, also reduced Medicare payments to several providers, including hospitals, and increased the statute of limitations period for the government to recover overpayments to providers from three to five years. In March 2013, the President signed an executive order implementing sequestration, and in April 2013, the 2% Medicare reductions went into effect. We cannot predict whether any additional legislative changes will affect our business.</w:t>
      </w:r>
    </w:p>
    <w:p>
      <w:pPr>
        <w:spacing w:after="0" w:line="86"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payers of healthcare services to contain or reduce costs of health care may adversely affect:</w:t>
      </w:r>
    </w:p>
    <w:p>
      <w:pPr>
        <w:spacing w:after="0" w:line="88" w:lineRule="exact"/>
        <w:rPr>
          <w:sz w:val="20"/>
          <w:szCs w:val="20"/>
          <w:color w:val="auto"/>
        </w:rPr>
      </w:pPr>
    </w:p>
    <w:p>
      <w:pPr>
        <w:ind w:left="980" w:hanging="491"/>
        <w:spacing w:after="0"/>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set a price that we believe is fair for our products;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generate revenue and achieve or maintain profitability;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capital.</w:t>
      </w:r>
    </w:p>
    <w:p>
      <w:pPr>
        <w:spacing w:after="0" w:line="11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Further, changes in regulatory requirements and guidance may occur and we may need to amend clinical study protocols to reflect these changes. Amendments may require us to resubmit our clinical study protocols IRBs for reexamination, which may impact the costs, timing or successful completion of a clinical study.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studies and the drug approval process. Data from clinical studies may receive greater scrutiny with respect to safety, which may make the FDA or other regulatory authorities more likely to terminate or suspend clinical studies before completion or require longer or additional clinical studies that may result in substantial additional expense and a delay or failure in obtaining approval or approval for a more limited indication than originally sought.</w:t>
      </w:r>
    </w:p>
    <w:p>
      <w:pPr>
        <w:spacing w:after="0" w:line="83"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Given the serious public health risks of high-profile adverse safety events with certain drug products, the FDA may require, as a condition of approval, costly risk evaluation and mitigation strategies,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360"/>
          </w:cols>
          <w:pgMar w:left="1440" w:top="1434" w:right="1440" w:bottom="175" w:gutter="0" w:footer="0" w:header="0"/>
          <w:type w:val="continuous"/>
        </w:sectPr>
      </w:pPr>
    </w:p>
    <w:bookmarkStart w:id="43" w:name="page44"/>
    <w:bookmarkEnd w:id="43"/>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healthcare regulations, we could face substantial penalties and our business, operations and financial condition could be adversely affected.</w:t>
      </w:r>
    </w:p>
    <w:p>
      <w:pPr>
        <w:spacing w:after="0" w:line="4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Even though we do not and will not control referrals of healthcare services or bill directly to Medicare, Medicaid or other third-party payers,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regulations that may affect our ability to operate include, without limitation:</w:t>
      </w:r>
    </w:p>
    <w:p>
      <w:pPr>
        <w:spacing w:after="0" w:line="91" w:lineRule="exact"/>
        <w:rPr>
          <w:sz w:val="20"/>
          <w:szCs w:val="20"/>
          <w:color w:val="auto"/>
        </w:rPr>
      </w:pPr>
    </w:p>
    <w:p>
      <w:pPr>
        <w:ind w:left="980" w:right="120" w:hanging="491"/>
        <w:spacing w:after="0" w:line="249"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healthcare program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90" w:lineRule="exact"/>
        <w:rPr>
          <w:rFonts w:ascii="Arial" w:cs="Arial" w:eastAsia="Arial" w:hAnsi="Arial"/>
          <w:sz w:val="20"/>
          <w:szCs w:val="20"/>
          <w:color w:val="auto"/>
        </w:rPr>
      </w:pPr>
    </w:p>
    <w:p>
      <w:pPr>
        <w:ind w:left="980" w:right="80" w:hanging="491"/>
        <w:spacing w:after="0" w:line="258"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indirectly, to induce either the referral of an individual, for an item or service or the purchasing or ordering of a good or service, for which payment may be made under federal healthcare programs, such as the Medicare and Medicaid programs;</w:t>
      </w:r>
    </w:p>
    <w:p>
      <w:pPr>
        <w:spacing w:after="0" w:line="81" w:lineRule="exact"/>
        <w:rPr>
          <w:rFonts w:ascii="Arial" w:cs="Arial" w:eastAsia="Arial" w:hAnsi="Arial"/>
          <w:sz w:val="20"/>
          <w:szCs w:val="20"/>
          <w:color w:val="auto"/>
        </w:rPr>
      </w:pPr>
    </w:p>
    <w:p>
      <w:pPr>
        <w:ind w:left="980" w:right="180" w:hanging="491"/>
        <w:spacing w:after="0" w:line="252"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like us which provide coding and billing advice to customers;</w:t>
      </w:r>
    </w:p>
    <w:p>
      <w:pPr>
        <w:spacing w:after="0" w:line="87" w:lineRule="exact"/>
        <w:rPr>
          <w:rFonts w:ascii="Arial" w:cs="Arial" w:eastAsia="Arial" w:hAnsi="Arial"/>
          <w:sz w:val="20"/>
          <w:szCs w:val="20"/>
          <w:color w:val="auto"/>
        </w:rPr>
      </w:pPr>
    </w:p>
    <w:p>
      <w:pPr>
        <w:ind w:left="980" w:right="420" w:hanging="491"/>
        <w:spacing w:after="0" w:line="276"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federal criminal laws that prohibit executing a scheme to defraud any healthcare benefit program or making false statements relating to healthcare matters;</w:t>
      </w:r>
    </w:p>
    <w:p>
      <w:pPr>
        <w:spacing w:after="0" w:line="64" w:lineRule="exact"/>
        <w:rPr>
          <w:rFonts w:ascii="Arial" w:cs="Arial" w:eastAsia="Arial" w:hAnsi="Arial"/>
          <w:sz w:val="20"/>
          <w:szCs w:val="20"/>
          <w:color w:val="auto"/>
        </w:rPr>
      </w:pPr>
    </w:p>
    <w:p>
      <w:pPr>
        <w:jc w:val="both"/>
        <w:ind w:left="980" w:right="380" w:hanging="491"/>
        <w:spacing w:after="0" w:line="258"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transparency requirements under the Health Care Reform Law requires manufacturers of drugs, devices, biologics and medical supplies to report to the HHS information related to physician payments and other transfers of value and physician ownership and investment interests;</w:t>
      </w:r>
    </w:p>
    <w:p>
      <w:pPr>
        <w:spacing w:after="0" w:line="81" w:lineRule="exact"/>
        <w:rPr>
          <w:rFonts w:ascii="Arial" w:cs="Arial" w:eastAsia="Arial" w:hAnsi="Arial"/>
          <w:sz w:val="20"/>
          <w:szCs w:val="20"/>
          <w:color w:val="auto"/>
        </w:rPr>
      </w:pPr>
    </w:p>
    <w:p>
      <w:pPr>
        <w:ind w:left="980" w:right="360" w:hanging="491"/>
        <w:spacing w:after="0" w:line="258"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which governs the conduct of certain electronic healthcare transactions and protects the security and privacy of protected health information; and</w:t>
      </w:r>
    </w:p>
    <w:p>
      <w:pPr>
        <w:spacing w:after="0" w:line="81" w:lineRule="exact"/>
        <w:rPr>
          <w:rFonts w:ascii="Arial" w:cs="Arial" w:eastAsia="Arial" w:hAnsi="Arial"/>
          <w:sz w:val="20"/>
          <w:szCs w:val="20"/>
          <w:color w:val="auto"/>
        </w:rPr>
      </w:pPr>
    </w:p>
    <w:p>
      <w:pPr>
        <w:ind w:left="980" w:right="440" w:hanging="491"/>
        <w:spacing w:after="0" w:line="258"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state law equivalents of each of the above federal laws, such as anti-kickback and false claims laws which may apply to items or services reimbursed by any third-party payer, including commercial insurers.</w:t>
      </w:r>
    </w:p>
    <w:p>
      <w:pPr>
        <w:spacing w:after="0" w:line="67"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The PPACA, among other things, amends the intent requirement of the Federal Anti-Kickback Statute and criminal healthcare fraud statutes. A person or entity no longer needs to have actual knowledge of this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Act.</w:t>
      </w:r>
    </w:p>
    <w:p>
      <w:pPr>
        <w:spacing w:after="0" w:line="7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stock price may be volatile, and purchasers of our securities could incur substantial losses.</w:t>
      </w:r>
    </w:p>
    <w:p>
      <w:pPr>
        <w:spacing w:after="0" w:line="120"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9"/>
          <w:szCs w:val="19"/>
          <w:color w:val="auto"/>
        </w:rPr>
        <w:t>Our stock price has been and is likely to continue to be volatile. The stock market in general, and the market for biotechnology and medical device companies in particular, have experienced extreme volatility that has often been unrelated to the operating performance of particular companies. As a result of this volatility, investors may not be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360"/>
          </w:cols>
          <w:pgMar w:left="1440" w:top="1420" w:right="1440" w:bottom="175" w:gutter="0" w:footer="0" w:header="0"/>
          <w:type w:val="continuous"/>
        </w:sectPr>
      </w:pPr>
    </w:p>
    <w:bookmarkStart w:id="44" w:name="page45"/>
    <w:bookmarkEnd w:id="44"/>
    <w:p>
      <w:pPr>
        <w:ind w:right="500"/>
        <w:spacing w:after="0" w:line="277" w:lineRule="auto"/>
        <w:rPr>
          <w:sz w:val="20"/>
          <w:szCs w:val="20"/>
          <w:color w:val="auto"/>
        </w:rPr>
      </w:pPr>
      <w:r>
        <w:rPr>
          <w:rFonts w:ascii="Times New Roman" w:cs="Times New Roman" w:eastAsia="Times New Roman" w:hAnsi="Times New Roman"/>
          <w:sz w:val="20"/>
          <w:szCs w:val="20"/>
          <w:color w:val="auto"/>
        </w:rPr>
        <w:t>able to sell their common stock at or above the purchase price. The market price for our common stock may be influenced by many factors, including the following:</w:t>
      </w:r>
    </w:p>
    <w:p>
      <w:pPr>
        <w:spacing w:after="0" w:line="63" w:lineRule="exact"/>
        <w:rPr>
          <w:sz w:val="20"/>
          <w:szCs w:val="20"/>
          <w:color w:val="auto"/>
        </w:rPr>
      </w:pPr>
    </w:p>
    <w:p>
      <w:pPr>
        <w:ind w:left="980" w:right="300" w:hanging="491"/>
        <w:spacing w:after="0" w:line="276" w:lineRule="auto"/>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our clinical trials and our ability to obtain regulatory approval of DCCR in Prader Willi Syndrome;</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our clinical trials and our ability to obtain regulatory approval for DCCR;</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successfully commercialize, and realize significant revenues from sales of our products;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of competitive products or technologies;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other clinical studies of our products or those of our competitors;</w:t>
      </w:r>
    </w:p>
    <w:p>
      <w:pPr>
        <w:spacing w:after="0" w:line="133" w:lineRule="exact"/>
        <w:rPr>
          <w:rFonts w:ascii="Arial" w:cs="Arial" w:eastAsia="Arial" w:hAnsi="Arial"/>
          <w:sz w:val="20"/>
          <w:szCs w:val="20"/>
          <w:color w:val="auto"/>
        </w:rPr>
      </w:pPr>
    </w:p>
    <w:p>
      <w:pPr>
        <w:ind w:left="980" w:right="820" w:hanging="491"/>
        <w:spacing w:after="0" w:line="276" w:lineRule="auto"/>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or legal developments in the U.S. and other countries, especially changes in laws or regulations applicable to our products;</w:t>
      </w:r>
    </w:p>
    <w:p>
      <w:pPr>
        <w:spacing w:after="0" w:line="64" w:lineRule="exact"/>
        <w:rPr>
          <w:rFonts w:ascii="Arial" w:cs="Arial" w:eastAsia="Arial" w:hAnsi="Arial"/>
          <w:sz w:val="20"/>
          <w:szCs w:val="20"/>
          <w:color w:val="auto"/>
        </w:rPr>
      </w:pPr>
    </w:p>
    <w:p>
      <w:pPr>
        <w:ind w:left="980" w:right="700" w:hanging="491"/>
        <w:spacing w:after="0" w:line="276" w:lineRule="auto"/>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introductions and announcements of new products by us, our commercialization partners, or our competitors, and the timing of these introductions or announcements;</w:t>
      </w:r>
    </w:p>
    <w:p>
      <w:pPr>
        <w:spacing w:after="0" w:line="64" w:lineRule="exact"/>
        <w:rPr>
          <w:rFonts w:ascii="Arial" w:cs="Arial" w:eastAsia="Arial" w:hAnsi="Arial"/>
          <w:sz w:val="20"/>
          <w:szCs w:val="20"/>
          <w:color w:val="auto"/>
        </w:rPr>
      </w:pPr>
    </w:p>
    <w:p>
      <w:pPr>
        <w:ind w:left="980" w:right="620" w:hanging="491"/>
        <w:spacing w:after="0" w:line="276" w:lineRule="auto"/>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actions taken by regulatory agencies with respect to our products, clinical studies, manufacturing process or sales and marketing terms;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variations in our financial results or those of companies that are perceived to be similar to us;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of our efforts to acquire or in-license additional products or planned products;</w:t>
      </w:r>
    </w:p>
    <w:p>
      <w:pPr>
        <w:spacing w:after="0" w:line="133" w:lineRule="exact"/>
        <w:rPr>
          <w:rFonts w:ascii="Arial" w:cs="Arial" w:eastAsia="Arial" w:hAnsi="Arial"/>
          <w:sz w:val="20"/>
          <w:szCs w:val="20"/>
          <w:color w:val="auto"/>
        </w:rPr>
      </w:pPr>
    </w:p>
    <w:p>
      <w:pPr>
        <w:ind w:left="980" w:right="480" w:hanging="491"/>
        <w:spacing w:after="0" w:line="276" w:lineRule="auto"/>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developments concerning our collaborations, including but not limited to those with our sources of manufacturing supply and our commercialization partners;</w:t>
      </w:r>
    </w:p>
    <w:p>
      <w:pPr>
        <w:spacing w:after="0" w:line="64" w:lineRule="exact"/>
        <w:rPr>
          <w:rFonts w:ascii="Arial" w:cs="Arial" w:eastAsia="Arial" w:hAnsi="Arial"/>
          <w:sz w:val="20"/>
          <w:szCs w:val="20"/>
          <w:color w:val="auto"/>
        </w:rPr>
      </w:pPr>
    </w:p>
    <w:p>
      <w:pPr>
        <w:ind w:left="980" w:right="280" w:hanging="491"/>
        <w:spacing w:after="0" w:line="276" w:lineRule="auto"/>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developments concerning our ability to bring our manufacturing processes to scale in a cost-effective manner;</w:t>
      </w:r>
    </w:p>
    <w:p>
      <w:pPr>
        <w:spacing w:after="0" w:line="64" w:lineRule="exact"/>
        <w:rPr>
          <w:rFonts w:ascii="Arial" w:cs="Arial" w:eastAsia="Arial" w:hAnsi="Arial"/>
          <w:sz w:val="20"/>
          <w:szCs w:val="20"/>
          <w:color w:val="auto"/>
        </w:rPr>
      </w:pPr>
    </w:p>
    <w:p>
      <w:pPr>
        <w:ind w:left="980" w:right="20" w:hanging="491"/>
        <w:spacing w:after="0" w:line="276" w:lineRule="auto"/>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by us or our competitors of significant acquisitions, strategic partnerships, joint ventures or capital commitments;</w:t>
      </w:r>
    </w:p>
    <w:p>
      <w:pPr>
        <w:spacing w:after="0" w:line="64" w:lineRule="exact"/>
        <w:rPr>
          <w:rFonts w:ascii="Arial" w:cs="Arial" w:eastAsia="Arial" w:hAnsi="Arial"/>
          <w:sz w:val="20"/>
          <w:szCs w:val="20"/>
          <w:color w:val="auto"/>
        </w:rPr>
      </w:pPr>
    </w:p>
    <w:p>
      <w:pPr>
        <w:ind w:left="980" w:right="380" w:hanging="491"/>
        <w:spacing w:after="0" w:line="276" w:lineRule="auto"/>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developments or disputes concerning patents or other proprietary rights, including patents, litigation matters and our ability to obtain patent protection for our products;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or inability to raise additional capital and the terms on which we raise it;</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recruitment or departure of key personnel;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structure of healthcare payment systems;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market conditions in the pharmaceutical and biotechnology sectors;</w:t>
      </w:r>
    </w:p>
    <w:p>
      <w:pPr>
        <w:spacing w:after="0" w:line="133" w:lineRule="exact"/>
        <w:rPr>
          <w:rFonts w:ascii="Arial" w:cs="Arial" w:eastAsia="Arial" w:hAnsi="Arial"/>
          <w:sz w:val="20"/>
          <w:szCs w:val="20"/>
          <w:color w:val="auto"/>
        </w:rPr>
      </w:pPr>
    </w:p>
    <w:p>
      <w:pPr>
        <w:ind w:left="980" w:right="60" w:hanging="491"/>
        <w:spacing w:after="0" w:line="276" w:lineRule="auto"/>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actual or anticipated changes in earnings estimates or changes in stock market analyst recommendations regarding our common stock, other comparable companies or our industry generally;</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trading volume of our common stock;</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sales of our common stock by us or our stockholders;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general economic, industry and market conditions; including those due to inflation;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other risks described in this “Risk Factors” section.</w:t>
      </w:r>
    </w:p>
    <w:p>
      <w:pPr>
        <w:spacing w:after="0" w:line="11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360"/>
          </w:cols>
          <w:pgMar w:left="1440" w:top="1420" w:right="1440" w:bottom="175" w:gutter="0" w:footer="0" w:header="0"/>
          <w:type w:val="continuous"/>
        </w:sectPr>
      </w:pPr>
    </w:p>
    <w:bookmarkStart w:id="45" w:name="page46"/>
    <w:bookmarkEnd w:id="45"/>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Future sales of our common stock, or the perception that future sales may occur, may cause the market price of our common stock to decline, even if our business is doing well.</w:t>
      </w:r>
    </w:p>
    <w:p>
      <w:pPr>
        <w:spacing w:after="0" w:line="4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Sales of substantial amounts of our common stock in the public market, or the perception that these sales may occur, could materially and adversely affect the price of our common stock and could impair our ability to raise capital through the sale of additional equity securities. All of our shares of common stock are freely tradable, without restriction, in the public market, except for any shares held by our affiliates.</w:t>
      </w:r>
    </w:p>
    <w:p>
      <w:pPr>
        <w:spacing w:after="0" w:line="7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In the future, we may issue additional shares of common stock or other equity or debt securities convertible into common stock in connection with a financing, acquisition, litigation settlement, employee arrangement or otherwise. Any such issuance could result in substantial dilution to our existing stockholders and could cause our stock price to decline.</w:t>
      </w:r>
    </w:p>
    <w:p>
      <w:pPr>
        <w:spacing w:after="0" w:line="13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executive officers, directors and principal stockholders may continue to maintain the ability to control or significantly influence all matters submitted to stockholders for approval and under certain circumstances may have control over key decision making.</w:t>
      </w:r>
    </w:p>
    <w:p>
      <w:pPr>
        <w:spacing w:after="0" w:line="6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9"/>
          <w:szCs w:val="19"/>
          <w:color w:val="auto"/>
        </w:rPr>
        <w:t>Our executive officers, directors and principal stockholders own a majority of our outstanding common stock. As a result, the foregoing group of stockholders are able to control all matters submitted to our stockholders for approval, as well as our management and affairs. For example, these stockholders will control the election of directors and the approval of any merger, consolidation or sale of all or substantially all of our assets. This concentration of voting power could delay or prevent an acquisition of our company on terms that other stockholders may desire.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use our net operating loss carry forwards and certain other tax attributes will be limited.</w:t>
      </w:r>
    </w:p>
    <w:p>
      <w:pPr>
        <w:spacing w:after="0" w:line="12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Our ability to utilize our federal net operating loss, carryforwards and federal tax credit will be limited under Sections 382 and 383 of the Internal Revenue Code of 1986, as amended, (the Code). The limitations apply if an “ownership change,” as defined by Section 382, occurs. Generally, an ownership change occurs if the percentage of the value of the stock that is owned by one or more direct or indirect “five percent shareholders” increases by more than 50% over their lowest ownership percentage at any time during the applicable testing period (typically three years). During the year ended December 31, 2016, we experienced an “ownership change”, and in the year ended December 31, 2017 our acquisition of Essentialis resulted in an ownership change, of which both changes will limit our ability to utilize our existing and acquired net operating losses and other tax attributes to offset taxable income. In addition, we also raised capital in October 2019, June 2020 and March 2022 that may further limit our ability to utilize our net operating losses and other tax attributes to offset taxable income. As a result, if we earn net taxable income, our ability to use our pre-change net operating loss carryforwards and other tax attributes to offset U.S. federal taxable income will be subject to limitations, which could potentially result in increased future tax liability to 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 our warrant holders exercise their warrants into shares of our common stock, our stockholders will be diluted.</w:t>
      </w:r>
    </w:p>
    <w:p>
      <w:pPr>
        <w:spacing w:after="0" w:line="12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0"/>
          <w:szCs w:val="20"/>
          <w:color w:val="auto"/>
        </w:rPr>
        <w:t>The exercise of some or all of our warrants will result in the issuance of common stock that dilute the ownership interests of existing stockholders. Any sales of the common stock issuable upon exercise of our warrants could adversely affect prevailing market prices of our common stock.</w:t>
      </w:r>
    </w:p>
    <w:p>
      <w:pPr>
        <w:spacing w:after="0" w:line="12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holders of our warrants elect to exercise their warrants and sell material amounts of our common stock in the market, such sales could cause the price of our common stock to decline, and the potential for such downward pressure on the price of our common stock may encourage short selling of our common stock by holders of our warrants or other parties.</w:t>
      </w:r>
    </w:p>
    <w:p>
      <w:pPr>
        <w:spacing w:after="0" w:line="7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9"/>
          <w:szCs w:val="19"/>
          <w:color w:val="auto"/>
        </w:rPr>
        <w:t>If there is significant downward pressure on the price of our common stock, it may encourage holders of our warrants, or other parties, to sell shares by means of short sales or otherwise. Short sales involve the sale, usually with a future delivery date, of common stock the seller does not own. Covered short sales are sales made in an amount not greater than the number of shares subject to the short seller’s right to acquire common stock, such as upon exercise of warrants. A holder of warrants may close out any covered short position by exercising all, or a portion, of its warrants, or by purchasing shares in the open market. In determining the source of shares to close out the covered short position, a holder of warrants will likely consider, among other things, the price of common stock available for purchase in the open market as compared to the exercise price of the warrants. The existence of a significant number of short sales generally causes the price of common stock to decline, in part because it indicates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360"/>
          </w:cols>
          <w:pgMar w:left="1440" w:top="1420" w:right="1440" w:bottom="175" w:gutter="0" w:footer="0" w:header="0"/>
          <w:type w:val="continuous"/>
        </w:sectPr>
      </w:pPr>
    </w:p>
    <w:bookmarkStart w:id="46" w:name="page47"/>
    <w:bookmarkEnd w:id="46"/>
    <w:p>
      <w:pPr>
        <w:ind w:right="420"/>
        <w:spacing w:after="0" w:line="277" w:lineRule="auto"/>
        <w:rPr>
          <w:sz w:val="20"/>
          <w:szCs w:val="20"/>
          <w:color w:val="auto"/>
        </w:rPr>
      </w:pPr>
      <w:r>
        <w:rPr>
          <w:rFonts w:ascii="Times New Roman" w:cs="Times New Roman" w:eastAsia="Times New Roman" w:hAnsi="Times New Roman"/>
          <w:sz w:val="20"/>
          <w:szCs w:val="20"/>
          <w:color w:val="auto"/>
        </w:rPr>
        <w:t>that a number of market participants are taking a position that will be profitable only if the price of the common stock declines.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Under certain circumstances we may be required to settle the value of the 2018 PIPE Warrants in cash.</w:t>
      </w:r>
    </w:p>
    <w:p>
      <w:pPr>
        <w:spacing w:after="0" w:line="12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If, at any time while the 2018 PIPE Warrants (the Warrants), are outstanding, we enter into a “Fundamental Transaction” (as defined in the Warrants), which includes, but is not limited to, a purchase offer, tender offer or exchange offer, a stock or share purchase agreement or other business combination (including, without limitation, a reorganization, recapitalization, spin-off or other scheme of arrangement), then each registered holder of outstanding Warrants as at any time prior to the consummation of the Fundamental Transaction, may elect and require us to purchase the Warrants held by such person immediately prior to the consummation of such Fundamental Transaction by making a cash payment in an amount equal to the Black Scholes Value of the remaining unexercised portion of such registered holder’s Warrants.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might not be able to maintain the listing of our securities on The Nasdaq Capital Market.</w:t>
      </w:r>
    </w:p>
    <w:p>
      <w:pPr>
        <w:spacing w:after="0" w:line="12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We have listed our common stock on The Nasdaq Capital Market (Nasdaq). We might not be able to maintain the listing standards of that exchange, which includes requirements that we maintain our shareholders’ equity, total value of shares held by unaffiliated shareholders, market capitalization above certain specified levels and minimum bid requirement of $1.00 per common share. We do not expect to become profitable for some time and there is a risk that our shareholders’ equity could fall below the $2.5 million level required by Nasdaq. If we do not regain compliance with the minimum bid requirement or our shareholders’ equity falls below $2.5 million, it will cause us to fail to conform to the Nasdaq listing requirements on an ongoing basis, which in turn could cause our common stock to cease to trade on the Nasdaq exchange, and be required to move to the Over the Counter Bulletin Board or the “pink sheets” exchange maintained by OTC Markets Group, Inc. The OTC Bulletin Board and the “pink sheets” are generally considered to be markets that are less efficient, and to provide less liquidity in the shares, than the Nasdaq market.</w:t>
      </w:r>
    </w:p>
    <w:p>
      <w:pPr>
        <w:spacing w:after="0" w:line="148"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Due to the speculative nature of warrants, there is no guarantee that it will ever be profitable for holders of our pre-funded warrants or common warrants to exercise the warrants.</w:t>
      </w:r>
    </w:p>
    <w:p>
      <w:pPr>
        <w:spacing w:after="0" w:line="4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The warrants we have issued and outstanding do not confer any rights of common stock ownership on their holders, such as voting rights or the right to receive dividends, but rather merely represent the right to acquire shares of common stock at a fixed price for a limited period of time.</w:t>
      </w:r>
    </w:p>
    <w:p>
      <w:pPr>
        <w:spacing w:after="0" w:line="6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There can be no assurance that the market price of the common stock will ever equal or exceed the exercise price of our pre-funded warrants or common warrants, and, consequently, whether it will ever be profitable for holders of the warrants to exercise the warrants.</w:t>
      </w:r>
    </w:p>
    <w:p>
      <w:pPr>
        <w:spacing w:after="0" w:line="128"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research, or publish inaccurate or unfavorable research, about our business, our stock price and trading volume could decline.</w:t>
      </w:r>
    </w:p>
    <w:p>
      <w:pPr>
        <w:spacing w:after="0" w:line="4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140"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4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Because our Board is responsible for appointing the members of our management team, these provisions could in turn affect any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360"/>
          </w:cols>
          <w:pgMar w:left="1440" w:top="1420" w:right="1440" w:bottom="175" w:gutter="0" w:footer="0" w:header="0"/>
          <w:type w:val="continuous"/>
        </w:sectPr>
      </w:pPr>
    </w:p>
    <w:bookmarkStart w:id="47" w:name="page48"/>
    <w:bookmarkEnd w:id="47"/>
    <w:p>
      <w:pPr>
        <w:ind w:right="220"/>
        <w:spacing w:after="0" w:line="277" w:lineRule="auto"/>
        <w:rPr>
          <w:sz w:val="20"/>
          <w:szCs w:val="20"/>
          <w:color w:val="auto"/>
        </w:rPr>
      </w:pPr>
      <w:r>
        <w:rPr>
          <w:rFonts w:ascii="Times New Roman" w:cs="Times New Roman" w:eastAsia="Times New Roman" w:hAnsi="Times New Roman"/>
          <w:sz w:val="20"/>
          <w:szCs w:val="20"/>
          <w:color w:val="auto"/>
        </w:rPr>
        <w:t>attempt by our stockholders to replace current members of our management team. Among others, these provisions include the following:</w:t>
      </w:r>
    </w:p>
    <w:p>
      <w:pPr>
        <w:spacing w:after="0" w:line="63" w:lineRule="exact"/>
        <w:rPr>
          <w:sz w:val="20"/>
          <w:szCs w:val="20"/>
          <w:color w:val="auto"/>
        </w:rPr>
      </w:pPr>
    </w:p>
    <w:p>
      <w:pPr>
        <w:ind w:left="980" w:right="320" w:hanging="491"/>
        <w:spacing w:after="0" w:line="276" w:lineRule="auto"/>
        <w:tabs>
          <w:tab w:leader="none" w:pos="9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our Board is divided into three classes with staggered three-year terms which may delay or prevent a change of our management or a change in control;</w:t>
      </w:r>
    </w:p>
    <w:p>
      <w:pPr>
        <w:spacing w:after="0" w:line="64" w:lineRule="exact"/>
        <w:rPr>
          <w:rFonts w:ascii="Arial" w:cs="Arial" w:eastAsia="Arial" w:hAnsi="Arial"/>
          <w:sz w:val="20"/>
          <w:szCs w:val="20"/>
          <w:color w:val="auto"/>
        </w:rPr>
      </w:pPr>
    </w:p>
    <w:p>
      <w:pPr>
        <w:ind w:left="980" w:right="200" w:hanging="491"/>
        <w:spacing w:after="0" w:line="258" w:lineRule="auto"/>
        <w:tabs>
          <w:tab w:leader="none" w:pos="9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our Board has the right to elect directors to fill a vacancy created by the expansion of our Board or the resignation, death or removal of a director, which will prevent stockholders from being able to fill vacancies on our Board;</w:t>
      </w:r>
    </w:p>
    <w:p>
      <w:pPr>
        <w:spacing w:after="0" w:line="81" w:lineRule="exact"/>
        <w:rPr>
          <w:rFonts w:ascii="Arial" w:cs="Arial" w:eastAsia="Arial" w:hAnsi="Arial"/>
          <w:sz w:val="20"/>
          <w:szCs w:val="20"/>
          <w:color w:val="auto"/>
        </w:rPr>
      </w:pPr>
    </w:p>
    <w:p>
      <w:pPr>
        <w:ind w:left="980" w:right="40" w:hanging="491"/>
        <w:spacing w:after="0" w:line="252" w:lineRule="auto"/>
        <w:tabs>
          <w:tab w:leader="none" w:pos="9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our stockholders are not able to act by written consent or call special stockholders’ meetings; as a result, a holder, or holders, controlling a majority of our capital stock cannot take certain actions other than at annual stockholders’ meetings or special stockholders’ meetings called by our Board, the chairman of our board, the chief executive officer or the president;</w:t>
      </w:r>
    </w:p>
    <w:p>
      <w:pPr>
        <w:spacing w:after="0" w:line="87" w:lineRule="exact"/>
        <w:rPr>
          <w:rFonts w:ascii="Arial" w:cs="Arial" w:eastAsia="Arial" w:hAnsi="Arial"/>
          <w:sz w:val="20"/>
          <w:szCs w:val="20"/>
          <w:color w:val="auto"/>
        </w:rPr>
      </w:pPr>
    </w:p>
    <w:p>
      <w:pPr>
        <w:ind w:left="980" w:right="120" w:hanging="491"/>
        <w:spacing w:after="0" w:line="276" w:lineRule="auto"/>
        <w:tabs>
          <w:tab w:leader="none" w:pos="9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our certificate of incorporation prohibits cumulative voting in the election of directors, which limits the ability of minority stockholders to elect director candidates;</w:t>
      </w:r>
    </w:p>
    <w:p>
      <w:pPr>
        <w:spacing w:after="0" w:line="64" w:lineRule="exact"/>
        <w:rPr>
          <w:rFonts w:ascii="Arial" w:cs="Arial" w:eastAsia="Arial" w:hAnsi="Arial"/>
          <w:sz w:val="20"/>
          <w:szCs w:val="20"/>
          <w:color w:val="auto"/>
        </w:rPr>
      </w:pPr>
    </w:p>
    <w:p>
      <w:pPr>
        <w:ind w:left="980" w:right="560" w:hanging="491"/>
        <w:spacing w:after="0" w:line="276" w:lineRule="auto"/>
        <w:tabs>
          <w:tab w:leader="none" w:pos="9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amendments of our certificate of incorporation and bylaws require the approval of 66 2/3% of our outstanding voting securities;</w:t>
      </w:r>
    </w:p>
    <w:p>
      <w:pPr>
        <w:spacing w:after="0" w:line="64" w:lineRule="exact"/>
        <w:rPr>
          <w:rFonts w:ascii="Arial" w:cs="Arial" w:eastAsia="Arial" w:hAnsi="Arial"/>
          <w:sz w:val="20"/>
          <w:szCs w:val="20"/>
          <w:color w:val="auto"/>
        </w:rPr>
      </w:pPr>
    </w:p>
    <w:p>
      <w:pPr>
        <w:ind w:left="980" w:right="60" w:hanging="491"/>
        <w:spacing w:after="0" w:line="269" w:lineRule="auto"/>
        <w:tabs>
          <w:tab w:leader="none" w:pos="980" w:val="left"/>
        </w:tabs>
        <w:numPr>
          <w:ilvl w:val="0"/>
          <w:numId w:val="35"/>
        </w:numPr>
        <w:rPr>
          <w:rFonts w:ascii="Arial" w:cs="Arial" w:eastAsia="Arial" w:hAnsi="Arial"/>
          <w:sz w:val="19"/>
          <w:szCs w:val="19"/>
          <w:color w:val="auto"/>
        </w:rPr>
      </w:pPr>
      <w:r>
        <w:rPr>
          <w:rFonts w:ascii="Times New Roman" w:cs="Times New Roman" w:eastAsia="Times New Roman" w:hAnsi="Times New Roman"/>
          <w:sz w:val="19"/>
          <w:szCs w:val="19"/>
          <w:color w:val="auto"/>
        </w:rPr>
        <w:t>our stockholders are required to provide advance notice and additional disclosures in order to nominate individuals for election to our Board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73" w:lineRule="exact"/>
        <w:rPr>
          <w:rFonts w:ascii="Arial" w:cs="Arial" w:eastAsia="Arial" w:hAnsi="Arial"/>
          <w:sz w:val="19"/>
          <w:szCs w:val="19"/>
          <w:color w:val="auto"/>
        </w:rPr>
      </w:pPr>
    </w:p>
    <w:p>
      <w:pPr>
        <w:ind w:left="980" w:right="40" w:hanging="491"/>
        <w:spacing w:after="0" w:line="258" w:lineRule="auto"/>
        <w:tabs>
          <w:tab w:leader="none" w:pos="9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our Board are able to issue, without stockholder approval, shares of undesignated preferred stock, which makes it possible for our Board to issue preferred stock with voting or other rights or preferences that could impede the success of any attempt to acquire us.</w:t>
      </w:r>
    </w:p>
    <w:p>
      <w:pPr>
        <w:spacing w:after="0" w:line="18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3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employment agreements with our executive officers may require us to pay severance benefits to any of those persons who are terminated in connection with a change in control of us, which could harm our financial condition or results.</w:t>
      </w:r>
    </w:p>
    <w:p>
      <w:pPr>
        <w:spacing w:after="0" w:line="6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Certain of our executive officers are parties to employment agreements that contain change in control and severance provisions providing for aggregate cash payments for severance and other benefits and acceleration of stock options vesting in the event of a termination of employment in connection with a change in control of us. The accelerated vesting of options could result in dilution to our existing stockholders and harm the market price of our common stock. The payment of these severance benefits could harm our financial condition and results. In addition, these potential severance payments may discourage or prevent third parties from seeking a business combination with us.</w:t>
      </w:r>
    </w:p>
    <w:p>
      <w:pPr>
        <w:spacing w:after="0" w:line="140"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not paid dividends in the past and do not expect to pay dividends in the future, and, as a result, any return on investment may be limited to the value of our stock.</w:t>
      </w:r>
    </w:p>
    <w:p>
      <w:pPr>
        <w:spacing w:after="0" w:line="49" w:lineRule="exact"/>
        <w:rPr>
          <w:sz w:val="20"/>
          <w:szCs w:val="20"/>
          <w:color w:val="auto"/>
        </w:rPr>
      </w:pPr>
    </w:p>
    <w:p>
      <w:pPr>
        <w:jc w:val="both"/>
        <w:ind w:right="400"/>
        <w:spacing w:after="0" w:line="252" w:lineRule="auto"/>
        <w:rPr>
          <w:sz w:val="20"/>
          <w:szCs w:val="20"/>
          <w:color w:val="auto"/>
        </w:rPr>
      </w:pPr>
      <w:r>
        <w:rPr>
          <w:rFonts w:ascii="Times New Roman" w:cs="Times New Roman" w:eastAsia="Times New Roman" w:hAnsi="Times New Roman"/>
          <w:sz w:val="20"/>
          <w:szCs w:val="20"/>
          <w:color w:val="auto"/>
        </w:rPr>
        <w:t>We have never paid dividends and do not anticipate paying dividends in the foreseeable future. The payment of dividends will depend on our earnings, capital requirements, financial condition, prospects and other factors our Board may deem relevant. If we do not pay dividends, our stock may be less valuable because a return on your investment will only occur if our stock price appreciates and you sell our common stock thereafter.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Intrusions into our computer systems could result in compromise of confidential information.</w:t>
      </w:r>
    </w:p>
    <w:p>
      <w:pPr>
        <w:spacing w:after="0" w:line="120"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color w:val="auto"/>
        </w:rPr>
        <w:t>Any software we develop or use for any of our products may be potentially subject to malfunction or vulnerable to physical break-ins, hackers, improper employee or contractor access, computer viruses, programming errors, or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360"/>
          </w:cols>
          <w:pgMar w:left="1440" w:top="1420" w:right="1440" w:bottom="175" w:gutter="0" w:footer="0" w:header="0"/>
          <w:type w:val="continuous"/>
        </w:sectPr>
      </w:pPr>
    </w:p>
    <w:bookmarkStart w:id="48" w:name="page49"/>
    <w:bookmarkEnd w:id="48"/>
    <w:p>
      <w:pPr>
        <w:ind w:right="200"/>
        <w:spacing w:after="0" w:line="277" w:lineRule="auto"/>
        <w:rPr>
          <w:sz w:val="20"/>
          <w:szCs w:val="20"/>
          <w:color w:val="auto"/>
        </w:rPr>
      </w:pPr>
      <w:r>
        <w:rPr>
          <w:rFonts w:ascii="Times New Roman" w:cs="Times New Roman" w:eastAsia="Times New Roman" w:hAnsi="Times New Roman"/>
          <w:sz w:val="20"/>
          <w:szCs w:val="20"/>
          <w:color w:val="auto"/>
        </w:rPr>
        <w:t>similar problems. Any of these might result in confidential medical, business or other information of other persons or of ourselves being revealed to unauthorized persons.</w:t>
      </w:r>
    </w:p>
    <w:p>
      <w:pPr>
        <w:spacing w:after="0" w:line="49"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0"/>
          <w:szCs w:val="20"/>
          <w:color w:val="auto"/>
        </w:rPr>
        <w:t>There are a number of state, federal and international laws protecting the privacy and security of health information and personal data, including on electronic medical systems. As part of the American Recovery and Reinvestment Act 2009, or ARRA, Congress amended the privacy and security provisions of the Health Insurance Portability and Accountability Act of 1996, or HIPAA. HIPAA imposes limitations on the use and disclosure of an individual’s protected healthcare information by healthcare providers, healthcare clearinghouses, and health insurance plans, collectively referred to as covered entities. The HIPAA amendments also impose compliance obligations and corresponding penalties for non-compliance on individuals and entities that provide services to healthcare providers and other covered entities, collectively referred to as business associates. ARRA also made significant increases in the penalties for improper use or disclosure of an individual’s health information under HIPAA and extended enforcement authority to state attorneys general. The amendments also create notification requirements for individuals whose health information has been inappropriately accessed or disclosed: notification requirements to federal regulators and in some cases, notification to local and national media. Notification is not required under HIPAA if the health information that is improperly used or disclosed is deemed secured in accordance with encryption or other standards developed by HHS. Most states have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U.S. implicate local and national data protection standards, impose additional compliance requirements and generate additional risks of enforcement for non-compliance. We may be required to expend significant capital and other resources to ensure ongoing compliance with applicable privacy and data security laws, to protect against security breaches and hackers or to alleviate problems caused by such breaches.</w:t>
      </w:r>
    </w:p>
    <w:p>
      <w:pPr>
        <w:spacing w:after="0" w:line="160" w:lineRule="exact"/>
        <w:rPr>
          <w:sz w:val="20"/>
          <w:szCs w:val="20"/>
          <w:color w:val="auto"/>
        </w:rPr>
      </w:pPr>
    </w:p>
    <w:p>
      <w:pPr>
        <w:ind w:right="66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Unfavorable U.S. or global economic conditions as a result of international conflict, or otherwise, could adversely affect our ability to raise capital and our business, results of operations and financial condition.</w:t>
      </w:r>
    </w:p>
    <w:p>
      <w:pPr>
        <w:spacing w:after="0" w:line="2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While the potential economic impact brought by the hostilities in the Ukraine are difficult to assess or predict, these conditions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products and services our ability to raise additional capital when needed on favorable terms, if at all. A weak or declining economy could strain our customers’ budgets or cause delays in their payments to us. Additionally, inflation and surging oil and gas prices could increase our costs of production.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46"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have incurred and will continue to incur significant increased costs as a result of operating as a public company, and our management has devoted and will be required to continue to devote substantial time to new compliance initiatives.</w:t>
      </w:r>
    </w:p>
    <w:p>
      <w:pPr>
        <w:spacing w:after="0" w:line="6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have incurred and will continue to incur significant legal, accounting and other expenses as a public company. We are subject to the reporting requirements of the Securities Exchange Act of 1934, as amended, the other rules and regulations of the SEC, and the rules and regulations of Nasdaq. The expenses of being a public company are material, and compliance with the various reporting and other requirements applicable to public companies requires considerable time and attention of management. For example, the Sarbanes-Oxley Act and the rules of the SEC and national securities exchanges have imposed various requirements on public companies, including requiring establishment and maintenance of effective disclosure and financial controls. Our management and other personnel need to devote a substantial amount of time to these compliance initiatives. These rules and regulations will continue to increase our legal and financial compliance costs and will make some activities more time-consuming and costly. For example, these rules and regulations may make it difficult and expensive for us to obtain adequate director and officer liability insurance, and we may be required to accept reduced policy limits on coverage or incur substantial costs to maintain the same or similar coverage. The impact of these events could also make it more difficult for us to attract and retain qualified personnel to serve on our Board, our Board committees, or as executive officers.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360"/>
          </w:cols>
          <w:pgMar w:left="1440" w:top="1420" w:right="1440" w:bottom="175" w:gutter="0" w:footer="0" w:header="0"/>
          <w:type w:val="continuous"/>
        </w:sectPr>
      </w:pPr>
    </w:p>
    <w:bookmarkStart w:id="49" w:name="page50"/>
    <w:bookmarkEnd w:id="49"/>
    <w:p>
      <w:pPr>
        <w:ind w:right="80"/>
        <w:spacing w:after="0" w:line="247" w:lineRule="auto"/>
        <w:rPr>
          <w:sz w:val="20"/>
          <w:szCs w:val="20"/>
          <w:color w:val="auto"/>
        </w:rPr>
      </w:pPr>
      <w:r>
        <w:rPr>
          <w:rFonts w:ascii="Times New Roman" w:cs="Times New Roman" w:eastAsia="Times New Roman" w:hAnsi="Times New Roman"/>
          <w:sz w:val="20"/>
          <w:szCs w:val="20"/>
          <w:color w:val="auto"/>
        </w:rPr>
        <w:t>The Sarbanes -Oxley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(Section 404). We currently do not have an internal audit group, and we will need to hire additional accounting and financial staff with appropriate public company experience and technical accounting knowledge.</w:t>
      </w:r>
    </w:p>
    <w:p>
      <w:pPr>
        <w:spacing w:after="0" w:line="8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If we are not able to comply with the requirements of Section 404 in a timely manner the market price of our stock could decline and we could be subject to sanctions or investigations by Nasdaq, the SEC or other regulatory authorities, which would require additional financial and management resources. 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This, in turn, could have an adverse impact on trading prices for our common stock, and could adversely affect our ability to access the capital markets.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360"/>
          </w:cols>
          <w:pgMar w:left="1440" w:top="1420" w:right="1440" w:bottom="175" w:gutter="0" w:footer="0" w:header="0"/>
          <w:type w:val="continuous"/>
        </w:sectPr>
      </w:pPr>
    </w:p>
    <w:bookmarkStart w:id="50" w:name="page51"/>
    <w:bookmarkEnd w:id="50"/>
    <w:p>
      <w:pPr>
        <w:jc w:val="cente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Facilities</w:t>
      </w:r>
    </w:p>
    <w:p>
      <w:pPr>
        <w:spacing w:after="0" w:line="124"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auto"/>
        </w:rPr>
        <w:t>Our principal facilities consist of office space in Redwood City, California. We currently occupy 6,368 square feet of office space under a non-cancelable operating lease that expires in May 2023.</w:t>
      </w:r>
    </w:p>
    <w:p>
      <w:pPr>
        <w:spacing w:after="0" w:line="289"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auto"/>
        </w:rPr>
        <w:t>We believe that the facilities that we currently lease are adequate for our needs for the immediate future and that, should it be needed, additional space can be leased on commercially reasonable terms to accommodate any future needs.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24"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360"/>
          </w:cols>
          <w:pgMar w:left="1440" w:top="1416" w:right="1440" w:bottom="175"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6" w:lineRule="exact"/>
        <w:rPr>
          <w:sz w:val="20"/>
          <w:szCs w:val="20"/>
          <w:color w:val="auto"/>
        </w:rPr>
      </w:pPr>
    </w:p>
    <w:p>
      <w:pPr>
        <w:jc w:val="center"/>
        <w:ind w:left="1460" w:right="2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124" w:lineRule="exact"/>
        <w:rPr>
          <w:sz w:val="20"/>
          <w:szCs w:val="20"/>
          <w:color w:val="auto"/>
        </w:rPr>
      </w:pPr>
    </w:p>
    <w:p>
      <w:pPr>
        <w:jc w:val="both"/>
        <w:ind w:right="540" w:firstLine="490"/>
        <w:spacing w:after="0" w:line="258" w:lineRule="auto"/>
        <w:rPr>
          <w:sz w:val="20"/>
          <w:szCs w:val="20"/>
          <w:color w:val="auto"/>
        </w:rPr>
      </w:pPr>
      <w:r>
        <w:rPr>
          <w:rFonts w:ascii="Times New Roman" w:cs="Times New Roman" w:eastAsia="Times New Roman" w:hAnsi="Times New Roman"/>
          <w:sz w:val="20"/>
          <w:szCs w:val="20"/>
          <w:color w:val="auto"/>
        </w:rPr>
        <w:t>Our common stock is quoted on The Nasdaq Capital Market under the symbol “SLNO”. Our 2018 PIPE Warrants and our 2022 pre-funded warrants and 2022 common warrants are not traded on a national securities exchange.</w:t>
      </w:r>
    </w:p>
    <w:p>
      <w:pPr>
        <w:spacing w:after="0" w:line="188" w:lineRule="exact"/>
        <w:rPr>
          <w:sz w:val="20"/>
          <w:szCs w:val="20"/>
          <w:color w:val="auto"/>
        </w:rPr>
      </w:pPr>
    </w:p>
    <w:p>
      <w:pPr>
        <w:ind w:right="460" w:firstLine="490"/>
        <w:spacing w:after="0" w:line="258" w:lineRule="auto"/>
        <w:rPr>
          <w:sz w:val="20"/>
          <w:szCs w:val="20"/>
          <w:color w:val="auto"/>
        </w:rPr>
      </w:pPr>
      <w:r>
        <w:rPr>
          <w:rFonts w:ascii="Times New Roman" w:cs="Times New Roman" w:eastAsia="Times New Roman" w:hAnsi="Times New Roman"/>
          <w:sz w:val="20"/>
          <w:szCs w:val="20"/>
          <w:color w:val="auto"/>
        </w:rPr>
        <w:t>As of March 9, 2023, there were 40 shareholders of record for our common stock. A substantially greater number of stockholders may be “street name” or beneficial holders, whose shares are held of record by banks, brokers and other financial institutions.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24"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We have never declared or paid cash dividends on our common stock, and currently do not plan to declare dividends on shares of our common stock in the foreseeable future. We expect to retain our future earnings, if any, for use in the operation and expansion of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 and Use of Proceeds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9360"/>
          </w:cols>
          <w:pgMar w:left="1440" w:top="1397"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360"/>
          </w:cols>
          <w:pgMar w:left="1440" w:top="1397" w:right="1440" w:bottom="175" w:gutter="0" w:footer="0" w:header="0"/>
          <w:type w:val="continuous"/>
        </w:sectPr>
      </w:pPr>
    </w:p>
    <w:bookmarkStart w:id="52" w:name="page53"/>
    <w:bookmarkEnd w:id="52"/>
    <w:p>
      <w:pPr>
        <w:jc w:val="center"/>
        <w:spacing w:after="0" w:line="286"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3" w:lineRule="exact"/>
        <w:rPr>
          <w:sz w:val="20"/>
          <w:szCs w:val="20"/>
          <w:color w:val="auto"/>
        </w:rPr>
      </w:pPr>
    </w:p>
    <w:p>
      <w:pPr>
        <w:ind w:right="40" w:firstLine="490"/>
        <w:spacing w:after="0" w:line="224" w:lineRule="auto"/>
        <w:rPr>
          <w:sz w:val="20"/>
          <w:szCs w:val="20"/>
          <w:color w:val="auto"/>
        </w:rPr>
      </w:pPr>
      <w:r>
        <w:rPr>
          <w:rFonts w:ascii="Times New Roman" w:cs="Times New Roman" w:eastAsia="Times New Roman" w:hAnsi="Times New Roman"/>
          <w:sz w:val="20"/>
          <w:szCs w:val="20"/>
          <w:i w:val="1"/>
          <w:iCs w:val="1"/>
          <w:color w:val="auto"/>
        </w:rPr>
        <w:t>The following discussion and analysis should be read in conjunction with our audited consolidated financial statements and the related notes that appear elsewhere in this Annual Report on Form 10-K. This Annual Report on Form 10-K contains “forward-looking statements” within the meaning of Section 21E of the Securities Exchange Act of 1934, as amended (the Exchange Act). These statements are often identified by the use of words such as “may,” “will,” “expect,” “believe,” “anticipate,” “intend,” “could,” “should,” “estimate,” “plan,”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 Item 1A of this Annual Report on Form 10-K and elsewhere in this report. 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41" w:lineRule="exact"/>
        <w:rPr>
          <w:sz w:val="20"/>
          <w:szCs w:val="20"/>
          <w:color w:val="auto"/>
        </w:rPr>
      </w:pPr>
    </w:p>
    <w:p>
      <w:pPr>
        <w:ind w:right="40" w:firstLine="556"/>
        <w:spacing w:after="0" w:line="244" w:lineRule="auto"/>
        <w:rPr>
          <w:sz w:val="20"/>
          <w:szCs w:val="20"/>
          <w:color w:val="auto"/>
        </w:rPr>
      </w:pPr>
      <w:r>
        <w:rPr>
          <w:rFonts w:ascii="Times New Roman" w:cs="Times New Roman" w:eastAsia="Times New Roman" w:hAnsi="Times New Roman"/>
          <w:sz w:val="20"/>
          <w:szCs w:val="20"/>
          <w:color w:val="auto"/>
        </w:rPr>
        <w:t>We are focused on the development and commercialization of novel therapeutics for the treatment of rare diseases. Our lead candidate is Diazoxide Choline Extended-Release tablets (DCCR), a once-daily oral tablet for the treatment of Prader-Willi Syndrome (PWS). DCCR has orphan designation for the treatment of PWS in the United States (U.S.) as well as in the European Union (E.U.). DCCR has been evaluated in a Phase 3 study (C601 or DESTINY PWS), a 3-month randomized, double-blind placebo-controlled study, which completed enrollment in January 2020, with 127 patients at 29 sites in the U.S. and U.K. Patients who completed treatment in DESTINY PWS are eligible to receive DCCR in C602, an open-label extension study. Top line results from DESTINY PWS were announced in June 2020. Although the trial did not meet its primary endpoint of change from baseline in hyperphagia, significant improvements were observed in two of three key secondary endpoints.</w:t>
      </w:r>
    </w:p>
    <w:p>
      <w:pPr>
        <w:spacing w:after="0" w:line="206" w:lineRule="exact"/>
        <w:rPr>
          <w:sz w:val="20"/>
          <w:szCs w:val="20"/>
          <w:color w:val="auto"/>
        </w:rPr>
      </w:pPr>
    </w:p>
    <w:p>
      <w:pPr>
        <w:ind w:right="20" w:firstLine="556"/>
        <w:spacing w:after="0" w:line="245" w:lineRule="auto"/>
        <w:rPr>
          <w:sz w:val="20"/>
          <w:szCs w:val="20"/>
          <w:color w:val="auto"/>
        </w:rPr>
      </w:pPr>
      <w:r>
        <w:rPr>
          <w:rFonts w:ascii="Times New Roman" w:cs="Times New Roman" w:eastAsia="Times New Roman" w:hAnsi="Times New Roman"/>
          <w:sz w:val="20"/>
          <w:szCs w:val="20"/>
          <w:color w:val="auto"/>
        </w:rPr>
        <w:t>In February 2021, we announced analysis limited to data collected before the onset of the COVID-19 pandemic. The analysis of the data through March 1, 2020 showed statistical significance in the primary, all key secondary and several other efficacy endpoints. In September 2021, we announced interim results from C602 showing statistically significant reduction in hyperphagia and all other PWS behavioral parameters and statistically significant improvements compared to natural history of PWS from the PATH for PWS Study (PfPWS) over a one year treatment period. The PfPWS study is an ongoing study sponsored by the Foundation for Prader-Willi Research (FPWR) to advance the understanding of the natural history in individuals with PWS. We submitted the data in the fourth quarter 2021.</w:t>
      </w:r>
    </w:p>
    <w:p>
      <w:pPr>
        <w:spacing w:after="0" w:line="202" w:lineRule="exact"/>
        <w:rPr>
          <w:sz w:val="20"/>
          <w:szCs w:val="20"/>
          <w:color w:val="auto"/>
        </w:rPr>
      </w:pPr>
    </w:p>
    <w:p>
      <w:pPr>
        <w:ind w:firstLine="556"/>
        <w:spacing w:after="0" w:line="246" w:lineRule="auto"/>
        <w:rPr>
          <w:sz w:val="20"/>
          <w:szCs w:val="20"/>
          <w:color w:val="auto"/>
        </w:rPr>
      </w:pPr>
      <w:r>
        <w:rPr>
          <w:rFonts w:ascii="Times New Roman" w:cs="Times New Roman" w:eastAsia="Times New Roman" w:hAnsi="Times New Roman"/>
          <w:sz w:val="20"/>
          <w:szCs w:val="20"/>
          <w:color w:val="auto"/>
        </w:rPr>
        <w:t>In January 2022, we submitted a proposal to add a randomized withdrawal period to Study C602 in order to obtain additional controlled data requested by the FDA to support a New Drug Application (NDA) submission for DCCR. The randomized withdrawal (RW) period of Study C602 is a multi-center, randomized, double-blind, placebo-controlled study of DCCR in approximately 80 patients with PWS at 17 sites in the U.S. and 5 sites in the U.K. This RW period consists only of patients currently enrolled in Study C602 and will not enroll any new patients. In October 2022, we announced the initiation of the RW period for Study C602. The FDA has acknowledged that data from the study has the potential to support an NDA submission for DCCR.</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360"/>
          </w:cols>
          <w:pgMar w:left="1440" w:top="1416" w:right="1440" w:bottom="175" w:gutter="0" w:footer="0" w:header="0"/>
          <w:type w:val="continuous"/>
        </w:sectPr>
      </w:pPr>
    </w:p>
    <w:bookmarkStart w:id="53" w:name="page54"/>
    <w:bookmarkEnd w:id="53"/>
    <w:p>
      <w:pPr>
        <w:ind w:right="180" w:firstLine="490"/>
        <w:spacing w:after="0" w:line="232" w:lineRule="auto"/>
        <w:rPr>
          <w:sz w:val="20"/>
          <w:szCs w:val="20"/>
          <w:color w:val="auto"/>
        </w:rPr>
      </w:pPr>
      <w:r>
        <w:rPr>
          <w:rFonts w:ascii="Times New Roman" w:cs="Times New Roman" w:eastAsia="Times New Roman" w:hAnsi="Times New Roman"/>
          <w:sz w:val="20"/>
          <w:szCs w:val="20"/>
          <w:color w:val="auto"/>
        </w:rPr>
        <w:t>As of December 31, 2022, we had an accumulated deficit of $237.4 million, primarily as a result of research and development and general and administrative expenses. We may never be successful in commercializing our novel therapeutic-lead candidate DCCR. Accordingly, we expect to incur significant losses from operations for the foreseeable future, and there can be no assurance that we will ever generate significant revenue or profits. As of December 31, 2022, we had cash and cash equivalents of $14.6 million.</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overview</w:t>
      </w:r>
    </w:p>
    <w:p>
      <w:pPr>
        <w:spacing w:after="0" w:line="2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Summary</w:t>
      </w:r>
    </w:p>
    <w:p>
      <w:pPr>
        <w:spacing w:after="0" w:line="102" w:lineRule="exact"/>
        <w:rPr>
          <w:sz w:val="20"/>
          <w:szCs w:val="20"/>
          <w:color w:val="auto"/>
        </w:rPr>
      </w:pPr>
    </w:p>
    <w:p>
      <w:pPr>
        <w:jc w:val="both"/>
        <w:ind w:right="20" w:firstLine="490"/>
        <w:spacing w:after="0" w:line="230" w:lineRule="auto"/>
        <w:rPr>
          <w:sz w:val="20"/>
          <w:szCs w:val="20"/>
          <w:color w:val="auto"/>
        </w:rPr>
      </w:pPr>
      <w:r>
        <w:rPr>
          <w:rFonts w:ascii="Times New Roman" w:cs="Times New Roman" w:eastAsia="Times New Roman" w:hAnsi="Times New Roman"/>
          <w:sz w:val="20"/>
          <w:szCs w:val="20"/>
          <w:color w:val="auto"/>
        </w:rPr>
        <w:t>We have not generated net income from operations to date, and at December 31, 2022 we had an accumulated deficit of $237.4 million, primarily as a result of research and development and general and administrative expenses. We may never be successful in commercializing our novel therapeutics products for the treatment of rare diseases.</w:t>
      </w:r>
    </w:p>
    <w:p>
      <w:pPr>
        <w:spacing w:after="0" w:line="2" w:lineRule="exact"/>
        <w:rPr>
          <w:sz w:val="20"/>
          <w:szCs w:val="20"/>
          <w:color w:val="auto"/>
        </w:rPr>
      </w:pPr>
    </w:p>
    <w:p>
      <w:pPr>
        <w:ind w:right="320"/>
        <w:spacing w:after="0" w:line="234" w:lineRule="auto"/>
        <w:rPr>
          <w:sz w:val="20"/>
          <w:szCs w:val="20"/>
          <w:color w:val="auto"/>
        </w:rPr>
      </w:pPr>
      <w:r>
        <w:rPr>
          <w:rFonts w:ascii="Times New Roman" w:cs="Times New Roman" w:eastAsia="Times New Roman" w:hAnsi="Times New Roman"/>
          <w:sz w:val="20"/>
          <w:szCs w:val="20"/>
          <w:color w:val="auto"/>
        </w:rPr>
        <w:t>Accordingly, we expect to incur significant losses from operations for the foreseeable future, and there can be no assurance that we will ever generate significant revenue or profits.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To date, we have earned no revenue from the commercial development and sale of novel therapeutic products.</w:t>
      </w:r>
    </w:p>
    <w:p>
      <w:pPr>
        <w:spacing w:after="0" w:line="2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02" w:lineRule="exact"/>
        <w:rPr>
          <w:sz w:val="20"/>
          <w:szCs w:val="20"/>
          <w:color w:val="auto"/>
        </w:rPr>
      </w:pPr>
    </w:p>
    <w:p>
      <w:pPr>
        <w:ind w:right="60" w:firstLine="490"/>
        <w:spacing w:after="0" w:line="232" w:lineRule="auto"/>
        <w:rPr>
          <w:sz w:val="20"/>
          <w:szCs w:val="20"/>
          <w:color w:val="auto"/>
        </w:rPr>
      </w:pPr>
      <w:r>
        <w:rPr>
          <w:rFonts w:ascii="Times New Roman" w:cs="Times New Roman" w:eastAsia="Times New Roman" w:hAnsi="Times New Roman"/>
          <w:sz w:val="20"/>
          <w:szCs w:val="20"/>
          <w:color w:val="auto"/>
        </w:rPr>
        <w:t>Research and development expenses consist primarily of expenses incurred by contract research organizations (CROs) associated with our clinical trials, contract manufacturing organizations (CMOs) associated with the manufacture of our drug product, employee related expenses, including salaries and benefits, and professional consultant costs. These expenses will vary with the cadence and success of our product candidate progressing from clinical to commercial stage.</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20"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auto"/>
        </w:rPr>
        <w:t>General and administrative expenses consist principally of salaries and benefits, professional fees for legal, consulting, audit and tax services, insurance, rent, pre-commercial activities, and other general operating expenses not otherwise included in research and development. We anticipate general and administrative expenses will increase in future periods, reflecting an expanding infrastructure, an increase in pre-commercial activities, other administrative expenses, and increased professional fees associated with being a public reporting company.</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Change in fair value of contingent consideration</w:t>
      </w:r>
    </w:p>
    <w:p>
      <w:pPr>
        <w:spacing w:after="0" w:line="12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Change in fair value of contingent consideration represents the change in the fair value of the additional consideration that we expect to pay to the former Essentialis stockholders based on our assessment of the expected likelihood of achieving two commercial sales milestones of $100.0 million in revenue and $200.0 million in revenue in future years.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Other income, net</w:t>
      </w:r>
    </w:p>
    <w:p>
      <w:pPr>
        <w:spacing w:after="0" w:line="120" w:lineRule="exact"/>
        <w:rPr>
          <w:sz w:val="20"/>
          <w:szCs w:val="20"/>
          <w:color w:val="auto"/>
        </w:rPr>
      </w:pPr>
    </w:p>
    <w:p>
      <w:pPr>
        <w:ind w:right="620" w:firstLine="490"/>
        <w:spacing w:after="0" w:line="277" w:lineRule="auto"/>
        <w:rPr>
          <w:sz w:val="20"/>
          <w:szCs w:val="20"/>
          <w:color w:val="auto"/>
        </w:rPr>
      </w:pPr>
      <w:r>
        <w:rPr>
          <w:rFonts w:ascii="Times New Roman" w:cs="Times New Roman" w:eastAsia="Times New Roman" w:hAnsi="Times New Roman"/>
          <w:sz w:val="20"/>
          <w:szCs w:val="20"/>
          <w:color w:val="auto"/>
        </w:rPr>
        <w:t>Other income, net is comprised of the change in the fair value of the 2018 PIPE common stock warrant liabilities, and interest income.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Significant Judgments and Estimates</w:t>
      </w:r>
    </w:p>
    <w:p>
      <w:pPr>
        <w:spacing w:after="0" w:line="124"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Our management’s discussion and analysis of financial condition and results of operations are based upon our audited financial statements, which have been prepared in accordance with GAAP. The preparation of these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to our audited financial statements contained herein.</w:t>
      </w:r>
    </w:p>
    <w:p>
      <w:pPr>
        <w:sectPr>
          <w:pgSz w:w="12240" w:h="15840" w:orient="portrait"/>
          <w:cols w:equalWidth="0" w:num="1">
            <w:col w:w="9360"/>
          </w:cols>
          <w:pgMar w:left="1440" w:top="1405"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360"/>
          </w:cols>
          <w:pgMar w:left="1440" w:top="1405" w:right="1440" w:bottom="175" w:gutter="0" w:footer="0" w:header="0"/>
          <w:type w:val="continuous"/>
        </w:sectPr>
      </w:pPr>
    </w:p>
    <w:bookmarkStart w:id="54" w:name="page55"/>
    <w:bookmarkEnd w:id="54"/>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2018 PIPE Warrants</w:t>
      </w:r>
    </w:p>
    <w:p>
      <w:pPr>
        <w:spacing w:after="0" w:line="117"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 xml:space="preserve">We account for the 2018 PIPE Warrants in accordance with the guidance in ASC 815 </w:t>
      </w:r>
      <w:r>
        <w:rPr>
          <w:rFonts w:ascii="Times New Roman" w:cs="Times New Roman" w:eastAsia="Times New Roman" w:hAnsi="Times New Roman"/>
          <w:sz w:val="20"/>
          <w:szCs w:val="20"/>
          <w:i w:val="1"/>
          <w:iCs w:val="1"/>
          <w:color w:val="auto"/>
        </w:rPr>
        <w:t>Derivatives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Hedging</w:t>
      </w:r>
      <w:r>
        <w:rPr>
          <w:rFonts w:ascii="Times New Roman" w:cs="Times New Roman" w:eastAsia="Times New Roman" w:hAnsi="Times New Roman"/>
          <w:sz w:val="20"/>
          <w:szCs w:val="20"/>
          <w:color w:val="auto"/>
        </w:rPr>
        <w:t>. The 2018 PIPE Warrants contain standard anti-dilution provisions for stock dividends, stock splits,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subdivisions, combinations and similar types of recapitalization events. The 2018 PIPE Warrants also contain a fundamental transactions provision that permits their settlement in cash at fair value at the option of the holder upon the occurrence of a change in control. Such change in control events include tender offers or hostile takeovers, which are not within our sole control as the issuer of these warrants. Accordingly, the 2018 PIPE Warrants are considered to have a cash settlement feature that precludes their classification as equity instruments. Settlement at fair value upon the occurrence of a fundamental transaction would be computed using the Black-Scholes option-pricing model, which approximates the binomial lattice model.</w:t>
      </w:r>
    </w:p>
    <w:p>
      <w:pPr>
        <w:spacing w:after="0" w:line="206"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auto"/>
        </w:rPr>
        <w:t>We classified the 2018 PIPE Warrants at their fair value and re-measure them at each balance sheet date until they are exercised or expire. Any changes in the fair value are recognized as Other income (expense) in the consolidated statements of operations.</w:t>
      </w:r>
    </w:p>
    <w:p>
      <w:pPr>
        <w:spacing w:after="0" w:line="3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08" w:lineRule="exact"/>
        <w:rPr>
          <w:sz w:val="20"/>
          <w:szCs w:val="20"/>
          <w:color w:val="auto"/>
        </w:rPr>
      </w:pPr>
    </w:p>
    <w:p>
      <w:pPr>
        <w:ind w:right="60" w:firstLine="490"/>
        <w:spacing w:after="0" w:line="231" w:lineRule="auto"/>
        <w:rPr>
          <w:sz w:val="20"/>
          <w:szCs w:val="20"/>
          <w:color w:val="auto"/>
        </w:rPr>
      </w:pPr>
      <w:r>
        <w:rPr>
          <w:rFonts w:ascii="Times New Roman" w:cs="Times New Roman" w:eastAsia="Times New Roman" w:hAnsi="Times New Roman"/>
          <w:sz w:val="20"/>
          <w:szCs w:val="20"/>
          <w:color w:val="auto"/>
        </w:rPr>
        <w:t>Research and development expenses are charged to operations as incurred. Research and development expenses consist primarily of salaries, benefits, bonus, share-based compensation, consultant fees, certain facility costs and other costs associated with clinical trials. Clinical trial costs are a significant component of research and development expenses and include costs associated with third-party contractors and other vendors. Invoicing from third-party contractors for services performed can often occur several months later. We accrue the costs incurred for clinical trial activities as measured by patient progression and the timing of various aspects of the trial. For other services, we accrue the costs in connection with third-party contractor activities based on our estimate of fees and costs associate with the contract that were rendered during the period and they are expensed as incurred.</w:t>
      </w:r>
    </w:p>
    <w:p>
      <w:pPr>
        <w:spacing w:after="0" w:line="74" w:lineRule="exact"/>
        <w:rPr>
          <w:sz w:val="20"/>
          <w:szCs w:val="20"/>
          <w:color w:val="auto"/>
        </w:rPr>
      </w:pPr>
    </w:p>
    <w:p>
      <w:pPr>
        <w:ind w:right="440" w:firstLine="490"/>
        <w:spacing w:after="0" w:line="289" w:lineRule="auto"/>
        <w:rPr>
          <w:sz w:val="20"/>
          <w:szCs w:val="20"/>
          <w:color w:val="auto"/>
        </w:rPr>
      </w:pPr>
      <w:r>
        <w:rPr>
          <w:rFonts w:ascii="Times New Roman" w:cs="Times New Roman" w:eastAsia="Times New Roman" w:hAnsi="Times New Roman"/>
          <w:sz w:val="19"/>
          <w:szCs w:val="19"/>
          <w:color w:val="auto"/>
        </w:rPr>
        <w:t>Costs to acquire technologies to be used in research and development that have not reached technological feasibility and have no alternative future use are expensed to research and development costs when incurred.</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07" w:lineRule="exact"/>
        <w:rPr>
          <w:sz w:val="20"/>
          <w:szCs w:val="20"/>
          <w:color w:val="auto"/>
        </w:rPr>
      </w:pPr>
    </w:p>
    <w:p>
      <w:pPr>
        <w:ind w:firstLine="490"/>
        <w:spacing w:after="0" w:line="232" w:lineRule="auto"/>
        <w:rPr>
          <w:sz w:val="20"/>
          <w:szCs w:val="20"/>
          <w:color w:val="auto"/>
        </w:rPr>
      </w:pPr>
      <w:r>
        <w:rPr>
          <w:rFonts w:ascii="Times New Roman" w:cs="Times New Roman" w:eastAsia="Times New Roman" w:hAnsi="Times New Roman"/>
          <w:sz w:val="20"/>
          <w:szCs w:val="20"/>
          <w:color w:val="auto"/>
        </w:rPr>
        <w:t>Stock-based compensation expense related to stock options and restricted stock units granted to employees, nonemployees and directors are measured at the date of grant based on the estimated fair value of the award. For restricted stock units this fair value is based on our common stock price on the grant date. We estimate the grant date fair value of stock options, and the resulting stock-based compensation expense, using the Black-Scholes option-pricing model. The grant date fair value of stock-based awards is recognized on a straight-line basis over the requisite service period, which is generally the vesting period for service-based awards. For performance-based awards the requisite service period is the longest explicit, implicit or derived service period based on management’s estimate of the probability of the performance criteria being satisfied, adjusted at each balance sheet date.</w:t>
      </w:r>
    </w:p>
    <w:p>
      <w:pPr>
        <w:spacing w:after="0" w:line="194" w:lineRule="exact"/>
        <w:rPr>
          <w:sz w:val="20"/>
          <w:szCs w:val="20"/>
          <w:color w:val="auto"/>
        </w:rPr>
      </w:pPr>
    </w:p>
    <w:p>
      <w:pPr>
        <w:jc w:val="both"/>
        <w:ind w:right="60" w:firstLine="490"/>
        <w:spacing w:after="0" w:line="244" w:lineRule="auto"/>
        <w:rPr>
          <w:sz w:val="20"/>
          <w:szCs w:val="20"/>
          <w:color w:val="auto"/>
        </w:rPr>
      </w:pPr>
      <w:r>
        <w:rPr>
          <w:rFonts w:ascii="Times New Roman" w:cs="Times New Roman" w:eastAsia="Times New Roman" w:hAnsi="Times New Roman"/>
          <w:sz w:val="20"/>
          <w:szCs w:val="20"/>
          <w:color w:val="auto"/>
        </w:rPr>
        <w:t>The Black-Scholes option-pricing model requires the use of highly subjective assumptions to estimate the fair value of stock-based awards. If we had made different assumptions, our stock-based compensation expense, net loss and net loss per share of common stock could have been significantly different. These assumptions include:</w:t>
      </w:r>
    </w:p>
    <w:p>
      <w:pPr>
        <w:spacing w:after="0" w:line="83" w:lineRule="exact"/>
        <w:rPr>
          <w:sz w:val="20"/>
          <w:szCs w:val="20"/>
          <w:color w:val="auto"/>
        </w:rPr>
      </w:pPr>
    </w:p>
    <w:p>
      <w:pPr>
        <w:ind w:left="860" w:right="440" w:hanging="370"/>
        <w:spacing w:after="0" w:line="289" w:lineRule="auto"/>
        <w:tabs>
          <w:tab w:leader="none" w:pos="860" w:val="left"/>
        </w:tabs>
        <w:numPr>
          <w:ilvl w:val="0"/>
          <w:numId w:val="36"/>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Expected volatility: </w:t>
      </w:r>
      <w:r>
        <w:rPr>
          <w:rFonts w:ascii="Times New Roman" w:cs="Times New Roman" w:eastAsia="Times New Roman" w:hAnsi="Times New Roman"/>
          <w:sz w:val="19"/>
          <w:szCs w:val="19"/>
          <w:color w:val="auto"/>
        </w:rPr>
        <w:t>We calculated the estimated volatility rate for stock options granted based on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volatility of our common stock for a historical period equal to the expected life of the stock options.</w:t>
      </w:r>
    </w:p>
    <w:p>
      <w:pPr>
        <w:spacing w:after="0" w:line="43" w:lineRule="exact"/>
        <w:rPr>
          <w:rFonts w:ascii="Arial" w:cs="Arial" w:eastAsia="Arial" w:hAnsi="Arial"/>
          <w:sz w:val="19"/>
          <w:szCs w:val="19"/>
          <w:color w:val="auto"/>
        </w:rPr>
      </w:pPr>
    </w:p>
    <w:p>
      <w:pPr>
        <w:ind w:left="860" w:right="40" w:hanging="370"/>
        <w:spacing w:after="0" w:line="239" w:lineRule="auto"/>
        <w:tabs>
          <w:tab w:leader="none" w:pos="86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Expected life: </w:t>
      </w:r>
      <w:r>
        <w:rPr>
          <w:rFonts w:ascii="Times New Roman" w:cs="Times New Roman" w:eastAsia="Times New Roman" w:hAnsi="Times New Roman"/>
          <w:sz w:val="20"/>
          <w:szCs w:val="20"/>
          <w:color w:val="auto"/>
        </w:rPr>
        <w:t>Due to the lack of historical exercise history, the expected life of our service-based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options is determined utilizing the “simplified method”, based on the average of the contractual term of the options and the weighted-average vesting period. The expected life for performance-based options is determined based on consideration of the contractual term of the stock options, an estimate of the date the performance criteria would be met and expectations of employee behavior.</w:t>
      </w:r>
    </w:p>
    <w:p>
      <w:pPr>
        <w:spacing w:after="0" w:line="98" w:lineRule="exact"/>
        <w:rPr>
          <w:rFonts w:ascii="Arial" w:cs="Arial" w:eastAsia="Arial" w:hAnsi="Arial"/>
          <w:sz w:val="20"/>
          <w:szCs w:val="20"/>
          <w:color w:val="auto"/>
        </w:rPr>
      </w:pPr>
    </w:p>
    <w:p>
      <w:pPr>
        <w:ind w:left="860" w:right="60" w:hanging="370"/>
        <w:spacing w:after="0" w:line="276" w:lineRule="auto"/>
        <w:tabs>
          <w:tab w:leader="none" w:pos="86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Risk-free rate: </w:t>
      </w:r>
      <w:r>
        <w:rPr>
          <w:rFonts w:ascii="Times New Roman" w:cs="Times New Roman" w:eastAsia="Times New Roman" w:hAnsi="Times New Roman"/>
          <w:sz w:val="20"/>
          <w:szCs w:val="20"/>
          <w:color w:val="auto"/>
        </w:rPr>
        <w:t>The risk-free interest rate is based on the yields of U.S. Treasury securities with maturities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similar to the expected time to liquidity.</w:t>
      </w:r>
    </w:p>
    <w:p>
      <w:pPr>
        <w:spacing w:after="0" w:line="64" w:lineRule="exact"/>
        <w:rPr>
          <w:rFonts w:ascii="Arial" w:cs="Arial" w:eastAsia="Arial" w:hAnsi="Arial"/>
          <w:sz w:val="20"/>
          <w:szCs w:val="20"/>
          <w:color w:val="auto"/>
        </w:rPr>
      </w:pPr>
    </w:p>
    <w:p>
      <w:pPr>
        <w:ind w:left="860" w:right="80" w:hanging="370"/>
        <w:spacing w:after="0" w:line="276" w:lineRule="auto"/>
        <w:tabs>
          <w:tab w:leader="none" w:pos="86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Expected dividend yield: </w:t>
      </w:r>
      <w:r>
        <w:rPr>
          <w:rFonts w:ascii="Times New Roman" w:cs="Times New Roman" w:eastAsia="Times New Roman" w:hAnsi="Times New Roman"/>
          <w:sz w:val="20"/>
          <w:szCs w:val="20"/>
          <w:color w:val="auto"/>
        </w:rPr>
        <w:t>We have never declared or paid any cash dividends and do not presently plan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 cash dividends in the foreseeable future. Consequently, we used an expected dividend yield of zero.</w:t>
      </w:r>
    </w:p>
    <w:p>
      <w:pPr>
        <w:sectPr>
          <w:pgSz w:w="12240" w:h="15840" w:orient="portrait"/>
          <w:cols w:equalWidth="0" w:num="1">
            <w:col w:w="9360"/>
          </w:cols>
          <w:pgMar w:left="1440" w:top="1409"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360"/>
          </w:cols>
          <w:pgMar w:left="1440" w:top="1409" w:right="1440" w:bottom="175" w:gutter="0" w:footer="0" w:header="0"/>
          <w:type w:val="continuous"/>
        </w:sectPr>
      </w:pPr>
    </w:p>
    <w:bookmarkStart w:id="55" w:name="page56"/>
    <w:bookmarkEnd w:id="55"/>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Contingent consideration</w:t>
      </w:r>
    </w:p>
    <w:p>
      <w:pPr>
        <w:spacing w:after="0" w:line="12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Contingent consideration elements of a business combination are recorded in accordance with ASC 805 which provides that, when contingent consideration terms provide for future payment obligations, the obligation is measured at its fair value on the acquisition date, and the subsequent increase or decrease of the value of the estimated amounts of contingent consideration to be paid is be recognized as expense or income, respectively, in the consolidated statements of operations.</w:t>
      </w:r>
    </w:p>
    <w:p>
      <w:pPr>
        <w:spacing w:after="0" w:line="197"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auto"/>
        </w:rPr>
        <w:t>Our agreement to pay the former Essentialis stockholders for achieving certain commercial milestones resulted in the recognition of contingent consideration, which was recorded at the inception of the transaction, and subsequent changes to estimate the amount of contingent consideration to be paid is recognized as expenses or income in the consolidated statements of operations. The fair value of the contingent consideration is based on our analysis of the likelihood of the drug indication moving from Phase 3 through approval by the FDA and then reaching the cumulative revenue milestones.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Common Stock Purchase Warrants and Other Derivative Financial Instruments</w:t>
      </w:r>
    </w:p>
    <w:p>
      <w:pPr>
        <w:spacing w:after="0" w:line="120" w:lineRule="exact"/>
        <w:rPr>
          <w:sz w:val="20"/>
          <w:szCs w:val="20"/>
          <w:color w:val="auto"/>
        </w:rPr>
      </w:pPr>
    </w:p>
    <w:p>
      <w:pPr>
        <w:ind w:right="180" w:firstLine="490"/>
        <w:spacing w:after="0" w:line="268" w:lineRule="auto"/>
        <w:rPr>
          <w:sz w:val="20"/>
          <w:szCs w:val="20"/>
          <w:color w:val="auto"/>
        </w:rPr>
      </w:pPr>
      <w:r>
        <w:rPr>
          <w:rFonts w:ascii="Times New Roman" w:cs="Times New Roman" w:eastAsia="Times New Roman" w:hAnsi="Times New Roman"/>
          <w:sz w:val="19"/>
          <w:szCs w:val="19"/>
          <w:color w:val="auto"/>
        </w:rPr>
        <w:t xml:space="preserve">We account for warrants in accordance with the guidance in ASC 815 </w:t>
      </w:r>
      <w:r>
        <w:rPr>
          <w:rFonts w:ascii="Times New Roman" w:cs="Times New Roman" w:eastAsia="Times New Roman" w:hAnsi="Times New Roman"/>
          <w:sz w:val="19"/>
          <w:szCs w:val="19"/>
          <w:i w:val="1"/>
          <w:iCs w:val="1"/>
          <w:color w:val="auto"/>
        </w:rPr>
        <w:t>Derivatives and Hedging</w:t>
      </w:r>
      <w:r>
        <w:rPr>
          <w:rFonts w:ascii="Times New Roman" w:cs="Times New Roman" w:eastAsia="Times New Roman" w:hAnsi="Times New Roman"/>
          <w:sz w:val="19"/>
          <w:szCs w:val="19"/>
          <w:color w:val="auto"/>
        </w:rPr>
        <w:t>. We classify common stock purchase warrants and other free standing derivative financial instruments as equity if the contracts</w:t>
      </w:r>
    </w:p>
    <w:p>
      <w:pPr>
        <w:ind w:right="60"/>
        <w:spacing w:after="0"/>
        <w:tabs>
          <w:tab w:leader="none" w:pos="23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physical settlement or net-share settlement or (ii) give us a choice of net-cash settlement or settlement in shares (physical settlement or net-share settlement). We classify any contracts that (i) require net-cash settlement (including a requirement to net cash settle the contract if an event occurs and if that event is outside our control), (ii) give the counterparty a choice of net-cash settlement or settlement in shares (physical settlement or net-share settlement), or (iii) contain reset provisions, as either an asset or a liability. We assess classification of freestanding derivatives at each reporting date to determine whether a change in classification between equity and liabilities is required. We determined that certain freestanding derivatives, which principally consist of the 2018 PIPE Warrants, do not satisfy the criteria for classification as equity instruments due to the existence of certain cash settlement features that are not within our sole control or variable settlement provision that cause them to not be indexed to our stock.</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20" w:lineRule="exact"/>
        <w:rPr>
          <w:sz w:val="20"/>
          <w:szCs w:val="20"/>
          <w:color w:val="auto"/>
        </w:rPr>
      </w:pPr>
    </w:p>
    <w:p>
      <w:pPr>
        <w:jc w:val="both"/>
        <w:ind w:right="220" w:firstLine="490"/>
        <w:spacing w:after="0" w:line="252" w:lineRule="auto"/>
        <w:rPr>
          <w:sz w:val="20"/>
          <w:szCs w:val="20"/>
          <w:color w:val="auto"/>
        </w:rPr>
      </w:pPr>
      <w:r>
        <w:rPr>
          <w:rFonts w:ascii="Times New Roman" w:cs="Times New Roman" w:eastAsia="Times New Roman" w:hAnsi="Times New Roman"/>
          <w:sz w:val="20"/>
          <w:szCs w:val="20"/>
          <w:color w:val="auto"/>
        </w:rPr>
        <w:t>We use the liability method of accounting for income taxes, whereby deferred tax assets or liability account balances are calculated at the balance sheet date using current tax laws and rates in effect for the year in which the differences are expected to affect taxable income. We have provided a valuation allowance to reduce deferred tax assets to the amount that will more likely than not be realized.</w:t>
      </w:r>
    </w:p>
    <w:p>
      <w:pPr>
        <w:spacing w:after="0" w:line="194"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We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recognition of revenues and expenses for tax and financial statement purposes. Significant changes to these estimates may result in an increase or decrease to our tax provision in a subsequent period.</w:t>
      </w:r>
    </w:p>
    <w:p>
      <w:pPr>
        <w:spacing w:after="0" w:line="197" w:lineRule="exact"/>
        <w:rPr>
          <w:sz w:val="20"/>
          <w:szCs w:val="20"/>
          <w:color w:val="auto"/>
        </w:rPr>
      </w:pPr>
    </w:p>
    <w:p>
      <w:pPr>
        <w:jc w:val="both"/>
        <w:ind w:right="400" w:firstLine="490"/>
        <w:spacing w:after="0" w:line="270" w:lineRule="auto"/>
        <w:rPr>
          <w:sz w:val="20"/>
          <w:szCs w:val="20"/>
          <w:color w:val="auto"/>
        </w:rPr>
      </w:pPr>
      <w:r>
        <w:rPr>
          <w:rFonts w:ascii="Times New Roman" w:cs="Times New Roman" w:eastAsia="Times New Roman" w:hAnsi="Times New Roman"/>
          <w:sz w:val="19"/>
          <w:szCs w:val="19"/>
          <w:color w:val="auto"/>
        </w:rPr>
        <w:t>We make estimates and judgments about our future taxable income that are based on assumptions that are consistent with our plans and estimates. Should the actual amounts differ from our estimates, the amount of our valuation allowance could be materially impacted. Any adjustment to the deferred tax asset valuation allowance would be recorded in the income statement for the periods in which the adjustment is determined to be required.</w:t>
      </w:r>
    </w:p>
    <w:p>
      <w:pPr>
        <w:spacing w:after="0" w:line="177"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 xml:space="preserve">We account for uncertainty in income taxes as required by the provisions of ASC Topic 740,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which clarifies the accounting for uncertainty in income taxes recognized in an enterprise’s financial statements.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consider many factors when evaluating and estimating our tax positions and tax benefits, which may require periodic adjustments and may not accurately anticipate actual outcomes.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360"/>
          </w:cols>
          <w:pgMar w:left="1440" w:top="1420" w:right="1440" w:bottom="175" w:gutter="0" w:footer="0" w:header="0"/>
          <w:type w:val="continuous"/>
        </w:sectPr>
      </w:pPr>
    </w:p>
    <w:bookmarkStart w:id="56" w:name="page57"/>
    <w:bookmarkEnd w:id="56"/>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In addition, the use of net operating loss and tax credit carryforwards may be limited under Section 382 of the Internal Revenue Code in certain situations where changes occur in the stock ownership of a company. In the event that we have had a change in ownership, utilization of the carryforwards could be restricted. For more information, see the section titled “Risk Factors—Our ability to use our net operating loss carry forwards and certain other tax attributes will be limited.”</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2022 and 2021</w:t>
      </w:r>
    </w:p>
    <w:p>
      <w:pPr>
        <w:spacing w:after="0" w:line="276"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7"/>
                <w:szCs w:val="17"/>
                <w:color w:val="auto"/>
              </w:rPr>
            </w:pPr>
          </w:p>
        </w:tc>
        <w:tc>
          <w:tcPr>
            <w:tcW w:w="2040" w:type="dxa"/>
            <w:vAlign w:val="bottom"/>
            <w:gridSpan w:val="4"/>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0" w:type="dxa"/>
            <w:vAlign w:val="bottom"/>
          </w:tcPr>
          <w:p>
            <w:pPr>
              <w:spacing w:after="0"/>
              <w:rPr>
                <w:sz w:val="1"/>
                <w:szCs w:val="1"/>
                <w:color w:val="auto"/>
              </w:rPr>
            </w:pPr>
          </w:p>
        </w:tc>
      </w:tr>
      <w:tr>
        <w:trPr>
          <w:trHeight w:val="174"/>
        </w:trPr>
        <w:tc>
          <w:tcPr>
            <w:tcW w:w="43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66"/>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42"/>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64"/>
              <w:spacing w:after="0" w:line="174" w:lineRule="exact"/>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Percentage</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80" w:type="dxa"/>
            <w:vAlign w:val="bottom"/>
          </w:tcPr>
          <w:p>
            <w:pPr>
              <w:spacing w:after="0"/>
              <w:rPr>
                <w:sz w:val="17"/>
                <w:szCs w:val="17"/>
                <w:color w:val="auto"/>
              </w:rPr>
            </w:pPr>
          </w:p>
        </w:tc>
        <w:tc>
          <w:tcPr>
            <w:tcW w:w="178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3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15,265  $</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21,453</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(6,188)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30"/>
        </w:trPr>
        <w:tc>
          <w:tcPr>
            <w:tcW w:w="4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10,806</w:t>
            </w:r>
          </w:p>
        </w:tc>
        <w:tc>
          <w:tcPr>
            <w:tcW w:w="1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(962)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49"/>
        </w:trPr>
        <w:tc>
          <w:tcPr>
            <w:tcW w:w="4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Change in fair value of contingent consideration</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(712)</w:t>
            </w:r>
          </w:p>
        </w:tc>
        <w:tc>
          <w:tcPr>
            <w:tcW w:w="1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(731)</w:t>
            </w:r>
          </w:p>
        </w:tc>
        <w:tc>
          <w:tcPr>
            <w:tcW w:w="12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19</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600"/>
              <w:spacing w:after="0"/>
              <w:rPr>
                <w:sz w:val="20"/>
                <w:szCs w:val="20"/>
                <w:color w:val="auto"/>
              </w:rPr>
            </w:pPr>
            <w:r>
              <w:rPr>
                <w:rFonts w:ascii="Times New Roman" w:cs="Times New Roman" w:eastAsia="Times New Roman" w:hAnsi="Times New Roman"/>
                <w:sz w:val="20"/>
                <w:szCs w:val="20"/>
                <w:color w:val="auto"/>
              </w:rPr>
              <w:t>Total operating expenses</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3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24,397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31,528</w:t>
            </w:r>
          </w:p>
        </w:tc>
        <w:tc>
          <w:tcPr>
            <w:tcW w:w="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(7,131)</w:t>
            </w:r>
          </w:p>
        </w:tc>
        <w:tc>
          <w:tcPr>
            <w:tcW w:w="160" w:type="dxa"/>
            <w:vAlign w:val="bottom"/>
            <w:vMerge w:val="continue"/>
          </w:tcPr>
          <w:p>
            <w:pPr>
              <w:spacing w:after="0"/>
              <w:rPr>
                <w:sz w:val="19"/>
                <w:szCs w:val="19"/>
                <w:color w:val="auto"/>
              </w:rPr>
            </w:pPr>
          </w:p>
        </w:tc>
        <w:tc>
          <w:tcPr>
            <w:tcW w:w="11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Operating loss</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3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96"/>
              </w:rPr>
              <w:t>(24,397)</w:t>
            </w:r>
          </w:p>
        </w:tc>
        <w:tc>
          <w:tcPr>
            <w:tcW w:w="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white"/>
                <w:w w:val="93"/>
              </w:rPr>
              <w:t>(31,528)</w:t>
            </w:r>
          </w:p>
        </w:tc>
        <w:tc>
          <w:tcPr>
            <w:tcW w:w="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7,131</w:t>
            </w:r>
          </w:p>
        </w:tc>
        <w:tc>
          <w:tcPr>
            <w:tcW w:w="160" w:type="dxa"/>
            <w:vAlign w:val="bottom"/>
            <w:vMerge w:val="continue"/>
          </w:tcPr>
          <w:p>
            <w:pPr>
              <w:spacing w:after="0"/>
              <w:rPr>
                <w:sz w:val="19"/>
                <w:szCs w:val="19"/>
                <w:color w:val="auto"/>
              </w:rPr>
            </w:pPr>
          </w:p>
        </w:tc>
        <w:tc>
          <w:tcPr>
            <w:tcW w:w="11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00"/>
        </w:trPr>
        <w:tc>
          <w:tcPr>
            <w:tcW w:w="43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Other income, net</w:t>
            </w: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Change in fair value of warrant liability</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508</w:t>
            </w:r>
          </w:p>
        </w:tc>
        <w:tc>
          <w:tcPr>
            <w:tcW w:w="1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(478)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49"/>
        </w:trPr>
        <w:tc>
          <w:tcPr>
            <w:tcW w:w="4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income</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110</w:t>
            </w:r>
          </w:p>
        </w:tc>
        <w:tc>
          <w:tcPr>
            <w:tcW w:w="12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190</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173%</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600"/>
              <w:spacing w:after="0"/>
              <w:rPr>
                <w:sz w:val="20"/>
                <w:szCs w:val="20"/>
                <w:color w:val="auto"/>
              </w:rPr>
            </w:pPr>
            <w:r>
              <w:rPr>
                <w:rFonts w:ascii="Times New Roman" w:cs="Times New Roman" w:eastAsia="Times New Roman" w:hAnsi="Times New Roman"/>
                <w:sz w:val="20"/>
                <w:szCs w:val="20"/>
                <w:color w:val="auto"/>
              </w:rPr>
              <w:t>Total other income, net</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3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618</w:t>
            </w:r>
          </w:p>
        </w:tc>
        <w:tc>
          <w:tcPr>
            <w:tcW w:w="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(288)</w:t>
            </w:r>
          </w:p>
        </w:tc>
        <w:tc>
          <w:tcPr>
            <w:tcW w:w="160" w:type="dxa"/>
            <w:vAlign w:val="bottom"/>
            <w:vMerge w:val="continue"/>
          </w:tcPr>
          <w:p>
            <w:pPr>
              <w:spacing w:after="0"/>
              <w:rPr>
                <w:sz w:val="19"/>
                <w:szCs w:val="19"/>
                <w:color w:val="auto"/>
              </w:rPr>
            </w:pPr>
          </w:p>
        </w:tc>
        <w:tc>
          <w:tcPr>
            <w:tcW w:w="11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320" w:type="dxa"/>
            <w:vAlign w:val="bottom"/>
            <w:vMerge w:val="continue"/>
          </w:tcPr>
          <w:p>
            <w:pPr>
              <w:spacing w:after="0"/>
              <w:rPr>
                <w:sz w:val="19"/>
                <w:szCs w:val="19"/>
                <w:color w:val="auto"/>
              </w:rPr>
            </w:pPr>
          </w:p>
        </w:tc>
        <w:tc>
          <w:tcPr>
            <w:tcW w:w="1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(24,067</w:t>
            </w:r>
          </w:p>
        </w:tc>
        <w:tc>
          <w:tcPr>
            <w:tcW w:w="160" w:type="dxa"/>
            <w:vAlign w:val="bottom"/>
            <w:vMerge w:val="continue"/>
          </w:tcPr>
          <w:p>
            <w:pPr>
              <w:spacing w:after="0"/>
              <w:rPr>
                <w:sz w:val="19"/>
                <w:szCs w:val="19"/>
                <w:color w:val="auto"/>
              </w:rPr>
            </w:pPr>
          </w:p>
        </w:tc>
        <w:tc>
          <w:tcPr>
            <w:tcW w:w="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(30,910</w:t>
            </w:r>
          </w:p>
        </w:tc>
        <w:tc>
          <w:tcPr>
            <w:tcW w:w="160" w:type="dxa"/>
            <w:vAlign w:val="bottom"/>
            <w:vMerge w:val="continue"/>
          </w:tcPr>
          <w:p>
            <w:pPr>
              <w:spacing w:after="0"/>
              <w:rPr>
                <w:sz w:val="19"/>
                <w:szCs w:val="19"/>
                <w:color w:val="auto"/>
              </w:rPr>
            </w:pPr>
          </w:p>
        </w:tc>
        <w:tc>
          <w:tcPr>
            <w:tcW w:w="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6,843</w:t>
            </w:r>
          </w:p>
        </w:tc>
        <w:tc>
          <w:tcPr>
            <w:tcW w:w="160" w:type="dxa"/>
            <w:vAlign w:val="bottom"/>
            <w:vMerge w:val="continue"/>
          </w:tcPr>
          <w:p>
            <w:pPr>
              <w:spacing w:after="0"/>
              <w:rPr>
                <w:sz w:val="19"/>
                <w:szCs w:val="19"/>
                <w:color w:val="auto"/>
              </w:rPr>
            </w:pPr>
          </w:p>
        </w:tc>
        <w:tc>
          <w:tcPr>
            <w:tcW w:w="11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-1678940</wp:posOffset>
            </wp:positionV>
            <wp:extent cx="5374640" cy="1663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extLst>
                    </a:blip>
                    <a:srcRect/>
                    <a:stretch>
                      <a:fillRect/>
                    </a:stretch>
                  </pic:blipFill>
                  <pic:spPr bwMode="auto">
                    <a:xfrm>
                      <a:off x="0" y="0"/>
                      <a:ext cx="5374640" cy="1663700"/>
                    </a:xfrm>
                    <a:prstGeom prst="rect">
                      <a:avLst/>
                    </a:prstGeom>
                    <a:noFill/>
                  </pic:spPr>
                </pic:pic>
              </a:graphicData>
            </a:graphic>
          </wp:anchor>
        </w:drawing>
      </w:r>
    </w:p>
    <w:p>
      <w:pPr>
        <w:spacing w:after="0" w:line="3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20" w:lineRule="exact"/>
        <w:rPr>
          <w:sz w:val="20"/>
          <w:szCs w:val="20"/>
          <w:color w:val="auto"/>
        </w:rPr>
      </w:pPr>
    </w:p>
    <w:p>
      <w:pPr>
        <w:ind w:right="660" w:firstLine="490"/>
        <w:spacing w:after="0" w:line="277" w:lineRule="auto"/>
        <w:rPr>
          <w:sz w:val="20"/>
          <w:szCs w:val="20"/>
          <w:color w:val="auto"/>
        </w:rPr>
      </w:pPr>
      <w:r>
        <w:rPr>
          <w:rFonts w:ascii="Times New Roman" w:cs="Times New Roman" w:eastAsia="Times New Roman" w:hAnsi="Times New Roman"/>
          <w:sz w:val="20"/>
          <w:szCs w:val="20"/>
          <w:color w:val="auto"/>
        </w:rPr>
        <w:t>We have not commenced commercialization of DCCR, our current sole novel therapeutic product, and accordingly, through December 31, 2022, have generated no revenue.</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2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Research and development expenses were $15.3 million for the year ended December 31, 2022, a decrease of $6.2 million from $21.5 million in 2021. The decrease is primarily due to decreased spending in clinical trials and manufacturing efforts as we awaited FDA guidance on a path forward to obtaining additional controlled clinical data that might support an NDA submission.</w:t>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20"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auto"/>
        </w:rPr>
        <w:t>General and administrative expenses were $9.8 million for the year ended December 31, 2022, a decrease of $1.0 million from $10.8 million in 2021. The decrease was primarily related to higher stock-based compensation expense and higher professional and consulting expenses in 2021, and these costs did not recur in 2022. These decreases were partially offset by salary and benefits increase associated with increase in headcount.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360"/>
          </w:cols>
          <w:pgMar w:left="1440" w:top="1420" w:right="1440" w:bottom="175" w:gutter="0" w:footer="0" w:header="0"/>
          <w:type w:val="continuous"/>
        </w:sectPr>
      </w:pPr>
    </w:p>
    <w:bookmarkStart w:id="57" w:name="page58"/>
    <w:bookmarkEnd w:id="57"/>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Change in fair value of contingent consideration</w:t>
      </w:r>
    </w:p>
    <w:p>
      <w:pPr>
        <w:spacing w:after="0" w:line="12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We are obligated to make cash payments of up to a maximum of $21.2 million to the former Essentialis stockholders upon the achievement of certain future commercial milestones associated with the sales of DCCR in accordance with the terms of our merger agreement with Essentialis. The fair value of the liability for the contingent consideration payable by us achieving two commercial sales milestones of $100 million and $200 million in revenue, respectively, in future years was estimated to be $8.8 million as of December 31, 2022, a $0.7 million decrease from the estimate as of December 31, 2021.</w:t>
      </w:r>
    </w:p>
    <w:p>
      <w:pPr>
        <w:spacing w:after="0" w:line="8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In December 2021, in connection with the dissolution of two of the former Essentialis stockholders, we signed an agreement which assigned the right, title and interest to all future earnout payments to the Company. As a result of the assignment, the maximum cash earnout payments decreased from the original $30.0 million to $21.2 million, which resulted in a $4.0 million decrease to the fair value of the contingent consideration liability. This decrease was largely offset by a $3.2 million increase in the fair value of the contingent consideration attributable to an increase in the probability and an acceleration of the expected timeline of achieving the commercial sales milestones based on recent interactions with the FDA.</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Other income, net</w:t>
      </w:r>
    </w:p>
    <w:p>
      <w:pPr>
        <w:spacing w:after="0" w:line="120" w:lineRule="exact"/>
        <w:rPr>
          <w:sz w:val="20"/>
          <w:szCs w:val="20"/>
          <w:color w:val="auto"/>
        </w:rPr>
      </w:pPr>
    </w:p>
    <w:p>
      <w:pPr>
        <w:jc w:val="both"/>
        <w:ind w:right="40" w:firstLine="490"/>
        <w:spacing w:after="0" w:line="258" w:lineRule="auto"/>
        <w:rPr>
          <w:sz w:val="20"/>
          <w:szCs w:val="20"/>
          <w:color w:val="auto"/>
        </w:rPr>
      </w:pPr>
      <w:r>
        <w:rPr>
          <w:rFonts w:ascii="Times New Roman" w:cs="Times New Roman" w:eastAsia="Times New Roman" w:hAnsi="Times New Roman"/>
          <w:sz w:val="20"/>
          <w:szCs w:val="20"/>
          <w:color w:val="auto"/>
        </w:rPr>
        <w:t>We had other income, net of $0.3 million, a decrease of $0.3 million from $0.6 million in 2021. The change in fair value of the 2018 Pipe Warrants during 2022 was $0.5 million less than in 2021, partially offset by $0.2 million higher interest income during 2022 compared to 2021.</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We had a net loss of $24.1 million during 2022 and an accumulated deficit of $237.4 million at December 31,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2022 as a result of having incurred losses since our inception. We had $14.6 million in cash and cash equivalents and $8.3 million of working capital at December 31, 2022, and used $20.8 million of cash in operating activities during 2022. We have financed our operations principally through issuances of equity securities. As of December 31, 2022, we had lease obligations totaling $0.2 million to be paid through 2023, consisting of an operating lease for office space in Redwood City, California. In July 2021, we announced that we were implementing an “at-the-market” (ATM) offering for up to $25.0 million. As of December 31, 2022, we have sold 104,793 shares of common stock through the ATM, totaling $0.3 million in net proceeds. In March 2022, we completed a public offering of shares of our common stock and pre-funded warrants and raised $13.8 million in net proceeds. Each share of common stock or pre-funded warrant was sold together with one immediately exercisable common warrant to purchase one share of common stock. In December 2022, we entered into a Securities Purchase Agreement providing for the sale of up to $60.0 million in warrants and the common stock issuable upon the exercise thereof. The receipt of these funds is contingent upon future performance of the Company.</w:t>
      </w:r>
    </w:p>
    <w:p>
      <w:pPr>
        <w:spacing w:after="0" w:line="212" w:lineRule="exact"/>
        <w:rPr>
          <w:sz w:val="20"/>
          <w:szCs w:val="20"/>
          <w:color w:val="auto"/>
        </w:rPr>
      </w:pPr>
    </w:p>
    <w:p>
      <w:pPr>
        <w:ind w:right="20" w:firstLine="641"/>
        <w:spacing w:after="0" w:line="244" w:lineRule="auto"/>
        <w:rPr>
          <w:sz w:val="20"/>
          <w:szCs w:val="20"/>
          <w:color w:val="auto"/>
        </w:rPr>
      </w:pPr>
      <w:r>
        <w:rPr>
          <w:rFonts w:ascii="Times New Roman" w:cs="Times New Roman" w:eastAsia="Times New Roman" w:hAnsi="Times New Roman"/>
          <w:sz w:val="20"/>
          <w:szCs w:val="20"/>
          <w:color w:val="auto"/>
        </w:rPr>
        <w:t>We expect to continue incurring losses for the foreseeable future and will be required to raise additional capital to complete our clinical trials, pursue product development initiatives and penetrate markets for the sale of our products. We believe that we will continue to have access to capital resources through possible public or private equity offerings, debt financings, corporate collaborations or other means, but the access to such capital resources is uncertain and is not assured. If we are unable to secure additional capital, we may be required to curtail our clinical trials and development of new products and take additional measures to reduce costs in order to conserve our cash in amounts sufficient to sustain operations and meet our obligations. These measures could cause significant delays in our efforts to complete clinical trials and commercialize our products, which is critical to the realization of our business plan and our future operations. These matters raise substantial doubt about our ability to continue as a going concern within one year from the date of filing this annual report.</w:t>
      </w:r>
    </w:p>
    <w:p>
      <w:pPr>
        <w:spacing w:after="0" w:line="202" w:lineRule="exact"/>
        <w:rPr>
          <w:sz w:val="20"/>
          <w:szCs w:val="20"/>
          <w:color w:val="auto"/>
        </w:rPr>
      </w:pPr>
    </w:p>
    <w:p>
      <w:pPr>
        <w:ind w:right="60" w:firstLine="641"/>
        <w:spacing w:after="0" w:line="249"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under the assumption we will continue to operate as a going concern, which contemplates the realization of assets and the settlement of liabilities in the normal course of business. The consolidated financial statements do not include any adjustments to reflect the possible future effects on the recoverability and classification of assets or the amounts of liabilities that may result from uncertainty related to our ability to continue as a going concern.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360"/>
          </w:cols>
          <w:pgMar w:left="1440" w:top="1420" w:right="1440" w:bottom="175"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110" w:lineRule="exact"/>
        <w:rPr>
          <w:sz w:val="20"/>
          <w:szCs w:val="20"/>
          <w:color w:val="auto"/>
        </w:rPr>
      </w:pPr>
    </w:p>
    <w:p>
      <w:pPr>
        <w:ind w:right="600" w:firstLine="490"/>
        <w:spacing w:after="0" w:line="263" w:lineRule="auto"/>
        <w:rPr>
          <w:sz w:val="20"/>
          <w:szCs w:val="20"/>
          <w:color w:val="auto"/>
        </w:rPr>
      </w:pPr>
      <w:r>
        <w:rPr>
          <w:rFonts w:ascii="Times New Roman" w:cs="Times New Roman" w:eastAsia="Times New Roman" w:hAnsi="Times New Roman"/>
          <w:sz w:val="20"/>
          <w:szCs w:val="20"/>
          <w:color w:val="auto"/>
        </w:rPr>
        <w:t>The following table sets forth the primary sources and uses of cash and cash equivalents for each of the periods presented below:</w:t>
      </w:r>
    </w:p>
    <w:p>
      <w:pPr>
        <w:spacing w:after="0" w:line="2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3814445</wp:posOffset>
                </wp:positionH>
                <wp:positionV relativeFrom="paragraph">
                  <wp:posOffset>-635</wp:posOffset>
                </wp:positionV>
                <wp:extent cx="119507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9507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35pt,-0.0499pt" to="394.45pt,-0.0499pt" o:allowincell="f" strokecolor="#000000" strokeweight="0.5pt"/>
            </w:pict>
          </mc:Fallback>
        </mc:AlternateContent>
      </w:r>
    </w:p>
    <w:p>
      <w:pPr>
        <w:jc w:val="center"/>
        <w:ind w:left="6260"/>
        <w:spacing w:after="0"/>
        <w:tabs>
          <w:tab w:leader="none" w:pos="66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3814445</wp:posOffset>
                </wp:positionH>
                <wp:positionV relativeFrom="paragraph">
                  <wp:posOffset>-635</wp:posOffset>
                </wp:positionV>
                <wp:extent cx="53784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8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35pt,-0.0499pt" to="342.7pt,-0.0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4445635</wp:posOffset>
                </wp:positionH>
                <wp:positionV relativeFrom="paragraph">
                  <wp:posOffset>-635</wp:posOffset>
                </wp:positionV>
                <wp:extent cx="56388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38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0.05pt,-0.0499pt" to="394.45pt,-0.0499pt" o:allowincell="f" strokecolor="#000000" strokeweight="0.5pt"/>
            </w:pict>
          </mc:Fallback>
        </mc:AlternateContent>
      </w:r>
    </w:p>
    <w:p>
      <w:pPr>
        <w:jc w:val="center"/>
        <w:ind w:left="4540"/>
        <w:spacing w:after="0" w:line="218" w:lineRule="auto"/>
        <w:rPr>
          <w:sz w:val="20"/>
          <w:szCs w:val="20"/>
          <w:color w:val="auto"/>
        </w:rPr>
      </w:pPr>
      <w:r>
        <w:rPr>
          <w:rFonts w:ascii="Times New Roman" w:cs="Times New Roman" w:eastAsia="Times New Roman" w:hAnsi="Times New Roman"/>
          <w:sz w:val="16"/>
          <w:szCs w:val="16"/>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0</wp:posOffset>
            </wp:positionV>
            <wp:extent cx="4185920" cy="615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extLst>
                    </a:blip>
                    <a:srcRect/>
                    <a:stretch>
                      <a:fillRect/>
                    </a:stretch>
                  </pic:blipFill>
                  <pic:spPr bwMode="auto">
                    <a:xfrm>
                      <a:off x="0" y="0"/>
                      <a:ext cx="4185920" cy="615950"/>
                    </a:xfrm>
                    <a:prstGeom prst="rect">
                      <a:avLst/>
                    </a:prstGeom>
                    <a:noFill/>
                  </pic:spPr>
                </pic:pic>
              </a:graphicData>
            </a:graphic>
          </wp:anchor>
        </w:drawing>
      </w:r>
    </w:p>
    <w:tbl>
      <w:tblPr>
        <w:tblLayout w:type="fixed"/>
        <w:tblInd w:w="140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(20,781)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(27,770)</w:t>
            </w:r>
          </w:p>
        </w:tc>
      </w:tr>
      <w:tr>
        <w:trPr>
          <w:trHeight w:val="230"/>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1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49"/>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provided by financing activities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14,092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220"/>
        </w:trPr>
        <w:tc>
          <w:tcPr>
            <w:tcW w:w="460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Net decrease in cash and cash equivalents</w:t>
            </w:r>
          </w:p>
        </w:tc>
        <w:tc>
          <w:tcPr>
            <w:tcW w:w="1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(6,702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(27,920</w:t>
            </w:r>
          </w:p>
        </w:tc>
        <w:tc>
          <w:tcPr>
            <w:tcW w:w="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89"/>
              </w:rPr>
              <w:t>)</w:t>
            </w:r>
          </w:p>
        </w:tc>
      </w:tr>
      <w:tr>
        <w:trPr>
          <w:trHeight w:val="20"/>
        </w:trPr>
        <w:tc>
          <w:tcPr>
            <w:tcW w:w="4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Cash used in operating activities</w:t>
      </w:r>
    </w:p>
    <w:p>
      <w:pPr>
        <w:spacing w:after="0" w:line="117"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During 2022, operating activities used net cash of $20.8 million, which was primarily due to the loss of $24.1 million which included non-cash income of $0.7 million for the change in fair value of contingent consideration, adjusted for non-cash expense of $2.5 million of stock-based compensation expense, $2.0 million of depreciation and amortization, and $0.3 million of non-cash lease expense. Additionally, there was a $0.8 million net increase usage of cash during 2022 due to changes in operating assets and liabilities.</w:t>
      </w:r>
    </w:p>
    <w:p>
      <w:pPr>
        <w:spacing w:after="0" w:line="77"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During 2021, operating activities used net cash of $27.8 million, which was primarily due to the loss of $30.9 million which included non-cash income of $1.2 million for the change in fair value of common stock warrants and contingent consideration, adjusted for non-cash expense of $2.0 million for depreciation and amortization, $3.3 million of stock-based compensation expense, and $0.3 million for non-cash lease expense. Additionally, there was a $1.2 million net increase usage of cash during 2021 due to changes in operating assets and liabilities.</w:t>
      </w:r>
    </w:p>
    <w:p>
      <w:pPr>
        <w:spacing w:after="0" w:line="3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Cash used in investing activities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There was minimal cash used during 2022 and 2021 for the costs of acquiring property and equipment.</w:t>
      </w:r>
    </w:p>
    <w:p>
      <w:pPr>
        <w:spacing w:after="0" w:line="3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Cash provided by financing activities</w:t>
      </w:r>
    </w:p>
    <w:p>
      <w:pPr>
        <w:spacing w:after="0" w:line="115" w:lineRule="exact"/>
        <w:rPr>
          <w:sz w:val="20"/>
          <w:szCs w:val="20"/>
          <w:color w:val="auto"/>
        </w:rPr>
      </w:pPr>
    </w:p>
    <w:p>
      <w:pPr>
        <w:ind w:right="20" w:firstLine="490"/>
        <w:spacing w:after="0" w:line="241" w:lineRule="auto"/>
        <w:rPr>
          <w:sz w:val="20"/>
          <w:szCs w:val="20"/>
          <w:color w:val="auto"/>
        </w:rPr>
      </w:pPr>
      <w:r>
        <w:rPr>
          <w:rFonts w:ascii="Times New Roman" w:cs="Times New Roman" w:eastAsia="Times New Roman" w:hAnsi="Times New Roman"/>
          <w:sz w:val="20"/>
          <w:szCs w:val="20"/>
          <w:color w:val="auto"/>
        </w:rPr>
        <w:t>During 2022, we received $13.8 million of net cash proceeds from the sale of 2,666,666 shares of our common stock, and for certain investors, in lieu of common stock, pre-funded warrants to purchase 1,333,333 shares of common stock. Each share of common stock or pre-funded warrant was sold together with one, immediately exercisable common warrant with an exercise price of $4.50 per share. As of December 31, 2022, all offering costs have been paid. We also received $0.3 million of net cash proceeds from the sale of 104,793 shares of common stock through the ATM. The net proceeds amount was slightly offset by payments for the taxes from net share-settled vesting of restricted stock.</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As of December 31, 2022, we had cash and cash equivalents of $14.6 million.</w:t>
      </w:r>
    </w:p>
    <w:p>
      <w:pPr>
        <w:spacing w:after="0" w:line="120"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Although the Company entered into a Securities Purchase Agreement in December 2022 for up to $60.0 million in potential gross proceeds to the Company, the funds are contingent upon future performance and therefore may not materialize. Consequently, we believe that we do not have sufficient capital resources to sustain operations through at least the next twelve months from the date of this filing. We expect to continue incurring losses for the foreseeable future and will be required to raise additional capital to pursue our therapeutic product development initiatives. These conditions raise substantial doubt about our ability to continue as a going concern for a period of one year from the date of this report.</w:t>
      </w:r>
    </w:p>
    <w:p>
      <w:pPr>
        <w:spacing w:after="0" w:line="236" w:lineRule="exact"/>
        <w:rPr>
          <w:sz w:val="20"/>
          <w:szCs w:val="20"/>
          <w:color w:val="auto"/>
        </w:rPr>
      </w:pPr>
    </w:p>
    <w:p>
      <w:pPr>
        <w:jc w:val="both"/>
        <w:ind w:right="780" w:firstLine="490"/>
        <w:spacing w:after="0" w:line="258" w:lineRule="auto"/>
        <w:rPr>
          <w:sz w:val="20"/>
          <w:szCs w:val="20"/>
          <w:color w:val="auto"/>
        </w:rPr>
      </w:pPr>
      <w:r>
        <w:rPr>
          <w:rFonts w:ascii="Times New Roman" w:cs="Times New Roman" w:eastAsia="Times New Roman" w:hAnsi="Times New Roman"/>
          <w:sz w:val="20"/>
          <w:szCs w:val="20"/>
          <w:color w:val="auto"/>
        </w:rPr>
        <w:t>We are obligated to make cash earnout payments of up to a maximum of $21.2 million to the former Essentialis stockholders upon the achievement of certain commercial milestones associated with the sale of Essentialis’ product in accordance with the terms of our merger agreement with Essentialis.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ectPr>
          <w:pgSz w:w="12240" w:h="15840" w:orient="portrait"/>
          <w:cols w:equalWidth="0" w:num="1">
            <w:col w:w="9360"/>
          </w:cols>
          <w:pgMar w:left="1440" w:top="1401"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360"/>
          </w:cols>
          <w:pgMar w:left="1440" w:top="1401" w:right="1440" w:bottom="175" w:gutter="0" w:footer="0" w:header="0"/>
          <w:type w:val="continuous"/>
        </w:sectPr>
      </w:pPr>
    </w:p>
    <w:bookmarkStart w:id="59" w:name="page60"/>
    <w:bookmarkEnd w:id="59"/>
    <w:p>
      <w:pPr>
        <w:ind w:right="820" w:firstLine="490"/>
        <w:spacing w:after="0" w:line="277" w:lineRule="auto"/>
        <w:rPr>
          <w:sz w:val="20"/>
          <w:szCs w:val="20"/>
          <w:color w:val="auto"/>
        </w:rPr>
      </w:pPr>
      <w:r>
        <w:rPr>
          <w:rFonts w:ascii="Times New Roman" w:cs="Times New Roman" w:eastAsia="Times New Roman" w:hAnsi="Times New Roman"/>
          <w:sz w:val="20"/>
          <w:szCs w:val="20"/>
          <w:color w:val="auto"/>
        </w:rPr>
        <w:t>As of December 31, 2022, we had no off-balance sheet arrangements as defined in Item 303(a)(4) of Regulation S-K as promulgated by the SEC.</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Guidance Update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Issued Accounting Guidance</w:t>
      </w:r>
    </w:p>
    <w:p>
      <w:pPr>
        <w:spacing w:after="0" w:line="118"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auto"/>
        </w:rPr>
        <w:t>From time to time, new accounting pronouncements are issued by the Financial Accounting Standards Board (FASB), or other standard setting bodies and adopted by us as of the specified effective date (see Note 3).</w:t>
      </w:r>
    </w:p>
    <w:p>
      <w:pPr>
        <w:spacing w:after="0" w:line="285" w:lineRule="exact"/>
        <w:rPr>
          <w:sz w:val="20"/>
          <w:szCs w:val="20"/>
          <w:color w:val="auto"/>
        </w:rPr>
      </w:pPr>
    </w:p>
    <w:p>
      <w:pPr>
        <w:ind w:right="600" w:firstLine="599"/>
        <w:spacing w:after="0" w:line="367" w:lineRule="auto"/>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 Interest Rate Sensitivity</w:t>
      </w:r>
    </w:p>
    <w:p>
      <w:pPr>
        <w:spacing w:after="0" w:line="1"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We had unrestricted cash and cash equivalents totaling $14.6 million at December 31, 2022. This balance was invested primarily in money market funds and are held for working capital purposes. We do not enter into investments for trading or speculative purposes. We believe we do not have material exposure to changes in fair value as a result of changes in interest rates. Declines in interest rates, however, will reduce future interest income.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360"/>
          </w:cols>
          <w:pgMar w:left="1440" w:top="1420" w:right="1440" w:bottom="175" w:gutter="0" w:footer="0" w:header="0"/>
          <w:type w:val="continuous"/>
        </w:sectPr>
      </w:pPr>
    </w:p>
    <w:bookmarkStart w:id="60" w:name="page61"/>
    <w:bookmarkEnd w:id="60"/>
    <w:p>
      <w:pPr>
        <w:ind w:left="700"/>
        <w:spacing w:after="0"/>
        <w:rPr>
          <w:sz w:val="20"/>
          <w:szCs w:val="20"/>
          <w:color w:val="auto"/>
        </w:rPr>
      </w:pPr>
      <w:r>
        <w:rPr>
          <w:rFonts w:ascii="Times New Roman" w:cs="Times New Roman" w:eastAsia="Times New Roman" w:hAnsi="Times New Roman"/>
          <w:sz w:val="20"/>
          <w:szCs w:val="20"/>
          <w:b w:val="1"/>
          <w:bCs w:val="1"/>
          <w:color w:val="auto"/>
        </w:rPr>
        <w:t>ITEM 8. CONSOLIDATED FINANCIAL STATEMENTS AND SUPPLEMENTARY DATA</w:t>
      </w:r>
    </w:p>
    <w:p>
      <w:pPr>
        <w:spacing w:after="0" w:line="12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b w:val="1"/>
          <w:bCs w:val="1"/>
          <w:color w:val="auto"/>
        </w:rPr>
        <w:t>Soleno Therapeutics, Inc.</w:t>
      </w:r>
    </w:p>
    <w:p>
      <w:pPr>
        <w:spacing w:after="0" w:line="12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80" w:lineRule="exact"/>
        <w:rPr>
          <w:sz w:val="20"/>
          <w:szCs w:val="20"/>
          <w:color w:val="auto"/>
        </w:rPr>
      </w:pPr>
    </w:p>
    <w:p>
      <w:pPr>
        <w:ind w:left="20"/>
        <w:spacing w:after="0"/>
        <w:tabs>
          <w:tab w:leader="dot" w:pos="9140" w:val="left"/>
        </w:tabs>
        <w:rPr>
          <w:sz w:val="20"/>
          <w:szCs w:val="20"/>
          <w:color w:val="auto"/>
        </w:rPr>
      </w:pPr>
      <w:r>
        <w:rPr>
          <w:rFonts w:ascii="Times New Roman" w:cs="Times New Roman" w:eastAsia="Times New Roman" w:hAnsi="Times New Roman"/>
          <w:sz w:val="20"/>
          <w:szCs w:val="20"/>
          <w:color w:val="auto"/>
        </w:rPr>
        <w:t>Report of Independent Registered Public Accounting Firm</w:t>
      </w:r>
      <w:r>
        <w:rPr>
          <w:sz w:val="20"/>
          <w:szCs w:val="20"/>
          <w:color w:val="auto"/>
        </w:rPr>
        <w:tab/>
      </w:r>
      <w:r>
        <w:rPr>
          <w:rFonts w:ascii="Times New Roman" w:cs="Times New Roman" w:eastAsia="Times New Roman" w:hAnsi="Times New Roman"/>
          <w:sz w:val="20"/>
          <w:szCs w:val="20"/>
          <w:color w:val="auto"/>
        </w:rPr>
        <w:t>60</w:t>
      </w:r>
    </w:p>
    <w:p>
      <w:pPr>
        <w:spacing w:after="0" w:line="138" w:lineRule="exact"/>
        <w:rPr>
          <w:sz w:val="20"/>
          <w:szCs w:val="20"/>
          <w:color w:val="auto"/>
        </w:rPr>
      </w:pPr>
    </w:p>
    <w:p>
      <w:pPr>
        <w:ind w:left="20"/>
        <w:spacing w:after="0"/>
        <w:tabs>
          <w:tab w:leader="dot" w:pos="9140" w:val="left"/>
        </w:tabs>
        <w:rPr>
          <w:sz w:val="20"/>
          <w:szCs w:val="20"/>
          <w:color w:val="auto"/>
        </w:rPr>
      </w:pPr>
      <w:r>
        <w:rPr>
          <w:rFonts w:ascii="Times New Roman" w:cs="Times New Roman" w:eastAsia="Times New Roman" w:hAnsi="Times New Roman"/>
          <w:sz w:val="20"/>
          <w:szCs w:val="20"/>
          <w:color w:val="auto"/>
        </w:rPr>
        <w:t>Consolidated Balance Sheets</w:t>
      </w:r>
      <w:r>
        <w:rPr>
          <w:sz w:val="20"/>
          <w:szCs w:val="20"/>
          <w:color w:val="auto"/>
        </w:rPr>
        <w:tab/>
      </w:r>
      <w:r>
        <w:rPr>
          <w:rFonts w:ascii="Times New Roman" w:cs="Times New Roman" w:eastAsia="Times New Roman" w:hAnsi="Times New Roman"/>
          <w:sz w:val="20"/>
          <w:szCs w:val="20"/>
          <w:color w:val="auto"/>
        </w:rPr>
        <w:t>62</w:t>
      </w:r>
    </w:p>
    <w:p>
      <w:pPr>
        <w:spacing w:after="0" w:line="138" w:lineRule="exact"/>
        <w:rPr>
          <w:sz w:val="20"/>
          <w:szCs w:val="20"/>
          <w:color w:val="auto"/>
        </w:rPr>
      </w:pPr>
    </w:p>
    <w:p>
      <w:pPr>
        <w:ind w:left="20"/>
        <w:spacing w:after="0"/>
        <w:tabs>
          <w:tab w:leader="dot" w:pos="9140" w:val="left"/>
        </w:tabs>
        <w:rPr>
          <w:sz w:val="20"/>
          <w:szCs w:val="20"/>
          <w:color w:val="auto"/>
        </w:rPr>
      </w:pPr>
      <w:r>
        <w:rPr>
          <w:rFonts w:ascii="Times New Roman" w:cs="Times New Roman" w:eastAsia="Times New Roman" w:hAnsi="Times New Roman"/>
          <w:sz w:val="20"/>
          <w:szCs w:val="20"/>
          <w:color w:val="auto"/>
        </w:rPr>
        <w:t>Consolidated Statements of Operations</w:t>
      </w:r>
      <w:r>
        <w:rPr>
          <w:sz w:val="20"/>
          <w:szCs w:val="20"/>
          <w:color w:val="auto"/>
        </w:rPr>
        <w:tab/>
      </w:r>
      <w:r>
        <w:rPr>
          <w:rFonts w:ascii="Times New Roman" w:cs="Times New Roman" w:eastAsia="Times New Roman" w:hAnsi="Times New Roman"/>
          <w:sz w:val="20"/>
          <w:szCs w:val="20"/>
          <w:color w:val="auto"/>
        </w:rPr>
        <w:t>63</w:t>
      </w:r>
    </w:p>
    <w:p>
      <w:pPr>
        <w:spacing w:after="0" w:line="138" w:lineRule="exact"/>
        <w:rPr>
          <w:sz w:val="20"/>
          <w:szCs w:val="20"/>
          <w:color w:val="auto"/>
        </w:rPr>
      </w:pPr>
    </w:p>
    <w:p>
      <w:pPr>
        <w:ind w:left="20"/>
        <w:spacing w:after="0"/>
        <w:tabs>
          <w:tab w:leader="dot" w:pos="9140" w:val="left"/>
        </w:tabs>
        <w:rPr>
          <w:sz w:val="20"/>
          <w:szCs w:val="20"/>
          <w:color w:val="auto"/>
        </w:rPr>
      </w:pPr>
      <w:r>
        <w:rPr>
          <w:rFonts w:ascii="Times New Roman" w:cs="Times New Roman" w:eastAsia="Times New Roman" w:hAnsi="Times New Roman"/>
          <w:sz w:val="20"/>
          <w:szCs w:val="20"/>
          <w:color w:val="auto"/>
        </w:rPr>
        <w:t>Consolidated Statements of Stockholders’ Equity (Deficit)</w:t>
      </w:r>
      <w:r>
        <w:rPr>
          <w:sz w:val="20"/>
          <w:szCs w:val="20"/>
          <w:color w:val="auto"/>
        </w:rPr>
        <w:tab/>
      </w:r>
      <w:r>
        <w:rPr>
          <w:rFonts w:ascii="Times New Roman" w:cs="Times New Roman" w:eastAsia="Times New Roman" w:hAnsi="Times New Roman"/>
          <w:sz w:val="20"/>
          <w:szCs w:val="20"/>
          <w:color w:val="auto"/>
        </w:rPr>
        <w:t>64</w:t>
      </w:r>
    </w:p>
    <w:p>
      <w:pPr>
        <w:spacing w:after="0" w:line="138" w:lineRule="exact"/>
        <w:rPr>
          <w:sz w:val="20"/>
          <w:szCs w:val="20"/>
          <w:color w:val="auto"/>
        </w:rPr>
      </w:pPr>
    </w:p>
    <w:p>
      <w:pPr>
        <w:ind w:left="20"/>
        <w:spacing w:after="0"/>
        <w:tabs>
          <w:tab w:leader="dot" w:pos="9140" w:val="left"/>
        </w:tabs>
        <w:rPr>
          <w:sz w:val="20"/>
          <w:szCs w:val="20"/>
          <w:color w:val="auto"/>
        </w:rPr>
      </w:pPr>
      <w:r>
        <w:rPr>
          <w:rFonts w:ascii="Times New Roman" w:cs="Times New Roman" w:eastAsia="Times New Roman" w:hAnsi="Times New Roman"/>
          <w:sz w:val="20"/>
          <w:szCs w:val="20"/>
          <w:color w:val="auto"/>
        </w:rPr>
        <w:t>Consolidated Statements of Cash Flows</w:t>
      </w:r>
      <w:r>
        <w:rPr>
          <w:sz w:val="20"/>
          <w:szCs w:val="20"/>
          <w:color w:val="auto"/>
        </w:rPr>
        <w:tab/>
      </w:r>
      <w:r>
        <w:rPr>
          <w:rFonts w:ascii="Times New Roman" w:cs="Times New Roman" w:eastAsia="Times New Roman" w:hAnsi="Times New Roman"/>
          <w:sz w:val="20"/>
          <w:szCs w:val="20"/>
          <w:color w:val="auto"/>
        </w:rPr>
        <w:t>65</w:t>
      </w:r>
    </w:p>
    <w:p>
      <w:pPr>
        <w:spacing w:after="0" w:line="138" w:lineRule="exact"/>
        <w:rPr>
          <w:sz w:val="20"/>
          <w:szCs w:val="20"/>
          <w:color w:val="auto"/>
        </w:rPr>
      </w:pPr>
    </w:p>
    <w:p>
      <w:pPr>
        <w:ind w:left="20"/>
        <w:spacing w:after="0"/>
        <w:tabs>
          <w:tab w:leader="dot" w:pos="9140" w:val="left"/>
        </w:tabs>
        <w:rPr>
          <w:sz w:val="20"/>
          <w:szCs w:val="20"/>
          <w:color w:val="auto"/>
        </w:rPr>
      </w:pPr>
      <w:r>
        <w:rPr>
          <w:rFonts w:ascii="Times New Roman" w:cs="Times New Roman" w:eastAsia="Times New Roman" w:hAnsi="Times New Roman"/>
          <w:sz w:val="20"/>
          <w:szCs w:val="20"/>
          <w:color w:val="auto"/>
        </w:rPr>
        <w:t>Notes to Consolidated Financial Statements</w:t>
      </w:r>
      <w:r>
        <w:rPr>
          <w:sz w:val="20"/>
          <w:szCs w:val="20"/>
          <w:color w:val="auto"/>
        </w:rPr>
        <w:tab/>
      </w:r>
      <w:r>
        <w:rPr>
          <w:rFonts w:ascii="Times New Roman" w:cs="Times New Roman" w:eastAsia="Times New Roman" w:hAnsi="Times New Roman"/>
          <w:sz w:val="20"/>
          <w:szCs w:val="20"/>
          <w:color w:val="auto"/>
        </w:rPr>
        <w:t>66</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360"/>
          </w:cols>
          <w:pgMar w:left="1440" w:top="1416" w:right="1440" w:bottom="175" w:gutter="0" w:footer="0" w:header="0"/>
          <w:type w:val="continuous"/>
        </w:sectPr>
      </w:pPr>
    </w:p>
    <w:bookmarkStart w:id="61" w:name="page62"/>
    <w:bookmarkEnd w:id="61"/>
    <w:p>
      <w:pPr>
        <w:ind w:left="126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Board of Directors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Soleno Therapeutics, Inc.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Financial Statements</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Soleno Therapeutics, Inc. (the “Company”) as of December 31, 2022 and 2021, the related consolidated statements of operations, stockholders’ equity (deficit)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Explanatory Paragraph – Going Concern</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96" w:lineRule="exact"/>
        <w:rPr>
          <w:sz w:val="20"/>
          <w:szCs w:val="20"/>
          <w:color w:val="auto"/>
        </w:rPr>
      </w:pPr>
    </w:p>
    <w:p>
      <w:pPr>
        <w:ind w:left="360" w:hanging="360"/>
        <w:spacing w:after="0"/>
        <w:tabs>
          <w:tab w:leader="none" w:pos="36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Accrual of Clinical Trial Costs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360"/>
          </w:cols>
          <w:pgMar w:left="1440" w:top="1416" w:right="1440" w:bottom="175"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i w:val="1"/>
          <w:iCs w:val="1"/>
          <w:color w:val="auto"/>
        </w:rPr>
        <w:t>Description of the matter</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discussed in note 3 to the consolidated financial statements, the Company records research and development costs associated with clinical trial activities based upon estimates of costs incurred through the balance sheet date that have yet to be invoiced by the contract research organizations (“CRO”) and other vendors.</w:t>
      </w:r>
    </w:p>
    <w:p>
      <w:pPr>
        <w:spacing w:after="0" w:line="2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accounts for these expenses according to the progress of the trial as measured by patient progression and the timing of various aspects of the trial. Estimated accruals are determined based on reviewing contractual terms and through communications with internal clinical personnel and external service providers including CRO’s as to the progress or state of its trials. The principal consideration for our determination that performing procedures related to the clinical trial expenses, specifically related to the year-end accrual for clinical trial costs, is a critical audit matter is that there was judgment by management in determining the progress of the activities included in the individual clinical trial agreements based on internal and external information, and involves a high volume of data.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We Addressed the Matter in Our Audit</w:t>
      </w:r>
    </w:p>
    <w:p>
      <w:pPr>
        <w:spacing w:after="0" w:line="1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To evaluate the accrual for clinical expenses, our audit procedures included, among others, testing the completeness and accuracy of the underlying data used in the estimates and evaluating the significant assumptions including, but not limited to, subject visit dates and costs per subject visit, that are used by management to estimate the recorded accruals. To assess the reasonableness of the significant assumptions, we obtained an understanding the Company’s estimation process relating to accrual for clinical trial costs, corroborated the progress of clinical trials with the Company’s clinical team and obtained invoices directly from third parties related to active patient sites, currently enrolled patients, and subject visit dates. We also tested a sample of subsequent payments to assess the impact to the accrual through the balance sheet date and compared that to the Company’s estimates.</w:t>
      </w:r>
    </w:p>
    <w:p>
      <w:pPr>
        <w:spacing w:after="0" w:line="78" w:lineRule="exact"/>
        <w:rPr>
          <w:sz w:val="20"/>
          <w:szCs w:val="20"/>
          <w:color w:val="auto"/>
        </w:rPr>
      </w:pPr>
    </w:p>
    <w:p>
      <w:pPr>
        <w:ind w:left="360" w:hanging="360"/>
        <w:spacing w:after="0"/>
        <w:tabs>
          <w:tab w:leader="none" w:pos="36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of Contingent Consideration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Description of the Matter</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discussed in notes 2 and 4 to the consolidated financial statements, the Company’s acquisition-related purchase price contingent liability, which is estimated using scenario-based methods based upon the Company’s analysis of the likelihood of obtaining specified approvals from the Federal Drug Administration as well as reaching cumulative revenue milestones and is remeasured to its estimated fair value each reporting period, with changes in fair value recorded in the statements of operations.</w:t>
      </w:r>
    </w:p>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Auditing the valuation of the acquisition-related contingent consideration liability was complex and highly judgmental due to the significant estimation required in determining the fair value. In particular, the fair value estimate was sensitive to significant assumptions such as the Company’s projected future sales, which are affected by expectations about approval of a New Drug Application and future industry, market or economic conditions.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We Addressed the Matter in Our Audit</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To evaluate the estimated fair value of the contingent consideration liability, we performed audit procedures that included, among others, assessing the terms of the arrangement, evaluating the methodology used, and testing the significant assumptions discussed above used by the Company in its analysis. We involved our valuation specialists to assist in the evaluation of the significant assumptions and methodology used by the Company. Our valuation specialists recalculated the work performed by the Company to ensure that recorded amount was accurate. We also compared the significant assumptions to current industry, market and economic trends.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Marcum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Marcum LLP</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2014</w:t>
      </w:r>
      <w:r>
        <w:rPr>
          <w:rFonts w:ascii="Times New Roman" w:cs="Times New Roman" w:eastAsia="Times New Roman" w:hAnsi="Times New Roman"/>
          <w:sz w:val="20"/>
          <w:szCs w:val="20"/>
          <w:b w:val="1"/>
          <w:bCs w:val="1"/>
          <w:color w:val="auto"/>
        </w:rPr>
        <w: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22, 2023</w:t>
      </w:r>
    </w:p>
    <w:p>
      <w:pPr>
        <w:sectPr>
          <w:pgSz w:w="12240" w:h="15840" w:orient="portrait"/>
          <w:cols w:equalWidth="0" w:num="1">
            <w:col w:w="9360"/>
          </w:cols>
          <w:pgMar w:left="1440" w:top="142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360"/>
          </w:cols>
          <w:pgMar w:left="1440" w:top="1422" w:right="1440" w:bottom="175"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Soleno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share and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5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14,602</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1,045</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540" w:type="dxa"/>
            <w:vAlign w:val="bottom"/>
          </w:tcPr>
          <w:p>
            <w:pPr>
              <w:ind w:left="800"/>
              <w:spacing w:after="0" w:line="201" w:lineRule="exact"/>
              <w:rPr>
                <w:sz w:val="20"/>
                <w:szCs w:val="20"/>
                <w:color w:val="auto"/>
              </w:rPr>
            </w:pPr>
            <w:r>
              <w:rPr>
                <w:rFonts w:ascii="Times New Roman" w:cs="Times New Roman" w:eastAsia="Times New Roman" w:hAnsi="Times New Roman"/>
                <w:sz w:val="20"/>
                <w:szCs w:val="20"/>
                <w:color w:val="auto"/>
              </w:rPr>
              <w:t>Total current assets</w:t>
            </w:r>
          </w:p>
        </w:tc>
        <w:tc>
          <w:tcPr>
            <w:tcW w:w="14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15,647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22,422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Long-term assets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Intangible assets, net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10,693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Other long-term assets</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40" w:type="dxa"/>
            <w:vAlign w:val="bottom"/>
          </w:tcPr>
          <w:p>
            <w:pPr>
              <w:ind w:left="800"/>
              <w:spacing w:after="0" w:line="220" w:lineRule="exact"/>
              <w:rPr>
                <w:sz w:val="20"/>
                <w:szCs w:val="20"/>
                <w:color w:val="auto"/>
              </w:rPr>
            </w:pPr>
            <w:r>
              <w:rPr>
                <w:rFonts w:ascii="Times New Roman" w:cs="Times New Roman" w:eastAsia="Times New Roman" w:hAnsi="Times New Roman"/>
                <w:sz w:val="20"/>
                <w:szCs w:val="20"/>
                <w:color w:val="auto"/>
              </w:rPr>
              <w:t>Total assets</w:t>
            </w:r>
          </w:p>
        </w:tc>
        <w:tc>
          <w:tcPr>
            <w:tcW w:w="1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26,497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35,553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 (deficit)</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Accounts payable, net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Accrued compensation</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Accrued clinical trial site costs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484</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540" w:type="dxa"/>
            <w:vAlign w:val="bottom"/>
          </w:tcPr>
          <w:p>
            <w:pPr>
              <w:ind w:left="800"/>
              <w:spacing w:after="0" w:line="201" w:lineRule="exact"/>
              <w:rPr>
                <w:sz w:val="20"/>
                <w:szCs w:val="20"/>
                <w:color w:val="auto"/>
              </w:rPr>
            </w:pPr>
            <w:r>
              <w:rPr>
                <w:rFonts w:ascii="Times New Roman" w:cs="Times New Roman" w:eastAsia="Times New Roman" w:hAnsi="Times New Roman"/>
                <w:sz w:val="20"/>
                <w:szCs w:val="20"/>
                <w:color w:val="auto"/>
              </w:rPr>
              <w:t>Total current liabilities</w:t>
            </w:r>
          </w:p>
        </w:tc>
        <w:tc>
          <w:tcPr>
            <w:tcW w:w="14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7,313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8,007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Long-term liabilities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2018 PIPE Warrant liability</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Contingent liability for Essentialis purchase price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Long-term lease liabilities</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40" w:type="dxa"/>
            <w:vAlign w:val="bottom"/>
          </w:tcPr>
          <w:p>
            <w:pPr>
              <w:ind w:left="800"/>
              <w:spacing w:after="0" w:line="220" w:lineRule="exact"/>
              <w:rPr>
                <w:sz w:val="20"/>
                <w:szCs w:val="20"/>
                <w:color w:val="auto"/>
              </w:rPr>
            </w:pPr>
            <w:r>
              <w:rPr>
                <w:rFonts w:ascii="Times New Roman" w:cs="Times New Roman" w:eastAsia="Times New Roman" w:hAnsi="Times New Roman"/>
                <w:sz w:val="20"/>
                <w:szCs w:val="20"/>
                <w:color w:val="auto"/>
              </w:rPr>
              <w:t>Total liabilities</w:t>
            </w: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16,149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17,760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54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Commitments and contingencies (Note 8)</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 (deficit)</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Preferred stock, $0.001 par value; 10,000,000 shares authorized, no shares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issued and outstanding</w:t>
            </w: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$0.001 par value, 100,000,000 shares authorized,</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8,159,382 and 5,324,287 shares issued and outstanding at</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December 31, 2022 and December 31, 2021, respectively</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Additional paid-in-capital</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247,762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231,068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Accumulated deficit</w:t>
            </w:r>
          </w:p>
        </w:tc>
        <w:tc>
          <w:tcPr>
            <w:tcW w:w="1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(237,422)</w:t>
            </w:r>
          </w:p>
        </w:tc>
        <w:tc>
          <w:tcPr>
            <w:tcW w:w="1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(213,355)</w:t>
            </w:r>
          </w:p>
        </w:tc>
        <w:tc>
          <w:tcPr>
            <w:tcW w:w="0" w:type="dxa"/>
            <w:vAlign w:val="bottom"/>
          </w:tcPr>
          <w:p>
            <w:pPr>
              <w:spacing w:after="0"/>
              <w:rPr>
                <w:sz w:val="1"/>
                <w:szCs w:val="1"/>
                <w:color w:val="auto"/>
              </w:rPr>
            </w:pPr>
          </w:p>
        </w:tc>
      </w:tr>
      <w:tr>
        <w:trPr>
          <w:trHeight w:val="220"/>
        </w:trPr>
        <w:tc>
          <w:tcPr>
            <w:tcW w:w="654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stockholders’ equity (deficit)</w:t>
            </w: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10,348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17,793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liabilities and stockholders’ equity (deficit)</w:t>
            </w:r>
          </w:p>
        </w:tc>
        <w:tc>
          <w:tcPr>
            <w:tcW w:w="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26,497</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35,553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-5231130</wp:posOffset>
            </wp:positionV>
            <wp:extent cx="5969000" cy="5215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extLst>
                    </a:blip>
                    <a:srcRect/>
                    <a:stretch>
                      <a:fillRect/>
                    </a:stretch>
                  </pic:blipFill>
                  <pic:spPr bwMode="auto">
                    <a:xfrm>
                      <a:off x="0" y="0"/>
                      <a:ext cx="5969000" cy="5215890"/>
                    </a:xfrm>
                    <a:prstGeom prst="rect">
                      <a:avLst/>
                    </a:prstGeom>
                    <a:noFill/>
                  </pic:spPr>
                </pic:pic>
              </a:graphicData>
            </a:graphic>
          </wp:anchor>
        </w:drawing>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accompanying notes to consolidated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360"/>
          </w:cols>
          <w:pgMar w:left="1440" w:top="1416" w:right="1440" w:bottom="175"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auto"/>
        </w:rPr>
        <w:t>Soleno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share and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4"/>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82"/>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4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15,265</w:t>
            </w:r>
          </w:p>
        </w:tc>
        <w:tc>
          <w:tcPr>
            <w:tcW w:w="220" w:type="dxa"/>
            <w:vAlign w:val="bottom"/>
          </w:tcPr>
          <w:p>
            <w:pPr>
              <w:spacing w:after="0"/>
              <w:rPr>
                <w:sz w:val="19"/>
                <w:szCs w:val="19"/>
                <w:color w:val="auto"/>
              </w:rPr>
            </w:pP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9,844</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Change in fair value of contingent consideration</w:t>
            </w:r>
          </w:p>
        </w:tc>
        <w:tc>
          <w:tcPr>
            <w:tcW w:w="3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(712)</w:t>
            </w:r>
          </w:p>
        </w:tc>
        <w:tc>
          <w:tcPr>
            <w:tcW w:w="4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(731)</w:t>
            </w:r>
          </w:p>
        </w:tc>
        <w:tc>
          <w:tcPr>
            <w:tcW w:w="0" w:type="dxa"/>
            <w:vAlign w:val="bottom"/>
          </w:tcPr>
          <w:p>
            <w:pPr>
              <w:spacing w:after="0"/>
              <w:rPr>
                <w:sz w:val="1"/>
                <w:szCs w:val="1"/>
                <w:color w:val="auto"/>
              </w:rPr>
            </w:pPr>
          </w:p>
        </w:tc>
      </w:tr>
      <w:tr>
        <w:trPr>
          <w:trHeight w:val="220"/>
        </w:trPr>
        <w:tc>
          <w:tcPr>
            <w:tcW w:w="644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24,397</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31,528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Operating loss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(24,397)</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(31,528)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44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Other income, net</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Change in fair value of warrant liability</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income</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2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44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other income,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330</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Net loss</w:t>
            </w:r>
          </w:p>
        </w:tc>
        <w:tc>
          <w:tcPr>
            <w:tcW w:w="300" w:type="dxa"/>
            <w:vAlign w:val="bottom"/>
            <w:tcBorders>
              <w:bottom w:val="single" w:sz="8" w:color="auto"/>
            </w:tcBorders>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(24,067)</w:t>
            </w:r>
          </w:p>
        </w:tc>
        <w:tc>
          <w:tcPr>
            <w:tcW w:w="220" w:type="dxa"/>
            <w:vAlign w:val="bottom"/>
          </w:tcPr>
          <w:p>
            <w:pPr>
              <w:spacing w:after="0"/>
              <w:rPr>
                <w:sz w:val="19"/>
                <w:szCs w:val="19"/>
                <w:color w:val="auto"/>
              </w:rPr>
            </w:pPr>
          </w:p>
        </w:tc>
        <w:tc>
          <w:tcPr>
            <w:tcW w:w="420" w:type="dxa"/>
            <w:vAlign w:val="bottom"/>
            <w:tcBorders>
              <w:bottom w:val="single" w:sz="8" w:color="auto"/>
            </w:tcBorders>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(30,910)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 per common share, basic and diluted</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440" w:type="dxa"/>
            <w:vAlign w:val="bottom"/>
            <w:vMerge w:val="continue"/>
          </w:tcPr>
          <w:p>
            <w:pPr>
              <w:spacing w:after="0"/>
              <w:rPr>
                <w:sz w:val="18"/>
                <w:szCs w:val="18"/>
                <w:color w:val="auto"/>
              </w:rPr>
            </w:pPr>
          </w:p>
        </w:tc>
        <w:tc>
          <w:tcPr>
            <w:tcW w:w="300" w:type="dxa"/>
            <w:vAlign w:val="bottom"/>
            <w:tcBorders>
              <w:bottom w:val="single" w:sz="8" w:color="auto"/>
            </w:tcBorders>
          </w:tcPr>
          <w:p>
            <w:pPr>
              <w:jc w:val="right"/>
              <w:ind w:right="10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(2.87)</w:t>
            </w:r>
          </w:p>
        </w:tc>
        <w:tc>
          <w:tcPr>
            <w:tcW w:w="220" w:type="dxa"/>
            <w:vAlign w:val="bottom"/>
            <w:vMerge w:val="continue"/>
          </w:tcPr>
          <w:p>
            <w:pPr>
              <w:spacing w:after="0"/>
              <w:rPr>
                <w:sz w:val="18"/>
                <w:szCs w:val="18"/>
                <w:color w:val="auto"/>
              </w:rPr>
            </w:pPr>
          </w:p>
        </w:tc>
        <w:tc>
          <w:tcPr>
            <w:tcW w:w="420" w:type="dxa"/>
            <w:vAlign w:val="bottom"/>
            <w:tcBorders>
              <w:bottom w:val="single" w:sz="8" w:color="auto"/>
            </w:tcBorders>
          </w:tcPr>
          <w:p>
            <w:pPr>
              <w:jc w:val="right"/>
              <w:ind w:right="22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(5.81)</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Weighted-average common shares outstanding used to calculate basic and</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4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diluted net loss per common share</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8,397,088</w:t>
            </w:r>
          </w:p>
        </w:tc>
        <w:tc>
          <w:tcPr>
            <w:tcW w:w="2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5,318,022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-2180590</wp:posOffset>
            </wp:positionV>
            <wp:extent cx="5969000" cy="2165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extLst>
                    </a:blip>
                    <a:srcRect/>
                    <a:stretch>
                      <a:fillRect/>
                    </a:stretch>
                  </pic:blipFill>
                  <pic:spPr bwMode="auto">
                    <a:xfrm>
                      <a:off x="0" y="0"/>
                      <a:ext cx="5969000" cy="2165350"/>
                    </a:xfrm>
                    <a:prstGeom prst="rect">
                      <a:avLst/>
                    </a:prstGeom>
                    <a:noFill/>
                  </pic:spPr>
                </pic:pic>
              </a:graphicData>
            </a:graphic>
          </wp:anchor>
        </w:drawing>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accompanying notes to consolidated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360"/>
          </w:cols>
          <w:pgMar w:left="1440" w:top="1416" w:right="1440" w:bottom="175"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Soleno Therapeutics, Inc.</w:t>
      </w:r>
    </w:p>
    <w:p>
      <w:pPr>
        <w:jc w:val="center"/>
        <w:spacing w:after="0" w:line="225" w:lineRule="auto"/>
        <w:rPr>
          <w:sz w:val="20"/>
          <w:szCs w:val="20"/>
          <w:color w:val="auto"/>
        </w:rPr>
      </w:pPr>
      <w:r>
        <w:rPr>
          <w:rFonts w:ascii="Times New Roman" w:cs="Times New Roman" w:eastAsia="Times New Roman" w:hAnsi="Times New Roman"/>
          <w:sz w:val="20"/>
          <w:szCs w:val="20"/>
          <w:b w:val="1"/>
          <w:bCs w:val="1"/>
          <w:color w:val="auto"/>
        </w:rPr>
        <w:t>Consolidated Statements of Stockholders’ Equity (Deficit)</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share data)</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2380" w:type="dxa"/>
            <w:vAlign w:val="bottom"/>
            <w:tcBorders>
              <w:bottom w:val="single" w:sz="8" w:color="auto"/>
            </w:tcBorders>
            <w:gridSpan w:val="3"/>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174"/>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Balances at December 31, 2020</w:t>
            </w:r>
          </w:p>
        </w:tc>
        <w:tc>
          <w:tcPr>
            <w:tcW w:w="1460" w:type="dxa"/>
            <w:vAlign w:val="bottom"/>
            <w:gridSpan w:val="2"/>
          </w:tcPr>
          <w:p>
            <w:pPr>
              <w:jc w:val="right"/>
              <w:ind w:right="620"/>
              <w:spacing w:after="0" w:line="174" w:lineRule="exact"/>
              <w:rPr>
                <w:sz w:val="20"/>
                <w:szCs w:val="20"/>
                <w:color w:val="auto"/>
              </w:rPr>
            </w:pPr>
            <w:r>
              <w:rPr>
                <w:rFonts w:ascii="Times New Roman" w:cs="Times New Roman" w:eastAsia="Times New Roman" w:hAnsi="Times New Roman"/>
                <w:sz w:val="16"/>
                <w:szCs w:val="16"/>
                <w:b w:val="1"/>
                <w:bCs w:val="1"/>
                <w:color w:val="auto"/>
              </w:rPr>
              <w:t>Shares</w:t>
            </w:r>
          </w:p>
        </w:tc>
        <w:tc>
          <w:tcPr>
            <w:tcW w:w="9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580"/>
              <w:spacing w:after="0" w:line="174" w:lineRule="exact"/>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5"/>
                <w:szCs w:val="15"/>
                <w:color w:val="auto"/>
              </w:rPr>
            </w:pPr>
          </w:p>
        </w:tc>
        <w:tc>
          <w:tcPr>
            <w:tcW w:w="1300" w:type="dxa"/>
            <w:vAlign w:val="bottom"/>
            <w:gridSpan w:val="2"/>
          </w:tcPr>
          <w:p>
            <w:pPr>
              <w:jc w:val="right"/>
              <w:ind w:right="600"/>
              <w:spacing w:after="0" w:line="174" w:lineRule="exact"/>
              <w:rPr>
                <w:sz w:val="20"/>
                <w:szCs w:val="20"/>
                <w:color w:val="auto"/>
              </w:rPr>
            </w:pPr>
            <w:r>
              <w:rPr>
                <w:rFonts w:ascii="Times New Roman" w:cs="Times New Roman" w:eastAsia="Times New Roman" w:hAnsi="Times New Roman"/>
                <w:sz w:val="16"/>
                <w:szCs w:val="16"/>
                <w:b w:val="1"/>
                <w:bCs w:val="1"/>
                <w:color w:val="auto"/>
              </w:rPr>
              <w:t>Deficit</w:t>
            </w:r>
          </w:p>
        </w:tc>
        <w:tc>
          <w:tcPr>
            <w:tcW w:w="1240" w:type="dxa"/>
            <w:vAlign w:val="bottom"/>
            <w:gridSpan w:val="3"/>
          </w:tcPr>
          <w:p>
            <w:pPr>
              <w:jc w:val="center"/>
              <w:ind w:right="60"/>
              <w:spacing w:after="0" w:line="174" w:lineRule="exact"/>
              <w:rPr>
                <w:sz w:val="20"/>
                <w:szCs w:val="20"/>
                <w:color w:val="auto"/>
              </w:rPr>
            </w:pPr>
            <w:r>
              <w:rPr>
                <w:rFonts w:ascii="Times New Roman" w:cs="Times New Roman" w:eastAsia="Times New Roman" w:hAnsi="Times New Roman"/>
                <w:sz w:val="16"/>
                <w:szCs w:val="16"/>
                <w:b w:val="1"/>
                <w:bCs w:val="1"/>
                <w:color w:val="auto"/>
                <w:w w:val="99"/>
              </w:rPr>
              <w:t>Equity (Deficit)</w:t>
            </w:r>
          </w:p>
        </w:tc>
        <w:tc>
          <w:tcPr>
            <w:tcW w:w="0" w:type="dxa"/>
            <w:vAlign w:val="bottom"/>
          </w:tcPr>
          <w:p>
            <w:pPr>
              <w:spacing w:after="0"/>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5,307,713</w:t>
            </w:r>
          </w:p>
        </w:tc>
        <w:tc>
          <w:tcPr>
            <w:tcW w:w="24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33"/>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227,987</w:t>
            </w: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(182,445)</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45,547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040" w:type="dxa"/>
            <w:vAlign w:val="bottom"/>
          </w:tcPr>
          <w:p>
            <w:pPr>
              <w:ind w:left="200"/>
              <w:spacing w:after="0" w:line="179" w:lineRule="exact"/>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3,276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3,276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restricted stock units under equity incentive plan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20,513</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withholding payments for net share-settled equity awards</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(3,938)</w:t>
            </w:r>
          </w:p>
        </w:tc>
        <w:tc>
          <w:tcPr>
            <w:tcW w:w="9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5"/>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(30,910)</w:t>
            </w: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(30,910)</w:t>
            </w:r>
          </w:p>
        </w:tc>
        <w:tc>
          <w:tcPr>
            <w:tcW w:w="0" w:type="dxa"/>
            <w:vAlign w:val="bottom"/>
          </w:tcPr>
          <w:p>
            <w:pPr>
              <w:spacing w:after="0"/>
              <w:rPr>
                <w:sz w:val="1"/>
                <w:szCs w:val="1"/>
                <w:color w:val="auto"/>
              </w:rPr>
            </w:pPr>
          </w:p>
        </w:tc>
      </w:tr>
      <w:tr>
        <w:trPr>
          <w:trHeight w:val="197"/>
        </w:trPr>
        <w:tc>
          <w:tcPr>
            <w:tcW w:w="50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Balances at December 31, 2021</w:t>
            </w:r>
          </w:p>
        </w:tc>
        <w:tc>
          <w:tcPr>
            <w:tcW w:w="122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5,324,287</w:t>
            </w:r>
          </w:p>
        </w:tc>
        <w:tc>
          <w:tcPr>
            <w:tcW w:w="24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33"/>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231,143</w:t>
            </w: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(213,355)</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17,793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040" w:type="dxa"/>
            <w:vAlign w:val="bottom"/>
            <w:vMerge w:val="continue"/>
          </w:tcPr>
          <w:p>
            <w:pPr>
              <w:spacing w:after="0"/>
              <w:rPr>
                <w:sz w:val="15"/>
                <w:szCs w:val="15"/>
                <w:color w:val="auto"/>
              </w:rPr>
            </w:pPr>
          </w:p>
        </w:tc>
        <w:tc>
          <w:tcPr>
            <w:tcW w:w="122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2,530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2,530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restricted stock units under equity incentive plan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withholding payments for net share-settled equity awards</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(3,683)</w:t>
            </w:r>
          </w:p>
        </w:tc>
        <w:tc>
          <w:tcPr>
            <w:tcW w:w="9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7"/>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 of common stock in public offering, net of issuance costs of</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$701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2,666,667</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 of pre-funded warrants in public offering, net of issuance</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of $333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 of common stock, net of issuance costs of $10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104,773</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48,688</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(24,067)</w:t>
            </w: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0" w:type="dxa"/>
            <w:vAlign w:val="bottom"/>
          </w:tcPr>
          <w:p>
            <w:pPr>
              <w:spacing w:after="0"/>
              <w:rPr>
                <w:sz w:val="1"/>
                <w:szCs w:val="1"/>
                <w:color w:val="auto"/>
              </w:rPr>
            </w:pPr>
          </w:p>
        </w:tc>
      </w:tr>
      <w:tr>
        <w:trPr>
          <w:trHeight w:val="197"/>
        </w:trPr>
        <w:tc>
          <w:tcPr>
            <w:tcW w:w="50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Balances at December 31, 2022</w:t>
            </w:r>
          </w:p>
        </w:tc>
        <w:tc>
          <w:tcPr>
            <w:tcW w:w="122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8,159,382</w:t>
            </w:r>
          </w:p>
        </w:tc>
        <w:tc>
          <w:tcPr>
            <w:tcW w:w="24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33"/>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247,762</w:t>
            </w: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(237,422)</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10,348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-2329180</wp:posOffset>
            </wp:positionV>
            <wp:extent cx="7665720" cy="2313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extLst>
                    </a:blip>
                    <a:srcRect/>
                    <a:stretch>
                      <a:fillRect/>
                    </a:stretch>
                  </pic:blipFill>
                  <pic:spPr bwMode="auto">
                    <a:xfrm>
                      <a:off x="0" y="0"/>
                      <a:ext cx="7665720" cy="2313940"/>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accompanying notes to consolidated financial statements</w:t>
      </w:r>
    </w:p>
    <w:p>
      <w:pPr>
        <w:sectPr>
          <w:pgSz w:w="15840" w:h="12240" w:orient="landscape"/>
          <w:cols w:equalWidth="0" w:num="1">
            <w:col w:w="12960"/>
          </w:cols>
          <w:pgMar w:left="1440" w:top="1397"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5840" w:h="12240" w:orient="landscape"/>
          <w:cols w:equalWidth="0" w:num="1">
            <w:col w:w="12960"/>
          </w:cols>
          <w:pgMar w:left="1440" w:top="1397" w:right="1440" w:bottom="175"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auto"/>
        </w:rPr>
        <w:t>Soleno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2900" w:type="dxa"/>
            <w:vAlign w:val="bottom"/>
            <w:gridSpan w:val="6"/>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For the Years Ended December 31,</w:t>
            </w:r>
          </w:p>
        </w:tc>
        <w:tc>
          <w:tcPr>
            <w:tcW w:w="0" w:type="dxa"/>
            <w:vAlign w:val="bottom"/>
          </w:tcPr>
          <w:p>
            <w:pPr>
              <w:spacing w:after="0"/>
              <w:rPr>
                <w:sz w:val="1"/>
                <w:szCs w:val="1"/>
                <w:color w:val="auto"/>
              </w:rPr>
            </w:pPr>
          </w:p>
        </w:tc>
      </w:tr>
      <w:tr>
        <w:trPr>
          <w:trHeight w:val="196"/>
        </w:trPr>
        <w:tc>
          <w:tcPr>
            <w:tcW w:w="64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5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425"/>
              <w:spacing w:after="0"/>
              <w:rPr>
                <w:sz w:val="20"/>
                <w:szCs w:val="20"/>
                <w:color w:val="auto"/>
              </w:rPr>
            </w:pPr>
            <w:r>
              <w:rPr>
                <w:rFonts w:ascii="Times New Roman" w:cs="Times New Roman" w:eastAsia="Times New Roman" w:hAnsi="Times New Roman"/>
                <w:sz w:val="15"/>
                <w:szCs w:val="15"/>
                <w:b w:val="1"/>
                <w:bCs w:val="1"/>
                <w:color w:val="auto"/>
              </w:rPr>
              <w:t>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642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642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820" w:type="dxa"/>
            <w:vAlign w:val="bottom"/>
          </w:tcPr>
          <w:p>
            <w:pPr>
              <w:jc w:val="right"/>
              <w:ind w:right="665"/>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(24,067)</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(30,910)</w:t>
            </w:r>
          </w:p>
        </w:tc>
        <w:tc>
          <w:tcPr>
            <w:tcW w:w="0" w:type="dxa"/>
            <w:vAlign w:val="bottom"/>
          </w:tcPr>
          <w:p>
            <w:pPr>
              <w:spacing w:after="0"/>
              <w:rPr>
                <w:sz w:val="1"/>
                <w:szCs w:val="1"/>
                <w:color w:val="auto"/>
              </w:rPr>
            </w:pPr>
          </w:p>
        </w:tc>
      </w:tr>
      <w:tr>
        <w:trPr>
          <w:trHeight w:val="172"/>
        </w:trPr>
        <w:tc>
          <w:tcPr>
            <w:tcW w:w="6420" w:type="dxa"/>
            <w:vAlign w:val="bottom"/>
          </w:tcPr>
          <w:p>
            <w:pPr>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Noncash lease expense</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Change in fair value of common stock warrants</w:t>
            </w:r>
          </w:p>
        </w:tc>
        <w:tc>
          <w:tcPr>
            <w:tcW w:w="8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(30)</w:t>
            </w:r>
          </w:p>
        </w:tc>
        <w:tc>
          <w:tcPr>
            <w:tcW w:w="2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(508)</w:t>
            </w:r>
          </w:p>
        </w:tc>
        <w:tc>
          <w:tcPr>
            <w:tcW w:w="0" w:type="dxa"/>
            <w:vAlign w:val="bottom"/>
          </w:tcPr>
          <w:p>
            <w:pPr>
              <w:spacing w:after="0"/>
              <w:rPr>
                <w:sz w:val="1"/>
                <w:szCs w:val="1"/>
                <w:color w:val="auto"/>
              </w:rPr>
            </w:pPr>
          </w:p>
        </w:tc>
      </w:tr>
      <w:tr>
        <w:trPr>
          <w:trHeight w:val="172"/>
        </w:trPr>
        <w:tc>
          <w:tcPr>
            <w:tcW w:w="6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Change in fair value of contingent consideration</w:t>
            </w:r>
          </w:p>
        </w:tc>
        <w:tc>
          <w:tcPr>
            <w:tcW w:w="8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(712)</w:t>
            </w:r>
          </w:p>
        </w:tc>
        <w:tc>
          <w:tcPr>
            <w:tcW w:w="2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(731)</w:t>
            </w:r>
          </w:p>
        </w:tc>
        <w:tc>
          <w:tcPr>
            <w:tcW w:w="0" w:type="dxa"/>
            <w:vAlign w:val="bottom"/>
          </w:tcPr>
          <w:p>
            <w:pPr>
              <w:spacing w:after="0"/>
              <w:rPr>
                <w:sz w:val="1"/>
                <w:szCs w:val="1"/>
                <w:color w:val="auto"/>
              </w:rPr>
            </w:pPr>
          </w:p>
        </w:tc>
      </w:tr>
      <w:tr>
        <w:trPr>
          <w:trHeight w:val="172"/>
        </w:trPr>
        <w:tc>
          <w:tcPr>
            <w:tcW w:w="6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Change in operating assets and liabilities:</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Prepaid expenses, other current assets and other assets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0" w:type="dxa"/>
            <w:vAlign w:val="bottom"/>
          </w:tcPr>
          <w:p>
            <w:pPr>
              <w:spacing w:after="0"/>
              <w:rPr>
                <w:sz w:val="1"/>
                <w:szCs w:val="1"/>
                <w:color w:val="auto"/>
              </w:rPr>
            </w:pPr>
          </w:p>
        </w:tc>
      </w:tr>
      <w:tr>
        <w:trPr>
          <w:trHeight w:val="172"/>
        </w:trPr>
        <w:tc>
          <w:tcPr>
            <w:tcW w:w="64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Accounts payable</w:t>
            </w:r>
          </w:p>
        </w:tc>
        <w:tc>
          <w:tcPr>
            <w:tcW w:w="8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(1,477)</w:t>
            </w:r>
          </w:p>
        </w:tc>
        <w:tc>
          <w:tcPr>
            <w:tcW w:w="2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0" w:type="dxa"/>
            <w:vAlign w:val="bottom"/>
          </w:tcPr>
          <w:p>
            <w:pPr>
              <w:spacing w:after="0"/>
              <w:rPr>
                <w:sz w:val="1"/>
                <w:szCs w:val="1"/>
                <w:color w:val="auto"/>
              </w:rPr>
            </w:pPr>
          </w:p>
        </w:tc>
      </w:tr>
      <w:tr>
        <w:trPr>
          <w:trHeight w:val="172"/>
        </w:trPr>
        <w:tc>
          <w:tcPr>
            <w:tcW w:w="64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Accrued compensation</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947</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(277)</w:t>
            </w:r>
          </w:p>
        </w:tc>
        <w:tc>
          <w:tcPr>
            <w:tcW w:w="0" w:type="dxa"/>
            <w:vAlign w:val="bottom"/>
          </w:tcPr>
          <w:p>
            <w:pPr>
              <w:spacing w:after="0"/>
              <w:rPr>
                <w:sz w:val="1"/>
                <w:szCs w:val="1"/>
                <w:color w:val="auto"/>
              </w:rPr>
            </w:pPr>
          </w:p>
        </w:tc>
      </w:tr>
      <w:tr>
        <w:trPr>
          <w:trHeight w:val="172"/>
        </w:trPr>
        <w:tc>
          <w:tcPr>
            <w:tcW w:w="64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Accrued clinical trial site costs</w:t>
            </w:r>
          </w:p>
        </w:tc>
        <w:tc>
          <w:tcPr>
            <w:tcW w:w="8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(198)</w:t>
            </w:r>
          </w:p>
        </w:tc>
        <w:tc>
          <w:tcPr>
            <w:tcW w:w="2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(369)</w:t>
            </w:r>
          </w:p>
        </w:tc>
        <w:tc>
          <w:tcPr>
            <w:tcW w:w="0" w:type="dxa"/>
            <w:vAlign w:val="bottom"/>
          </w:tcPr>
          <w:p>
            <w:pPr>
              <w:spacing w:after="0"/>
              <w:rPr>
                <w:sz w:val="1"/>
                <w:szCs w:val="1"/>
                <w:color w:val="auto"/>
              </w:rPr>
            </w:pPr>
          </w:p>
        </w:tc>
      </w:tr>
      <w:tr>
        <w:trPr>
          <w:trHeight w:val="172"/>
        </w:trPr>
        <w:tc>
          <w:tcPr>
            <w:tcW w:w="64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8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(302)</w:t>
            </w:r>
          </w:p>
        </w:tc>
        <w:tc>
          <w:tcPr>
            <w:tcW w:w="2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0" w:type="dxa"/>
            <w:vAlign w:val="bottom"/>
          </w:tcPr>
          <w:p>
            <w:pPr>
              <w:spacing w:after="0"/>
              <w:rPr>
                <w:sz w:val="1"/>
                <w:szCs w:val="1"/>
                <w:color w:val="auto"/>
              </w:rPr>
            </w:pPr>
          </w:p>
        </w:tc>
      </w:tr>
      <w:tr>
        <w:trPr>
          <w:trHeight w:val="188"/>
        </w:trPr>
        <w:tc>
          <w:tcPr>
            <w:tcW w:w="64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Other liabilities</w:t>
            </w: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420" w:type="dxa"/>
            <w:vAlign w:val="bottom"/>
          </w:tcPr>
          <w:p>
            <w:pPr>
              <w:ind w:left="600"/>
              <w:spacing w:after="0" w:line="163" w:lineRule="exact"/>
              <w:rPr>
                <w:sz w:val="20"/>
                <w:szCs w:val="20"/>
                <w:color w:val="auto"/>
              </w:rPr>
            </w:pPr>
            <w:r>
              <w:rPr>
                <w:rFonts w:ascii="Times New Roman" w:cs="Times New Roman" w:eastAsia="Times New Roman" w:hAnsi="Times New Roman"/>
                <w:sz w:val="15"/>
                <w:szCs w:val="15"/>
                <w:b w:val="1"/>
                <w:bCs w:val="1"/>
                <w:color w:val="auto"/>
              </w:rPr>
              <w:t>Net cash used in operating activities</w:t>
            </w: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w w:val="93"/>
              </w:rPr>
              <w:t>(20,781)</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(27,770)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420" w:type="dxa"/>
            <w:vAlign w:val="bottom"/>
          </w:tcPr>
          <w:p>
            <w:pPr>
              <w:spacing w:after="0" w:line="147"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420" w:type="dxa"/>
            <w:vAlign w:val="bottom"/>
          </w:tcPr>
          <w:p>
            <w:pPr>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82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(13)</w:t>
            </w:r>
          </w:p>
        </w:tc>
        <w:tc>
          <w:tcPr>
            <w:tcW w:w="28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162"/>
        </w:trPr>
        <w:tc>
          <w:tcPr>
            <w:tcW w:w="6420" w:type="dxa"/>
            <w:vAlign w:val="bottom"/>
          </w:tcPr>
          <w:p>
            <w:pPr>
              <w:ind w:left="600"/>
              <w:spacing w:after="0" w:line="163" w:lineRule="exact"/>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8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(13)</w:t>
            </w: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420" w:type="dxa"/>
            <w:vAlign w:val="bottom"/>
          </w:tcPr>
          <w:p>
            <w:pPr>
              <w:spacing w:after="0" w:line="147"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420" w:type="dxa"/>
            <w:vAlign w:val="bottom"/>
          </w:tcPr>
          <w:p>
            <w:pPr>
              <w:spacing w:after="0"/>
              <w:rPr>
                <w:sz w:val="20"/>
                <w:szCs w:val="20"/>
                <w:color w:val="auto"/>
              </w:rPr>
            </w:pPr>
            <w:r>
              <w:rPr>
                <w:rFonts w:ascii="Times New Roman" w:cs="Times New Roman" w:eastAsia="Times New Roman" w:hAnsi="Times New Roman"/>
                <w:sz w:val="15"/>
                <w:szCs w:val="15"/>
                <w:color w:val="auto"/>
              </w:rPr>
              <w:t>Gross proceeds from sale of common stock and common stock warrants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15,152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6420" w:type="dxa"/>
            <w:vAlign w:val="bottom"/>
          </w:tcPr>
          <w:p>
            <w:pPr>
              <w:spacing w:after="0"/>
              <w:rPr>
                <w:sz w:val="20"/>
                <w:szCs w:val="20"/>
                <w:color w:val="auto"/>
              </w:rPr>
            </w:pPr>
            <w:r>
              <w:rPr>
                <w:rFonts w:ascii="Times New Roman" w:cs="Times New Roman" w:eastAsia="Times New Roman" w:hAnsi="Times New Roman"/>
                <w:sz w:val="15"/>
                <w:szCs w:val="15"/>
                <w:color w:val="auto"/>
              </w:rPr>
              <w:t>Payment of issuance costs</w:t>
            </w:r>
          </w:p>
        </w:tc>
        <w:tc>
          <w:tcPr>
            <w:tcW w:w="8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(1,044)</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20" w:type="dxa"/>
            <w:vAlign w:val="bottom"/>
          </w:tcPr>
          <w:p>
            <w:pPr>
              <w:spacing w:after="0"/>
              <w:rPr>
                <w:sz w:val="20"/>
                <w:szCs w:val="20"/>
                <w:color w:val="auto"/>
              </w:rPr>
            </w:pPr>
            <w:r>
              <w:rPr>
                <w:rFonts w:ascii="Times New Roman" w:cs="Times New Roman" w:eastAsia="Times New Roman" w:hAnsi="Times New Roman"/>
                <w:sz w:val="15"/>
                <w:szCs w:val="15"/>
                <w:color w:val="auto"/>
              </w:rPr>
              <w:t>Tax withholding payments for net share-settled equity awards</w:t>
            </w:r>
          </w:p>
        </w:tc>
        <w:tc>
          <w:tcPr>
            <w:tcW w:w="8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(16)</w:t>
            </w:r>
          </w:p>
        </w:tc>
        <w:tc>
          <w:tcPr>
            <w:tcW w:w="2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0" w:type="dxa"/>
            <w:vAlign w:val="bottom"/>
          </w:tcPr>
          <w:p>
            <w:pPr>
              <w:spacing w:after="0"/>
              <w:rPr>
                <w:sz w:val="1"/>
                <w:szCs w:val="1"/>
                <w:color w:val="auto"/>
              </w:rPr>
            </w:pPr>
          </w:p>
        </w:tc>
      </w:tr>
      <w:tr>
        <w:trPr>
          <w:trHeight w:val="188"/>
        </w:trPr>
        <w:tc>
          <w:tcPr>
            <w:tcW w:w="6420" w:type="dxa"/>
            <w:vAlign w:val="bottom"/>
          </w:tcPr>
          <w:p>
            <w:pPr>
              <w:spacing w:after="0"/>
              <w:rPr>
                <w:sz w:val="20"/>
                <w:szCs w:val="20"/>
                <w:color w:val="auto"/>
              </w:rPr>
            </w:pPr>
            <w:r>
              <w:rPr>
                <w:rFonts w:ascii="Times New Roman" w:cs="Times New Roman" w:eastAsia="Times New Roman" w:hAnsi="Times New Roman"/>
                <w:sz w:val="15"/>
                <w:szCs w:val="15"/>
                <w:color w:val="auto"/>
              </w:rPr>
              <w:t>Principal paid on finance lease liabilities</w:t>
            </w:r>
          </w:p>
        </w:tc>
        <w:tc>
          <w:tcPr>
            <w:tcW w:w="82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162"/>
        </w:trPr>
        <w:tc>
          <w:tcPr>
            <w:tcW w:w="6420" w:type="dxa"/>
            <w:vAlign w:val="bottom"/>
          </w:tcPr>
          <w:p>
            <w:pPr>
              <w:ind w:left="600"/>
              <w:spacing w:after="0" w:line="163" w:lineRule="exact"/>
              <w:rPr>
                <w:sz w:val="20"/>
                <w:szCs w:val="20"/>
                <w:color w:val="auto"/>
              </w:rPr>
            </w:pPr>
            <w:r>
              <w:rPr>
                <w:rFonts w:ascii="Times New Roman" w:cs="Times New Roman" w:eastAsia="Times New Roman" w:hAnsi="Times New Roman"/>
                <w:sz w:val="15"/>
                <w:szCs w:val="15"/>
                <w:b w:val="1"/>
                <w:bCs w:val="1"/>
                <w:color w:val="auto"/>
              </w:rPr>
              <w:t>Net cash (used in) provided by financing activities</w:t>
            </w:r>
          </w:p>
        </w:tc>
        <w:tc>
          <w:tcPr>
            <w:tcW w:w="8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14,092</w:t>
            </w: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(128)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420" w:type="dxa"/>
            <w:vAlign w:val="bottom"/>
          </w:tcPr>
          <w:p>
            <w:pPr>
              <w:ind w:left="400"/>
              <w:spacing w:after="0" w:line="147" w:lineRule="exact"/>
              <w:rPr>
                <w:sz w:val="20"/>
                <w:szCs w:val="20"/>
                <w:color w:val="auto"/>
              </w:rPr>
            </w:pPr>
            <w:r>
              <w:rPr>
                <w:rFonts w:ascii="Times New Roman" w:cs="Times New Roman" w:eastAsia="Times New Roman" w:hAnsi="Times New Roman"/>
                <w:sz w:val="15"/>
                <w:szCs w:val="15"/>
                <w:color w:val="auto"/>
              </w:rPr>
              <w:t>Net decrease in cash and cash equivalents</w:t>
            </w:r>
          </w:p>
        </w:tc>
        <w:tc>
          <w:tcPr>
            <w:tcW w:w="8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5"/>
                <w:szCs w:val="15"/>
                <w:color w:val="auto"/>
              </w:rPr>
              <w:t>(6,702)</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Times New Roman" w:cs="Times New Roman" w:eastAsia="Times New Roman" w:hAnsi="Times New Roman"/>
                <w:sz w:val="15"/>
                <w:szCs w:val="15"/>
                <w:color w:val="auto"/>
              </w:rPr>
              <w:t>(27,920)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42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21,304</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49,224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420" w:type="dxa"/>
            <w:vAlign w:val="bottom"/>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Cash and cash equivalents, end of period</w:t>
            </w:r>
          </w:p>
        </w:tc>
        <w:tc>
          <w:tcPr>
            <w:tcW w:w="820" w:type="dxa"/>
            <w:vAlign w:val="bottom"/>
            <w:tcBorders>
              <w:bottom w:val="single" w:sz="8" w:color="auto"/>
            </w:tcBorders>
          </w:tcPr>
          <w:p>
            <w:pPr>
              <w:jc w:val="right"/>
              <w:ind w:right="665"/>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14,602</w:t>
            </w:r>
          </w:p>
        </w:tc>
        <w:tc>
          <w:tcPr>
            <w:tcW w:w="220" w:type="dxa"/>
            <w:vAlign w:val="bottom"/>
          </w:tcPr>
          <w:p>
            <w:pPr>
              <w:spacing w:after="0"/>
              <w:rPr>
                <w:sz w:val="14"/>
                <w:szCs w:val="14"/>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21,304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information</w:t>
            </w: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64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420" w:type="dxa"/>
            <w:vAlign w:val="bottom"/>
          </w:tcPr>
          <w:p>
            <w:pPr>
              <w:spacing w:after="0"/>
              <w:rPr>
                <w:sz w:val="20"/>
                <w:szCs w:val="20"/>
                <w:color w:val="auto"/>
              </w:rPr>
            </w:pPr>
            <w:r>
              <w:rPr>
                <w:rFonts w:ascii="Times New Roman" w:cs="Times New Roman" w:eastAsia="Times New Roman" w:hAnsi="Times New Roman"/>
                <w:sz w:val="15"/>
                <w:szCs w:val="15"/>
                <w:color w:val="auto"/>
              </w:rPr>
              <w:t>Right-of use assets obtained in exchange for operating lease obligations</w:t>
            </w:r>
          </w:p>
        </w:tc>
        <w:tc>
          <w:tcPr>
            <w:tcW w:w="820" w:type="dxa"/>
            <w:vAlign w:val="bottom"/>
          </w:tcPr>
          <w:p>
            <w:pPr>
              <w:jc w:val="right"/>
              <w:ind w:right="665"/>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-3509010</wp:posOffset>
            </wp:positionV>
            <wp:extent cx="5969000" cy="3493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extLst>
                    </a:blip>
                    <a:srcRect/>
                    <a:stretch>
                      <a:fillRect/>
                    </a:stretch>
                  </pic:blipFill>
                  <pic:spPr bwMode="auto">
                    <a:xfrm>
                      <a:off x="0" y="0"/>
                      <a:ext cx="5969000" cy="3493770"/>
                    </a:xfrm>
                    <a:prstGeom prst="rect">
                      <a:avLst/>
                    </a:prstGeom>
                    <a:noFill/>
                  </pic:spPr>
                </pic:pic>
              </a:graphicData>
            </a:graphic>
          </wp:anchor>
        </w:drawing>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accompanying notes to consolidated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360"/>
          </w:cols>
          <w:pgMar w:left="1440" w:top="1416" w:right="1440" w:bottom="175"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auto"/>
        </w:rPr>
        <w:t>Soleno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Overview</w:t>
      </w:r>
    </w:p>
    <w:p>
      <w:pPr>
        <w:spacing w:after="0" w:line="242" w:lineRule="exact"/>
        <w:rPr>
          <w:sz w:val="20"/>
          <w:szCs w:val="20"/>
          <w:color w:val="auto"/>
        </w:rPr>
      </w:pPr>
    </w:p>
    <w:p>
      <w:pPr>
        <w:ind w:right="160" w:firstLine="727"/>
        <w:spacing w:after="0" w:line="270" w:lineRule="auto"/>
        <w:rPr>
          <w:sz w:val="20"/>
          <w:szCs w:val="20"/>
          <w:color w:val="auto"/>
        </w:rPr>
      </w:pPr>
      <w:r>
        <w:rPr>
          <w:rFonts w:ascii="Times New Roman" w:cs="Times New Roman" w:eastAsia="Times New Roman" w:hAnsi="Times New Roman"/>
          <w:sz w:val="19"/>
          <w:szCs w:val="19"/>
          <w:color w:val="auto"/>
        </w:rPr>
        <w:t>Soleno Therapeutics, Inc. (the Company or Soleno) is focused on the development and commercialization of novel therapeutics for the treatment of rare diseases. Its lead candidate is Diazoxide Choline Extended-Release tablets (DCCR), a once-daily oral tablet for the treatment of Prader-Willi Syndrome (PWS). DCCR has received orphan designation for the treatment of PWS in the United States (U.S.) as well as in the European Union (E.U.).</w:t>
      </w:r>
    </w:p>
    <w:p>
      <w:pPr>
        <w:spacing w:after="0" w:line="177" w:lineRule="exact"/>
        <w:rPr>
          <w:sz w:val="20"/>
          <w:szCs w:val="20"/>
          <w:color w:val="auto"/>
        </w:rPr>
      </w:pPr>
    </w:p>
    <w:p>
      <w:pPr>
        <w:ind w:right="20" w:firstLine="727"/>
        <w:spacing w:after="0" w:line="259" w:lineRule="auto"/>
        <w:rPr>
          <w:sz w:val="20"/>
          <w:szCs w:val="20"/>
          <w:color w:val="auto"/>
        </w:rPr>
      </w:pPr>
      <w:r>
        <w:rPr>
          <w:rFonts w:ascii="Times New Roman" w:cs="Times New Roman" w:eastAsia="Times New Roman" w:hAnsi="Times New Roman"/>
          <w:sz w:val="19"/>
          <w:szCs w:val="19"/>
          <w:color w:val="auto"/>
        </w:rPr>
        <w:t>The Company incorporated in the State of Delaware on August 25, 1999, and is located in Redwood City, California. It initially established its operations as Capnia, a diversified healthcare company that developed and commercialized innovative diagnostics, devices and therapeutics addressing unmet medical needs. During 2017, the Company merged with Essentialis, Inc (Essentialis) and subsequently received stockholder approval to amend its Amended and Restated Certificate of Incorporation to change its name from “Capnia, Inc.” to “Soleno Therapeutics, Inc.” Essentialis was a privately held clinical-stage company focused on the development of breakthrough medicines for the treatment of rare diseases where there is increased mortality and risk of cardiovascular and endocrine complications. After the merger, the Company’s primary focus has been the development and commercialization of novel therapeutics for the treatment of rare diseases and the Company divested all prior business efforts.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Going Concern and Management’s Plans</w:t>
      </w:r>
    </w:p>
    <w:p>
      <w:pPr>
        <w:spacing w:after="0" w:line="244"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auto"/>
        </w:rPr>
        <w:t>The Company had a net loss of $24.1 million during 2022 and has an accumulated deficit of $237.4 million at December 31, 2022 resulting from having incurred losses since its inception. The Company had $14.6 million of cash and cash equivalents on hand at December 31, 2022 and used $20.8 million of cash in its operating activities during 2022.</w:t>
      </w:r>
    </w:p>
    <w:p>
      <w:pPr>
        <w:spacing w:after="0" w:line="74"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under the assumption the Company will continue to operate as a going concern, which contemplates the realization of assets and the settlement of liabilities in the normal course of business. The consolidated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spacing w:after="0" w:line="77"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auto"/>
        </w:rPr>
        <w:t>The Company expects to continue incurring losses for the foreseeable future and will be required to raise additional capital to complete its clinical trials, pursue product development initiatives, obtain regulatory approval and penetrate markets for the sale of its products. In March 2022, the Company completed a public offering of its securities and raised $13.8 million in net proceeds. Management believes that the Company will continue to have access to capital resources through possible public or private equity offerings, debt financings, corporate collaborations or other means. However, access to such capital resources is uncertain and not assured. In December 2022, the Company entered into a Securities Purchase Agreement for up to $60.0 million in additional funding if certain conditions are met. Due to the contingent nature of these funds, accounting principles generally accepted in the United States of America (GAAP) requires the Company to exclude them from its going concern analysis. If the Company is unable to secure additional capital, it may be required to curtail its clinical trials and development of new products and take additional measures to reduce expenses in order to conserve its cash in amounts sufficient to sustain operations and meet its obligations. These measures could cause significant delays in the Company’s efforts to complete its clinical trials and commercialize its products, which are critical to the realization of its business plan and the future operations of the Company.</w:t>
      </w:r>
    </w:p>
    <w:p>
      <w:pPr>
        <w:spacing w:after="0" w:line="93"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auto"/>
        </w:rPr>
        <w:t>Management believes that the Company does not have sufficient capital resources to sustain operations through at least the next twelve months from the date of this filing. Additionally, in view of the Company’s expectation to incur significant losses for the foreseeable future it will be required to raise additional capital resources in order to fund its operations, although the availability of, and the Company’s access to such resources is not assured. Accordingly, management believes that there is substantial doubt regarding the Company’s ability to continue operating as a going concern through at least the next twelve months from the date of this filing.</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360"/>
          </w:cols>
          <w:pgMar w:left="1440" w:top="1416" w:right="1440" w:bottom="175"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color w:val="auto"/>
        </w:rPr>
        <w:t>Note 3. Summary of Significant Accounting Policies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120" w:lineRule="exact"/>
        <w:rPr>
          <w:sz w:val="20"/>
          <w:szCs w:val="20"/>
          <w:color w:val="auto"/>
        </w:rPr>
      </w:pPr>
    </w:p>
    <w:p>
      <w:pPr>
        <w:ind w:firstLine="490"/>
        <w:spacing w:after="0" w:line="305" w:lineRule="auto"/>
        <w:rPr>
          <w:sz w:val="20"/>
          <w:szCs w:val="20"/>
          <w:color w:val="auto"/>
        </w:rPr>
      </w:pPr>
      <w:r>
        <w:rPr>
          <w:rFonts w:ascii="Times New Roman" w:cs="Times New Roman" w:eastAsia="Times New Roman" w:hAnsi="Times New Roman"/>
          <w:sz w:val="19"/>
          <w:szCs w:val="19"/>
          <w:color w:val="auto"/>
        </w:rPr>
        <w:t>The accompanying consolidated financial statements have been prepared on a going concern basis in accordance with GAAP, and the applicable rules and regulations of the Securities and Exchange Commission (SEC).</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The consolidated financial statements include the accounts of the Company and its wholly-owned subsidiaries.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intercompany transactions and balances have been eliminated in consolidation.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Reverse Stock Split</w:t>
      </w:r>
    </w:p>
    <w:p>
      <w:pPr>
        <w:spacing w:after="0" w:line="240"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auto"/>
        </w:rPr>
        <w:t>On June 1, 2022, the stockholders of the Company approved a reverse stock split of its common stock at a ratio of one-for-fifteen, to be effected at the sole discretion of the Company’s Board of Directors as described in the proxy statement filed with the SEC on April 21, 2022. The implementation of the reverse stock split was approved by the Company’s Board of Directors on August 16, 2022.</w:t>
      </w:r>
    </w:p>
    <w:p>
      <w:pPr>
        <w:spacing w:after="0" w:line="194"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On August 26, 2022, the Company filed a certificate of amendment to its amended and restated certificate of incorporation in order to effectuate a reverse stock split of the Company’s issued and outstanding common stock on a one-for-fifteen basis. All common share and per share data are retrospectively restated to give effect of the split for all periods presented herein. After giving effect to the reverse stock split, the total number of shares of all classes of capital stock that the Corporation is authorized to issue is 110,000,000 shares, consisting of 100,000,000 shares of common stock, having a par value of $0.001 and 10,000,000 shares of preferred stock, having a par value of $0.001.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20"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 the financial statements include the valuation of deferred income tax assets, the valuation of financial instruments, stock-based compensation, accrued costs for services rendered in connection with third-party contactor clinical trial activities, and the valuation of contingent liabilities for the purchase price of assets obtained through acquisition.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w:t>
      </w:r>
    </w:p>
    <w:p>
      <w:pPr>
        <w:spacing w:after="0" w:line="12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a concentration of credit risk consist of cash and cash equivalents at U.S. banking institutions, the majority of which are not covered by FDIC insurance. The Company maintains $1 million in its operating account at Silicon Valley Bank and subsequent to the year-end those amounts held in excess of the FDIC insurance limit were at risk as a result of SVB’s closure. On March 10, 2023, the FDIC took control of SVB, and the Federal Reserve announced that account holders would not suffer any loss on deposit balances above the FDIC insurance limit.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Segments</w:t>
      </w:r>
    </w:p>
    <w:p>
      <w:pPr>
        <w:spacing w:after="0" w:line="120"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auto"/>
        </w:rPr>
        <w:t>The Company operates in one segment. Management uses one measurement of profitability and does not segregate its business for internal reporting, making operating decisions, and assessing financial performance. All long-lived assets are maintained in the U.S.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20"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auto"/>
        </w:rPr>
        <w:t>The Company considers all highly liquid investments, including its money market fund, purchased with an original maturity of three months or less to be cash equivalents. The Company’s cash and cash equivalents are held primarily in institutions in the U.S. and include deposits in a money market fund which was unrestricted as to withdrawal or use.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360"/>
          </w:cols>
          <w:pgMar w:left="1440" w:top="1416" w:right="1440" w:bottom="175"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i w:val="1"/>
          <w:iCs w:val="1"/>
          <w:color w:val="auto"/>
        </w:rPr>
        <w:t>Prepaid Expenses and Other Current Assets</w:t>
      </w:r>
    </w:p>
    <w:p>
      <w:pPr>
        <w:spacing w:after="0" w:line="120" w:lineRule="exact"/>
        <w:rPr>
          <w:sz w:val="20"/>
          <w:szCs w:val="20"/>
          <w:color w:val="auto"/>
        </w:rPr>
      </w:pPr>
    </w:p>
    <w:p>
      <w:pPr>
        <w:jc w:val="both"/>
        <w:ind w:right="20" w:firstLine="490"/>
        <w:spacing w:after="0" w:line="258" w:lineRule="auto"/>
        <w:rPr>
          <w:sz w:val="20"/>
          <w:szCs w:val="20"/>
          <w:color w:val="auto"/>
        </w:rPr>
      </w:pPr>
      <w:r>
        <w:rPr>
          <w:rFonts w:ascii="Times New Roman" w:cs="Times New Roman" w:eastAsia="Times New Roman" w:hAnsi="Times New Roman"/>
          <w:sz w:val="20"/>
          <w:szCs w:val="20"/>
          <w:color w:val="auto"/>
        </w:rPr>
        <w:t>Prepaid expenses and other current assets consist of payments primarily related to clinical trials, insurance and short-term deposits. Prepaid expenses are initially recorded upon payment and are expensed as goods or services are received.</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120"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auto"/>
        </w:rPr>
        <w:t>Property and equipment are stated at cost net of accumulated depreciation and amortization calculated using the straight-line method over the estimated useful lives of the assets, generally between three and five years. Leasehold improvements are amortized on a straight-line basis over the lesser of their useful life or the remaining term of the lease. Maintenance and repairs are charged to expense as incurred, and improvements are capitalized. When assets are retired or otherwise disposed of, the cost and accumulated depreciation are removed from the balance sheet and any resulting gain or loss is reflected in operations in the period realized.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The Company determines whether an arrangement is a lease at inception. Specifically, it considers whether it controls the underlying asset and has the right to obtain substantially all the economic benefits or outputs from the asset. If the contractual arrangement contains a lease, the Company then determines whether it is an operating or finance lease. Right-of-Use (ROU) assets represent the Company’s right to use an underlying asset for the lease term and lease liabilities represent the Company’s obligation to make lease payments arising from the lease. ROU assets and lease liabilities are recognized at commencement date based on the present value of lease payments over the lease term. Lease expense for operating lease payments is recognized on a straight-line basis over the lease term. Finance lease classification results in a front-loaded expense recognition pattern over the lease term as it recognizes interest expense and amortization expense as separate components of lease expense.</w:t>
      </w:r>
    </w:p>
    <w:p>
      <w:pPr>
        <w:spacing w:after="0" w:line="86"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The Company does not separate lease components from non-lease components for all classes of underlying assets, and instead accounts for the lease and non-lease components as a single component. Variable lease payments are recognized as they are incurred and primarily include common area maintenance, utilities, real estate taxes, insurance and other operating costs that are passed on from the lessor in proportion to the space leased by the Company. The Company does not recognize lease assets and lease liabilities for leases with an original lease term of less than one year.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Long-Lived Assets</w:t>
      </w:r>
    </w:p>
    <w:p>
      <w:pPr>
        <w:spacing w:after="0" w:line="120"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The Company reviews its long-lived assets for impairment annually and whenever events or changes in circumstances indicate that the carrying amount of the assets may not be fully recoverable. The Company evaluates assets for potential impairment by comparing estimated future undiscounted net cash flows to the carrying amount of the asset. If the carrying amount of the assets exceeds the estimated future undiscounted cash flows, impairment is measured based on the difference between the carrying amount and the fair value of the assets.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120"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auto"/>
        </w:rPr>
        <w:t>In March 2017, the Company completed the acquisition of Essentialis in accordance with the merger agreement by and between the Company and Essentialis dated December 22, 2016 (the “Merger Agreement”). The merger transaction was accounted for as an asset acquisition under the acquisition method of accounting and accordingly, the value of $22.0 million was assigned to the identifiable intangible asset relating to the patent for DCCR, which patent expires in June 2028.</w:t>
      </w:r>
    </w:p>
    <w:p>
      <w:pPr>
        <w:spacing w:after="0" w:line="77"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auto"/>
        </w:rPr>
        <w:t>Intangible assets with finite lives are amortized on a straight-line basis over their estimated useful lives, which for the patent is 11 years. The useful life of the intangible asset is evaluated each reporting period to determine whether events and circumstances warrant a revision to the remaining useful life.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360"/>
          </w:cols>
          <w:pgMar w:left="1440" w:top="1420" w:right="1440" w:bottom="175"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i w:val="1"/>
          <w:iCs w:val="1"/>
          <w:color w:val="auto"/>
        </w:rPr>
        <w:t>2018 PIPE Warrants</w:t>
      </w:r>
    </w:p>
    <w:p>
      <w:pPr>
        <w:spacing w:after="0" w:line="117"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 xml:space="preserve">The Company accounts for the 2018 PIPE Warrants in accordance with the guidance in ASC 815 </w:t>
      </w:r>
      <w:r>
        <w:rPr>
          <w:rFonts w:ascii="Times New Roman" w:cs="Times New Roman" w:eastAsia="Times New Roman" w:hAnsi="Times New Roman"/>
          <w:sz w:val="20"/>
          <w:szCs w:val="20"/>
          <w:i w:val="1"/>
          <w:iCs w:val="1"/>
          <w:color w:val="auto"/>
        </w:rPr>
        <w:t>Derivatives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Hedging</w:t>
      </w:r>
      <w:r>
        <w:rPr>
          <w:rFonts w:ascii="Times New Roman" w:cs="Times New Roman" w:eastAsia="Times New Roman" w:hAnsi="Times New Roman"/>
          <w:sz w:val="20"/>
          <w:szCs w:val="20"/>
          <w:color w:val="auto"/>
        </w:rPr>
        <w:t>. The 2018 PIPE Warrants contain standard anti-dilution provisions for stock dividends, stock splits,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subdivisions, combinations and similar types of recapitalization events. The 2018 PIPE Warrants also contain a fundamental transactions provision that permits their settlement in cash at fair value at the option of the holder upon the occurrence of a change in control. Such change in control events include tender offers or hostile takeovers, which are not within our sole control as the issuer of these warrants. Accordingly, the 2018 PIPE Warrants are considered to have a cash settlement feature that precludes their classification as equity instruments. Settlement at fair value upon the occurrence of a fundamental transaction would be computed using the Black-Scholes option-pricing model, which approximates the binomial lattice model.</w:t>
      </w:r>
    </w:p>
    <w:p>
      <w:pPr>
        <w:spacing w:after="0" w:line="206"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auto"/>
        </w:rPr>
        <w:t>The Company classified the 2018 PIPE Warrants as liabilities at their fair value and re-measures them at each balance sheet date until they are exercised or expire. Any changes in the fair value are recognized as Other income (expense) in the consolidated statements of operations.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107" w:lineRule="exact"/>
        <w:rPr>
          <w:sz w:val="20"/>
          <w:szCs w:val="20"/>
          <w:color w:val="auto"/>
        </w:rPr>
      </w:pPr>
    </w:p>
    <w:p>
      <w:pPr>
        <w:ind w:right="140" w:firstLine="490"/>
        <w:spacing w:after="0" w:line="231" w:lineRule="auto"/>
        <w:rPr>
          <w:sz w:val="20"/>
          <w:szCs w:val="20"/>
          <w:color w:val="auto"/>
        </w:rPr>
      </w:pPr>
      <w:r>
        <w:rPr>
          <w:rFonts w:ascii="Times New Roman" w:cs="Times New Roman" w:eastAsia="Times New Roman" w:hAnsi="Times New Roman"/>
          <w:sz w:val="20"/>
          <w:szCs w:val="20"/>
          <w:color w:val="auto"/>
        </w:rPr>
        <w:t>Research and development costs are charged to operations as incurred. Research and development costs consist primarily of salaries, benefits, bonus, share-based compensation, consultant fees, certain facility costs and other costs associated with clinical trials. Clinical trial costs are a significant component of research and development expenses and include costs associated with third-party contractors and other vendors. Invoicing from third-party contractors for services performed can often occur several months later. The Company accrues the costs incurred for clinical trial activities as measured by patient progression and the timing of various aspects of the trial. For other services the Company accrues the costs in connection with third-party contractor activities based on its estimate of fees and costs associate with the contract that were rendered during the period and they are expensed as incurred.</w:t>
      </w:r>
    </w:p>
    <w:p>
      <w:pPr>
        <w:spacing w:after="0" w:line="76" w:lineRule="exact"/>
        <w:rPr>
          <w:sz w:val="20"/>
          <w:szCs w:val="20"/>
          <w:color w:val="auto"/>
        </w:rPr>
      </w:pPr>
    </w:p>
    <w:p>
      <w:pPr>
        <w:ind w:right="440" w:firstLine="490"/>
        <w:spacing w:after="0" w:line="289" w:lineRule="auto"/>
        <w:rPr>
          <w:sz w:val="20"/>
          <w:szCs w:val="20"/>
          <w:color w:val="auto"/>
        </w:rPr>
      </w:pPr>
      <w:r>
        <w:rPr>
          <w:rFonts w:ascii="Times New Roman" w:cs="Times New Roman" w:eastAsia="Times New Roman" w:hAnsi="Times New Roman"/>
          <w:sz w:val="19"/>
          <w:szCs w:val="19"/>
          <w:color w:val="auto"/>
        </w:rPr>
        <w:t>Costs to acquire technologies to be used in research and development that have not reached technological feasibility and have no alternative future use are expensed to research and development costs when incurred.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 in fair value of contingent consideration</w:t>
      </w:r>
    </w:p>
    <w:p>
      <w:pPr>
        <w:spacing w:after="0" w:line="107" w:lineRule="exact"/>
        <w:rPr>
          <w:sz w:val="20"/>
          <w:szCs w:val="20"/>
          <w:color w:val="auto"/>
        </w:rPr>
      </w:pPr>
    </w:p>
    <w:p>
      <w:pPr>
        <w:ind w:right="100" w:firstLine="490"/>
        <w:spacing w:after="0" w:line="238" w:lineRule="auto"/>
        <w:rPr>
          <w:sz w:val="20"/>
          <w:szCs w:val="20"/>
          <w:color w:val="auto"/>
        </w:rPr>
      </w:pPr>
      <w:r>
        <w:rPr>
          <w:rFonts w:ascii="Times New Roman" w:cs="Times New Roman" w:eastAsia="Times New Roman" w:hAnsi="Times New Roman"/>
          <w:sz w:val="20"/>
          <w:szCs w:val="20"/>
          <w:color w:val="auto"/>
        </w:rPr>
        <w:t>The Company recorded the value of contingent future consideration to be paid for the acquisition of Essentialis as a liability in March 2017 at the date of the acquisition. The changes in value of the liability for the contingent consideration since the acquisition date are recorded as operating expense in the consolidated statements of operations.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20" w:lineRule="exact"/>
        <w:rPr>
          <w:sz w:val="20"/>
          <w:szCs w:val="20"/>
          <w:color w:val="auto"/>
        </w:rPr>
      </w:pPr>
    </w:p>
    <w:p>
      <w:pPr>
        <w:jc w:val="both"/>
        <w:ind w:right="280" w:firstLine="490"/>
        <w:spacing w:after="0" w:line="249" w:lineRule="auto"/>
        <w:rPr>
          <w:sz w:val="20"/>
          <w:szCs w:val="20"/>
          <w:color w:val="auto"/>
        </w:rPr>
      </w:pPr>
      <w:r>
        <w:rPr>
          <w:rFonts w:ascii="Times New Roman" w:cs="Times New Roman" w:eastAsia="Times New Roman" w:hAnsi="Times New Roman"/>
          <w:sz w:val="20"/>
          <w:szCs w:val="20"/>
          <w:color w:val="auto"/>
        </w:rPr>
        <w:t>The Company accounts for income taxes using the asset and liability method. Under this method, deferred income tax assets and liabilities are recorded based on the estimated future tax effects of differences between the amounts at which assets and liabilities are recorded for financial reporting purposes and the amounts recorded for income tax purposes. A valuation allowance is provided against the Company’s deferred income tax assets when their realization is not reasonably assured.</w:t>
      </w:r>
    </w:p>
    <w:p>
      <w:pPr>
        <w:sectPr>
          <w:pgSz w:w="12240" w:h="15840" w:orient="portrait"/>
          <w:cols w:equalWidth="0" w:num="1">
            <w:col w:w="9360"/>
          </w:cols>
          <w:pgMar w:left="1440" w:top="1409"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360"/>
          </w:cols>
          <w:pgMar w:left="1440" w:top="1409" w:right="1440" w:bottom="175" w:gutter="0" w:footer="0" w:header="0"/>
          <w:type w:val="continuous"/>
        </w:sectPr>
      </w:pPr>
    </w:p>
    <w:bookmarkStart w:id="71" w:name="page72"/>
    <w:bookmarkEnd w:id="71"/>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 Purchase Warrants and Other Derivative Financial Instruments</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 Company classifies common stock purchase warrants and other free standing derivative financial instruments as equity if the contracts (i) require physical settlement or net-share settlement or (ii) give the Company a choice of net-cash settlement or settlement in its own shares (physical settlement or net-share settlement). The Company classifies any contracts that (i) require net-cash settlement (including a requirement to net cash settle the contract if an event occurs and if that event is outside the control of the Company), (ii) give the counterparty a choice of net-cash settlement or settlement in shares (physical settlement or net-share settlement), or (iii) contain reset provisions as either an asset or a liability. The Company assesses classification of its freestanding derivatives at each reporting date to determine whether a change in classification between equity and liabilities is required. The Company determined that certain freestanding derivatives, which principally consist of 2018 PIPE Warrants, do not satisfy the criteria for classification as equity instruments due to the existence of certain cash settlement features that are not within the sole control of the Company or variable settlement provision that cause them to not be indexed to the Company’s own stock.</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12" w:lineRule="exact"/>
        <w:rPr>
          <w:sz w:val="20"/>
          <w:szCs w:val="20"/>
          <w:color w:val="auto"/>
        </w:rPr>
      </w:pPr>
    </w:p>
    <w:p>
      <w:pPr>
        <w:ind w:right="60" w:firstLine="490"/>
        <w:spacing w:after="0" w:line="235" w:lineRule="auto"/>
        <w:rPr>
          <w:sz w:val="20"/>
          <w:szCs w:val="20"/>
          <w:color w:val="auto"/>
        </w:rPr>
      </w:pPr>
      <w:r>
        <w:rPr>
          <w:rFonts w:ascii="Times New Roman" w:cs="Times New Roman" w:eastAsia="Times New Roman" w:hAnsi="Times New Roman"/>
          <w:sz w:val="20"/>
          <w:szCs w:val="20"/>
          <w:color w:val="auto"/>
        </w:rPr>
        <w:t>Stock-based compensation costs related to stock options and restricted stock units granted to employees, nonemployees and directors are measured at the date of grant based on the estimated fair value of the award. For restricted stock units this fair value is based on the Company’s common stock price on the grant date. The Company estimates the grant date fair value of stock options, and the resulting stock-based compensation expense, using the Black-Scholes option-pricing model. The grant date fair value of stock-based awards is recognized on a straight-line basis over the requisite service period, which is generally the vesting period for service-based awards. For performance-based awards the requisite service period is the longest explicit, implicit or derived service period based on management’s estimate of the probability of the performance criteria being satisfied, adjusted at each balance sheet date.</w:t>
      </w:r>
    </w:p>
    <w:p>
      <w:pPr>
        <w:spacing w:after="0" w:line="197"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auto"/>
        </w:rPr>
        <w:t>The Black-Scholes option-pricing model requires the use of highly subjective assumptions to estimate the fair value of stock-based awards. If the Company had made different assumptions, its stock-based compensation expense, net loss and net loss per share of common stock could have been significantly different. These assumptions include:</w:t>
      </w:r>
    </w:p>
    <w:p>
      <w:pPr>
        <w:spacing w:after="0" w:line="88" w:lineRule="exact"/>
        <w:rPr>
          <w:sz w:val="20"/>
          <w:szCs w:val="20"/>
          <w:color w:val="auto"/>
        </w:rPr>
      </w:pPr>
    </w:p>
    <w:p>
      <w:pPr>
        <w:ind w:left="860" w:right="420" w:hanging="370"/>
        <w:spacing w:after="0" w:line="266" w:lineRule="auto"/>
        <w:tabs>
          <w:tab w:leader="none" w:pos="86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Expected volatility: </w:t>
      </w:r>
      <w:r>
        <w:rPr>
          <w:rFonts w:ascii="Times New Roman" w:cs="Times New Roman" w:eastAsia="Times New Roman" w:hAnsi="Times New Roman"/>
          <w:sz w:val="20"/>
          <w:szCs w:val="20"/>
          <w:color w:val="auto"/>
        </w:rPr>
        <w:t>We calculated the estimated volatility rate for stock options granted based on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volatility of our common stock for a historical period equal to the expected life of the stock options.</w:t>
      </w:r>
    </w:p>
    <w:p>
      <w:pPr>
        <w:spacing w:after="0" w:line="64" w:lineRule="exact"/>
        <w:rPr>
          <w:rFonts w:ascii="Arial" w:cs="Arial" w:eastAsia="Arial" w:hAnsi="Arial"/>
          <w:sz w:val="20"/>
          <w:szCs w:val="20"/>
          <w:color w:val="auto"/>
        </w:rPr>
      </w:pPr>
    </w:p>
    <w:p>
      <w:pPr>
        <w:ind w:left="860" w:right="220" w:hanging="370"/>
        <w:spacing w:after="0" w:line="237" w:lineRule="auto"/>
        <w:tabs>
          <w:tab w:leader="none" w:pos="86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Expected life: </w:t>
      </w:r>
      <w:r>
        <w:rPr>
          <w:rFonts w:ascii="Times New Roman" w:cs="Times New Roman" w:eastAsia="Times New Roman" w:hAnsi="Times New Roman"/>
          <w:sz w:val="20"/>
          <w:szCs w:val="20"/>
          <w:color w:val="auto"/>
        </w:rPr>
        <w:t>Due to the lack of historical exercise history, the expected life of the Company’s service-based stock options is determined utilizing the “simplified method”, based on the average of the contractual term of the options and the weighted-average vesting period. The expected life for performance-based options is determined based on consideration of the contractual term of the stock options, an estimate of the date the performance criteria would be met and expectations of employee behavior.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360"/>
          </w:cols>
          <w:pgMar w:left="1440" w:top="1420" w:right="1440" w:bottom="175" w:gutter="0" w:footer="0" w:header="0"/>
          <w:type w:val="continuous"/>
        </w:sectPr>
      </w:pPr>
    </w:p>
    <w:bookmarkStart w:id="72" w:name="page73"/>
    <w:bookmarkEnd w:id="72"/>
    <w:p>
      <w:pPr>
        <w:ind w:left="860" w:right="60" w:hanging="370"/>
        <w:spacing w:after="0" w:line="276" w:lineRule="auto"/>
        <w:tabs>
          <w:tab w:leader="none" w:pos="86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Risk-free rate: </w:t>
      </w:r>
      <w:r>
        <w:rPr>
          <w:rFonts w:ascii="Times New Roman" w:cs="Times New Roman" w:eastAsia="Times New Roman" w:hAnsi="Times New Roman"/>
          <w:sz w:val="20"/>
          <w:szCs w:val="20"/>
          <w:color w:val="auto"/>
        </w:rPr>
        <w:t>The risk-free interest rate is based on the yields of U.S. Treasury securities with maturities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similar to the expected time to liquidity.</w:t>
      </w:r>
    </w:p>
    <w:p>
      <w:pPr>
        <w:spacing w:after="0" w:line="64" w:lineRule="exact"/>
        <w:rPr>
          <w:rFonts w:ascii="Arial" w:cs="Arial" w:eastAsia="Arial" w:hAnsi="Arial"/>
          <w:sz w:val="20"/>
          <w:szCs w:val="20"/>
          <w:color w:val="auto"/>
        </w:rPr>
      </w:pPr>
    </w:p>
    <w:p>
      <w:pPr>
        <w:ind w:left="860" w:right="40" w:hanging="370"/>
        <w:spacing w:after="0" w:line="258" w:lineRule="auto"/>
        <w:tabs>
          <w:tab w:leader="none" w:pos="86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Expected divided yield: </w:t>
      </w:r>
      <w:r>
        <w:rPr>
          <w:rFonts w:ascii="Times New Roman" w:cs="Times New Roman" w:eastAsia="Times New Roman" w:hAnsi="Times New Roman"/>
          <w:sz w:val="20"/>
          <w:szCs w:val="20"/>
          <w:color w:val="auto"/>
        </w:rPr>
        <w:t>The Company has never declared or paid any cash dividends and do not presently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plan to pay cash dividends in the foreseeable future. Consequently, it used an expected dividend yield of zero.</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Company accounts for forfeitures as they occur.</w:t>
      </w:r>
    </w:p>
    <w:p>
      <w:pPr>
        <w:spacing w:after="0" w:line="200" w:lineRule="exact"/>
        <w:rPr>
          <w:sz w:val="20"/>
          <w:szCs w:val="20"/>
          <w:color w:val="auto"/>
        </w:rPr>
      </w:pPr>
    </w:p>
    <w:p>
      <w:pPr>
        <w:spacing w:after="0" w:line="2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Standards</w:t>
      </w:r>
    </w:p>
    <w:p>
      <w:pPr>
        <w:spacing w:after="0" w:line="118"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The Company’s management has evaluated all of the recently issued, but not yet effective, accounting standards that have been issued or proposed by the Financial Accounting Standards Board (FASB) or other standard-setting bodies through the filing date of these financial statements and does not believe the future adoption of any such pronouncements will have a material effect on the Company’s financial position, results of operations and cash flows.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Fair Value of Financial Instruments</w:t>
      </w:r>
    </w:p>
    <w:p>
      <w:pPr>
        <w:spacing w:after="0" w:line="124"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auto"/>
        </w:rPr>
        <w:t>The carrying value of the Company’s cash, cash equivalents and accounts payable, approximate fair value due to the short-term nature of these items.</w:t>
      </w:r>
    </w:p>
    <w:p>
      <w:pPr>
        <w:spacing w:after="0" w:line="169"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75"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auto"/>
        </w:rPr>
        <w:t>The fair value hierarchy defines a three-level valuation hierarchy for disclosure of fair value measurements as follows:</w:t>
      </w:r>
    </w:p>
    <w:p>
      <w:pPr>
        <w:spacing w:after="0" w:line="63" w:lineRule="exact"/>
        <w:rPr>
          <w:sz w:val="20"/>
          <w:szCs w:val="20"/>
          <w:color w:val="auto"/>
        </w:rPr>
      </w:pPr>
    </w:p>
    <w:p>
      <w:pPr>
        <w:ind w:left="1000" w:hanging="490"/>
        <w:spacing w:after="0"/>
        <w:tabs>
          <w:tab w:leader="none" w:pos="100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Level I — Unadjusted quoted prices in active markets for identical assets or liabilities;</w:t>
      </w:r>
    </w:p>
    <w:p>
      <w:pPr>
        <w:spacing w:after="0" w:line="110" w:lineRule="exact"/>
        <w:rPr>
          <w:rFonts w:ascii="Arial" w:cs="Arial" w:eastAsia="Arial" w:hAnsi="Arial"/>
          <w:sz w:val="20"/>
          <w:szCs w:val="20"/>
          <w:color w:val="auto"/>
        </w:rPr>
      </w:pPr>
    </w:p>
    <w:p>
      <w:pPr>
        <w:ind w:left="1000" w:right="240" w:hanging="490"/>
        <w:spacing w:after="0" w:line="253" w:lineRule="auto"/>
        <w:tabs>
          <w:tab w:leader="none" w:pos="100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63" w:lineRule="exact"/>
        <w:rPr>
          <w:rFonts w:ascii="Arial" w:cs="Arial" w:eastAsia="Arial" w:hAnsi="Arial"/>
          <w:sz w:val="19"/>
          <w:szCs w:val="19"/>
          <w:color w:val="auto"/>
        </w:rPr>
      </w:pPr>
    </w:p>
    <w:p>
      <w:pPr>
        <w:ind w:left="1000" w:right="140" w:hanging="490"/>
        <w:spacing w:after="0" w:line="252" w:lineRule="auto"/>
        <w:tabs>
          <w:tab w:leader="none" w:pos="100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Level III — Unobservable inputs that are supported by little or no market activity for the related assets or liabilities.</w:t>
      </w:r>
    </w:p>
    <w:p>
      <w:pPr>
        <w:spacing w:after="0" w:line="170" w:lineRule="exact"/>
        <w:rPr>
          <w:sz w:val="20"/>
          <w:szCs w:val="20"/>
          <w:color w:val="auto"/>
        </w:rPr>
      </w:pPr>
    </w:p>
    <w:p>
      <w:pPr>
        <w:ind w:right="260" w:firstLine="490"/>
        <w:spacing w:after="0" w:line="253" w:lineRule="auto"/>
        <w:rPr>
          <w:sz w:val="20"/>
          <w:szCs w:val="20"/>
          <w:color w:val="auto"/>
        </w:rPr>
      </w:pPr>
      <w:r>
        <w:rPr>
          <w:rFonts w:ascii="Times New Roman" w:cs="Times New Roman" w:eastAsia="Times New Roman" w:hAnsi="Times New Roman"/>
          <w:sz w:val="20"/>
          <w:szCs w:val="20"/>
          <w:color w:val="auto"/>
        </w:rPr>
        <w:t>The categorization of a financial instrument within the valuation hierarchy is based upon the lowest level of input that is significant to the fair value measurement.</w:t>
      </w:r>
    </w:p>
    <w:p>
      <w:pPr>
        <w:spacing w:after="0" w:line="169" w:lineRule="exact"/>
        <w:rPr>
          <w:sz w:val="20"/>
          <w:szCs w:val="20"/>
          <w:color w:val="auto"/>
        </w:rPr>
      </w:pPr>
    </w:p>
    <w:p>
      <w:pPr>
        <w:ind w:right="500" w:firstLine="490"/>
        <w:spacing w:after="0" w:line="253" w:lineRule="auto"/>
        <w:rPr>
          <w:sz w:val="20"/>
          <w:szCs w:val="20"/>
          <w:color w:val="auto"/>
        </w:rPr>
      </w:pPr>
      <w:r>
        <w:rPr>
          <w:rFonts w:ascii="Times New Roman" w:cs="Times New Roman" w:eastAsia="Times New Roman" w:hAnsi="Times New Roman"/>
          <w:sz w:val="20"/>
          <w:szCs w:val="20"/>
          <w:color w:val="auto"/>
        </w:rPr>
        <w:t>The following table sets forth the Company’s financial instruments that were measured at fair value on a recurring basis by level within the fair value hierarchy (in thousands):</w:t>
      </w: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40" w:type="dxa"/>
            <w:vAlign w:val="bottom"/>
            <w:gridSpan w:val="11"/>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Fair Value Measurements at December 31, 2022</w:t>
            </w:r>
          </w:p>
        </w:tc>
        <w:tc>
          <w:tcPr>
            <w:tcW w:w="0" w:type="dxa"/>
            <w:vAlign w:val="bottom"/>
          </w:tcPr>
          <w:p>
            <w:pPr>
              <w:spacing w:after="0"/>
              <w:rPr>
                <w:sz w:val="1"/>
                <w:szCs w:val="1"/>
                <w:color w:val="auto"/>
              </w:rPr>
            </w:pPr>
          </w:p>
        </w:tc>
      </w:tr>
      <w:tr>
        <w:trPr>
          <w:trHeight w:val="174"/>
        </w:trPr>
        <w:tc>
          <w:tcPr>
            <w:tcW w:w="45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ind w:left="80"/>
              <w:spacing w:after="0" w:line="174" w:lineRule="exact"/>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ind w:left="40"/>
              <w:spacing w:after="0" w:line="174" w:lineRule="exact"/>
              <w:rPr>
                <w:sz w:val="20"/>
                <w:szCs w:val="20"/>
                <w:color w:val="auto"/>
              </w:rPr>
            </w:pPr>
            <w:r>
              <w:rPr>
                <w:rFonts w:ascii="Times New Roman" w:cs="Times New Roman" w:eastAsia="Times New Roman" w:hAnsi="Times New Roman"/>
                <w:sz w:val="16"/>
                <w:szCs w:val="16"/>
                <w:b w:val="1"/>
                <w:bCs w:val="1"/>
                <w:color w:val="auto"/>
              </w:rPr>
              <w:t>Level 1</w:t>
            </w:r>
          </w:p>
        </w:tc>
        <w:tc>
          <w:tcPr>
            <w:tcW w:w="7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05"/>
              <w:spacing w:after="0" w:line="174" w:lineRule="exact"/>
              <w:rPr>
                <w:sz w:val="20"/>
                <w:szCs w:val="20"/>
                <w:color w:val="auto"/>
              </w:rPr>
            </w:pPr>
            <w:r>
              <w:rPr>
                <w:rFonts w:ascii="Times New Roman" w:cs="Times New Roman" w:eastAsia="Times New Roman" w:hAnsi="Times New Roman"/>
                <w:sz w:val="16"/>
                <w:szCs w:val="16"/>
                <w:b w:val="1"/>
                <w:bCs w:val="1"/>
                <w:color w:val="auto"/>
              </w:rPr>
              <w:t>Level 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52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2018 PIPE warrant liability</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507"/>
              <w:spacing w:after="0"/>
              <w:rPr>
                <w:sz w:val="20"/>
                <w:szCs w:val="20"/>
                <w:color w:val="auto"/>
              </w:rPr>
            </w:pPr>
            <w:r>
              <w:rPr>
                <w:rFonts w:ascii="Times New Roman" w:cs="Times New Roman" w:eastAsia="Times New Roman" w:hAnsi="Times New Roman"/>
                <w:sz w:val="20"/>
                <w:szCs w:val="20"/>
                <w:color w:val="auto"/>
                <w:w w:val="79"/>
              </w:rPr>
              <w:t>$</w:t>
            </w:r>
          </w:p>
        </w:tc>
        <w:tc>
          <w:tcPr>
            <w:tcW w:w="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49"/>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Essentialis purchase price contingency liability</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spacing w:after="0"/>
              <w:rPr>
                <w:sz w:val="21"/>
                <w:szCs w:val="21"/>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8,835</w:t>
            </w:r>
          </w:p>
        </w:tc>
        <w:tc>
          <w:tcPr>
            <w:tcW w:w="0" w:type="dxa"/>
            <w:vAlign w:val="bottom"/>
          </w:tcPr>
          <w:p>
            <w:pPr>
              <w:spacing w:after="0"/>
              <w:rPr>
                <w:sz w:val="1"/>
                <w:szCs w:val="1"/>
                <w:color w:val="auto"/>
              </w:rPr>
            </w:pPr>
          </w:p>
        </w:tc>
      </w:tr>
      <w:tr>
        <w:trPr>
          <w:trHeight w:val="220"/>
        </w:trPr>
        <w:tc>
          <w:tcPr>
            <w:tcW w:w="452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liabilities</w:t>
            </w:r>
          </w:p>
        </w:tc>
        <w:tc>
          <w:tcPr>
            <w:tcW w:w="1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8,836</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tcPr>
          <w:p>
            <w:pPr>
              <w:ind w:left="540"/>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0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0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8,836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-637540</wp:posOffset>
            </wp:positionV>
            <wp:extent cx="5553075" cy="622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extLst>
                    </a:blip>
                    <a:srcRect/>
                    <a:stretch>
                      <a:fillRect/>
                    </a:stretch>
                  </pic:blipFill>
                  <pic:spPr bwMode="auto">
                    <a:xfrm>
                      <a:off x="0" y="0"/>
                      <a:ext cx="5553075" cy="622300"/>
                    </a:xfrm>
                    <a:prstGeom prst="rect">
                      <a:avLst/>
                    </a:prstGeom>
                    <a:noFill/>
                  </pic:spPr>
                </pic:pic>
              </a:graphicData>
            </a:graphic>
          </wp:anchor>
        </w:drawing>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10"/>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Fair Value Measurements at December 31, 2021</w:t>
            </w:r>
          </w:p>
        </w:tc>
        <w:tc>
          <w:tcPr>
            <w:tcW w:w="0" w:type="dxa"/>
            <w:vAlign w:val="bottom"/>
          </w:tcPr>
          <w:p>
            <w:pPr>
              <w:spacing w:after="0"/>
              <w:rPr>
                <w:sz w:val="1"/>
                <w:szCs w:val="1"/>
                <w:color w:val="auto"/>
              </w:rPr>
            </w:pPr>
          </w:p>
        </w:tc>
      </w:tr>
      <w:tr>
        <w:trPr>
          <w:trHeight w:val="174"/>
        </w:trPr>
        <w:tc>
          <w:tcPr>
            <w:tcW w:w="43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8"/>
              <w:spacing w:after="0" w:line="174" w:lineRule="exact"/>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40"/>
              <w:spacing w:after="0" w:line="174" w:lineRule="exact"/>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60"/>
              <w:spacing w:after="0" w:line="174" w:lineRule="exact"/>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5"/>
              <w:spacing w:after="0" w:line="174" w:lineRule="exact"/>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00"/>
        </w:trPr>
        <w:tc>
          <w:tcPr>
            <w:tcW w:w="43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2018 PIPE warrant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20"/>
                <w:szCs w:val="20"/>
                <w:color w:val="auto"/>
                <w:w w:val="8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8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49"/>
        </w:trPr>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Essentialis purchase price contingency liability</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9,547</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20"/>
                <w:szCs w:val="20"/>
                <w:color w:val="auto"/>
                <w:w w:val="89"/>
              </w:rPr>
              <w:t>—</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w w:val="89"/>
              </w:rPr>
              <w:t>—</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9,547</w:t>
            </w:r>
          </w:p>
        </w:tc>
        <w:tc>
          <w:tcPr>
            <w:tcW w:w="0" w:type="dxa"/>
            <w:vAlign w:val="bottom"/>
          </w:tcPr>
          <w:p>
            <w:pPr>
              <w:spacing w:after="0"/>
              <w:rPr>
                <w:sz w:val="1"/>
                <w:szCs w:val="1"/>
                <w:color w:val="auto"/>
              </w:rPr>
            </w:pPr>
          </w:p>
        </w:tc>
      </w:tr>
      <w:tr>
        <w:trPr>
          <w:trHeight w:val="220"/>
        </w:trPr>
        <w:tc>
          <w:tcPr>
            <w:tcW w:w="438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liabilities</w:t>
            </w: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9,578</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ind w:left="520"/>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ind w:left="540"/>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9,578</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-637540</wp:posOffset>
            </wp:positionV>
            <wp:extent cx="5374640" cy="622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extLst>
                    </a:blip>
                    <a:srcRect/>
                    <a:stretch>
                      <a:fillRect/>
                    </a:stretch>
                  </pic:blipFill>
                  <pic:spPr bwMode="auto">
                    <a:xfrm>
                      <a:off x="0" y="0"/>
                      <a:ext cx="5374640" cy="622300"/>
                    </a:xfrm>
                    <a:prstGeom prst="rect">
                      <a:avLst/>
                    </a:prstGeom>
                    <a:noFill/>
                  </pic:spPr>
                </pic:pic>
              </a:graphicData>
            </a:graphic>
          </wp:anchor>
        </w:drawing>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360"/>
          </w:cols>
          <w:pgMar w:left="1440" w:top="1434" w:right="1440" w:bottom="175" w:gutter="0" w:footer="0" w:header="0"/>
          <w:type w:val="continuous"/>
        </w:sectPr>
      </w:pPr>
    </w:p>
    <w:bookmarkStart w:id="73" w:name="page74"/>
    <w:bookmarkEnd w:id="73"/>
    <w:p>
      <w:pPr>
        <w:spacing w:after="0" w:line="296" w:lineRule="exact"/>
        <w:rPr>
          <w:sz w:val="20"/>
          <w:szCs w:val="20"/>
          <w:color w:val="auto"/>
        </w:rPr>
      </w:pPr>
    </w:p>
    <w:p>
      <w:pPr>
        <w:jc w:val="both"/>
        <w:ind w:right="20" w:firstLine="556"/>
        <w:spacing w:after="0" w:line="258" w:lineRule="auto"/>
        <w:rPr>
          <w:sz w:val="20"/>
          <w:szCs w:val="20"/>
          <w:color w:val="auto"/>
        </w:rPr>
      </w:pPr>
      <w:r>
        <w:rPr>
          <w:rFonts w:ascii="Times New Roman" w:cs="Times New Roman" w:eastAsia="Times New Roman" w:hAnsi="Times New Roman"/>
          <w:sz w:val="20"/>
          <w:szCs w:val="20"/>
          <w:color w:val="auto"/>
        </w:rPr>
        <w:t>The Company’s estimated fair value of the 2018 PIPE Warrants was calculated using a Black-Scholes pricing model. The Black-Scholes pricing model requires the input of highly subjective assumptions including the expected stock price volatility, the expected term, the expected dividend yield and the risk-free interest rate.</w:t>
      </w:r>
    </w:p>
    <w:p>
      <w:pPr>
        <w:spacing w:after="0" w:line="258" w:lineRule="exact"/>
        <w:rPr>
          <w:sz w:val="20"/>
          <w:szCs w:val="20"/>
          <w:color w:val="auto"/>
        </w:rPr>
      </w:pPr>
    </w:p>
    <w:p>
      <w:pPr>
        <w:ind w:right="40" w:firstLine="556"/>
        <w:spacing w:after="0" w:line="243" w:lineRule="auto"/>
        <w:rPr>
          <w:sz w:val="20"/>
          <w:szCs w:val="20"/>
          <w:color w:val="auto"/>
        </w:rPr>
      </w:pPr>
      <w:r>
        <w:rPr>
          <w:rFonts w:ascii="Times New Roman" w:cs="Times New Roman" w:eastAsia="Times New Roman" w:hAnsi="Times New Roman"/>
          <w:sz w:val="20"/>
          <w:szCs w:val="20"/>
          <w:color w:val="auto"/>
        </w:rPr>
        <w:t>Based on the terms of the completed merger with Essentialis on March 7, 2017, the Company is obligated to make cash earnout payments of up to a maximum of $30.0 million to the former Essentialis stockholders. On December 28, 2021, in connection with the dissolution of two of the former Essentialis stockholders, the two former stockholders entered into an agreement with the Company which assigned the right, title and interest to all their future earnout payments to the Company. As a result of the assignment, as of December 31, 2021, and going forward, the maximum cash earnout payments are $21.2 million. The fair value of the Essentialis purchase price contingent liability is estimated using scenario-based methods based upon the Company’s analysis of the likelihood of obtaining specified approvals from the Federal Drug Administration as well as reaching cumulative revenue milestones. The Level 3 estimates are based, in part, on subjective assumptions. In determining the likelihood of this occurring, the analysis relied on published research relating to clinical development success rates. Based on management’s assessment, a 72% probability of achieving each milestone was determined to be reasonable for each of December 31, 2022 and December 31, 2021. During the periods presented, the Company has not changed the manner in which it values its Essentialis purchase price contingent liability.</w:t>
      </w:r>
    </w:p>
    <w:p>
      <w:pPr>
        <w:spacing w:after="0" w:line="203"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color w:val="auto"/>
        </w:rPr>
        <w:t>The Company recognizes transfers between levels of the fair value hierarchy as of the end of the reporting period. There were no transfers within the hierarchy during the periods presented.</w:t>
      </w:r>
    </w:p>
    <w:p>
      <w:pPr>
        <w:spacing w:after="0" w:line="169"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 sets forth a summary of the changes in the fair value of the Company’s Level 3 assets and liabilities (dollars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2018 PIPE Warrants</w:t>
            </w:r>
          </w:p>
        </w:tc>
        <w:tc>
          <w:tcPr>
            <w:tcW w:w="12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Purchase Price</w:t>
            </w:r>
          </w:p>
        </w:tc>
        <w:tc>
          <w:tcPr>
            <w:tcW w:w="0" w:type="dxa"/>
            <w:vAlign w:val="bottom"/>
          </w:tcPr>
          <w:p>
            <w:pPr>
              <w:spacing w:after="0"/>
              <w:rPr>
                <w:sz w:val="1"/>
                <w:szCs w:val="1"/>
                <w:color w:val="auto"/>
              </w:rPr>
            </w:pPr>
          </w:p>
        </w:tc>
      </w:tr>
      <w:tr>
        <w:trPr>
          <w:trHeight w:val="155"/>
        </w:trPr>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40" w:type="dxa"/>
            <w:vAlign w:val="bottom"/>
            <w:gridSpan w:val="3"/>
          </w:tcPr>
          <w:p>
            <w:pPr>
              <w:jc w:val="center"/>
              <w:ind w:right="1140"/>
              <w:spacing w:after="0" w:line="155"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2"/>
          </w:tcPr>
          <w:p>
            <w:pPr>
              <w:jc w:val="center"/>
              <w:ind w:right="60"/>
              <w:spacing w:after="0" w:line="155" w:lineRule="exact"/>
              <w:rPr>
                <w:sz w:val="20"/>
                <w:szCs w:val="20"/>
                <w:color w:val="auto"/>
              </w:rPr>
            </w:pPr>
            <w:r>
              <w:rPr>
                <w:rFonts w:ascii="Times New Roman" w:cs="Times New Roman" w:eastAsia="Times New Roman" w:hAnsi="Times New Roman"/>
                <w:sz w:val="16"/>
                <w:szCs w:val="16"/>
                <w:b w:val="1"/>
                <w:bCs w:val="1"/>
                <w:color w:val="auto"/>
                <w:w w:val="99"/>
              </w:rPr>
              <w:t>Contingent</w:t>
            </w:r>
          </w:p>
        </w:tc>
        <w:tc>
          <w:tcPr>
            <w:tcW w:w="0" w:type="dxa"/>
            <w:vAlign w:val="bottom"/>
          </w:tcPr>
          <w:p>
            <w:pPr>
              <w:spacing w:after="0"/>
              <w:rPr>
                <w:sz w:val="1"/>
                <w:szCs w:val="1"/>
                <w:color w:val="auto"/>
              </w:rPr>
            </w:pPr>
          </w:p>
        </w:tc>
      </w:tr>
      <w:tr>
        <w:trPr>
          <w:trHeight w:val="203"/>
        </w:trPr>
        <w:tc>
          <w:tcPr>
            <w:tcW w:w="31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December 31, 2020</w:t>
            </w:r>
          </w:p>
        </w:tc>
        <w:tc>
          <w:tcPr>
            <w:tcW w:w="380" w:type="dxa"/>
            <w:vAlign w:val="bottom"/>
          </w:tcPr>
          <w:p>
            <w:pPr>
              <w:spacing w:after="0"/>
              <w:rPr>
                <w:sz w:val="17"/>
                <w:szCs w:val="17"/>
                <w:color w:val="auto"/>
              </w:rPr>
            </w:pPr>
          </w:p>
        </w:tc>
        <w:tc>
          <w:tcPr>
            <w:tcW w:w="2440" w:type="dxa"/>
            <w:vAlign w:val="bottom"/>
            <w:gridSpan w:val="3"/>
          </w:tcPr>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46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Liability</w:t>
            </w:r>
          </w:p>
        </w:tc>
        <w:tc>
          <w:tcPr>
            <w:tcW w:w="0" w:type="dxa"/>
            <w:vAlign w:val="bottom"/>
          </w:tcPr>
          <w:p>
            <w:pPr>
              <w:spacing w:after="0"/>
              <w:rPr>
                <w:sz w:val="1"/>
                <w:szCs w:val="1"/>
                <w:color w:val="auto"/>
              </w:rPr>
            </w:pPr>
          </w:p>
        </w:tc>
      </w:tr>
      <w:tr>
        <w:trPr>
          <w:trHeight w:val="201"/>
        </w:trPr>
        <w:tc>
          <w:tcPr>
            <w:tcW w:w="3120" w:type="dxa"/>
            <w:vAlign w:val="bottom"/>
            <w:vMerge w:val="continue"/>
          </w:tcPr>
          <w:p>
            <w:pPr>
              <w:spacing w:after="0"/>
              <w:rPr>
                <w:sz w:val="17"/>
                <w:szCs w:val="17"/>
                <w:color w:val="auto"/>
              </w:rPr>
            </w:pPr>
          </w:p>
        </w:tc>
        <w:tc>
          <w:tcPr>
            <w:tcW w:w="380" w:type="dxa"/>
            <w:vAlign w:val="bottom"/>
            <w:tcBorders>
              <w:top w:val="single" w:sz="8" w:color="auto"/>
            </w:tcBorders>
          </w:tcPr>
          <w:p>
            <w:pPr>
              <w:jc w:val="right"/>
              <w:ind w:right="18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34,241</w:t>
            </w:r>
          </w:p>
        </w:tc>
        <w:tc>
          <w:tcPr>
            <w:tcW w:w="1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539</w:t>
            </w:r>
          </w:p>
        </w:tc>
        <w:tc>
          <w:tcPr>
            <w:tcW w:w="180" w:type="dxa"/>
            <w:vAlign w:val="bottom"/>
          </w:tcPr>
          <w:p>
            <w:pPr>
              <w:spacing w:after="0"/>
              <w:rPr>
                <w:sz w:val="17"/>
                <w:szCs w:val="17"/>
                <w:color w:val="auto"/>
              </w:rPr>
            </w:pPr>
          </w:p>
        </w:tc>
        <w:tc>
          <w:tcPr>
            <w:tcW w:w="18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10,278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value of 2018 PIPE</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Warrants</w:t>
            </w:r>
          </w:p>
        </w:tc>
        <w:tc>
          <w:tcPr>
            <w:tcW w:w="380" w:type="dxa"/>
            <w:vAlign w:val="bottom"/>
          </w:tcPr>
          <w:p>
            <w:pPr>
              <w:spacing w:after="0"/>
              <w:rPr>
                <w:sz w:val="19"/>
                <w:szCs w:val="19"/>
                <w:color w:val="auto"/>
              </w:rPr>
            </w:pPr>
          </w:p>
        </w:tc>
        <w:tc>
          <w:tcPr>
            <w:tcW w:w="2440" w:type="dxa"/>
            <w:vAlign w:val="bottom"/>
            <w:gridSpan w:val="3"/>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(508)</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value of contingent</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liability due to estimated future</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revenue milestones</w:t>
            </w:r>
          </w:p>
        </w:tc>
        <w:tc>
          <w:tcPr>
            <w:tcW w:w="380" w:type="dxa"/>
            <w:vAlign w:val="bottom"/>
          </w:tcPr>
          <w:p>
            <w:pPr>
              <w:spacing w:after="0"/>
              <w:rPr>
                <w:sz w:val="19"/>
                <w:szCs w:val="19"/>
                <w:color w:val="auto"/>
              </w:rPr>
            </w:pPr>
          </w:p>
        </w:tc>
        <w:tc>
          <w:tcPr>
            <w:tcW w:w="2440" w:type="dxa"/>
            <w:vAlign w:val="bottom"/>
            <w:gridSpan w:val="3"/>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value of contingent</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liability due to assignment of rights</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to Soleno</w:t>
            </w:r>
          </w:p>
        </w:tc>
        <w:tc>
          <w:tcPr>
            <w:tcW w:w="380" w:type="dxa"/>
            <w:vAlign w:val="bottom"/>
          </w:tcPr>
          <w:p>
            <w:pPr>
              <w:spacing w:after="0"/>
              <w:rPr>
                <w:sz w:val="21"/>
                <w:szCs w:val="21"/>
                <w:color w:val="auto"/>
              </w:rPr>
            </w:pPr>
          </w:p>
        </w:tc>
        <w:tc>
          <w:tcPr>
            <w:tcW w:w="2440" w:type="dxa"/>
            <w:vAlign w:val="bottom"/>
            <w:gridSpan w:val="3"/>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(3,980)</w:t>
            </w:r>
          </w:p>
        </w:tc>
        <w:tc>
          <w:tcPr>
            <w:tcW w:w="0" w:type="dxa"/>
            <w:vAlign w:val="bottom"/>
          </w:tcPr>
          <w:p>
            <w:pPr>
              <w:spacing w:after="0"/>
              <w:rPr>
                <w:sz w:val="1"/>
                <w:szCs w:val="1"/>
                <w:color w:val="auto"/>
              </w:rPr>
            </w:pPr>
          </w:p>
        </w:tc>
      </w:tr>
      <w:tr>
        <w:trPr>
          <w:trHeight w:val="200"/>
        </w:trPr>
        <w:tc>
          <w:tcPr>
            <w:tcW w:w="31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Balance at December 31, 2021</w:t>
            </w:r>
          </w:p>
        </w:tc>
        <w:tc>
          <w:tcPr>
            <w:tcW w:w="3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34,241</w:t>
            </w:r>
          </w:p>
        </w:tc>
        <w:tc>
          <w:tcPr>
            <w:tcW w:w="1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31</w:t>
            </w:r>
          </w:p>
        </w:tc>
        <w:tc>
          <w:tcPr>
            <w:tcW w:w="180" w:type="dxa"/>
            <w:vAlign w:val="bottom"/>
          </w:tcPr>
          <w:p>
            <w:pPr>
              <w:spacing w:after="0"/>
              <w:rPr>
                <w:sz w:val="17"/>
                <w:szCs w:val="17"/>
                <w:color w:val="auto"/>
              </w:rPr>
            </w:pPr>
          </w:p>
        </w:tc>
        <w:tc>
          <w:tcPr>
            <w:tcW w:w="18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9,547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value of 2018 PIPE</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Warrants</w:t>
            </w:r>
          </w:p>
        </w:tc>
        <w:tc>
          <w:tcPr>
            <w:tcW w:w="380" w:type="dxa"/>
            <w:vAlign w:val="bottom"/>
          </w:tcPr>
          <w:p>
            <w:pPr>
              <w:spacing w:after="0"/>
              <w:rPr>
                <w:sz w:val="19"/>
                <w:szCs w:val="19"/>
                <w:color w:val="auto"/>
              </w:rPr>
            </w:pPr>
          </w:p>
        </w:tc>
        <w:tc>
          <w:tcPr>
            <w:tcW w:w="2440" w:type="dxa"/>
            <w:vAlign w:val="bottom"/>
            <w:gridSpan w:val="3"/>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(30)</w:t>
            </w: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value of contingent</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liability due to estimated future</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revenue milestones</w:t>
            </w:r>
          </w:p>
        </w:tc>
        <w:tc>
          <w:tcPr>
            <w:tcW w:w="380" w:type="dxa"/>
            <w:vAlign w:val="bottom"/>
          </w:tcPr>
          <w:p>
            <w:pPr>
              <w:spacing w:after="0"/>
              <w:rPr>
                <w:sz w:val="19"/>
                <w:szCs w:val="19"/>
                <w:color w:val="auto"/>
              </w:rPr>
            </w:pPr>
          </w:p>
        </w:tc>
        <w:tc>
          <w:tcPr>
            <w:tcW w:w="2440" w:type="dxa"/>
            <w:vAlign w:val="bottom"/>
            <w:gridSpan w:val="3"/>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(712)</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value of contingent</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liability due to assignment of rights</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to Soleno</w:t>
            </w:r>
          </w:p>
        </w:tc>
        <w:tc>
          <w:tcPr>
            <w:tcW w:w="380" w:type="dxa"/>
            <w:vAlign w:val="bottom"/>
          </w:tcPr>
          <w:p>
            <w:pPr>
              <w:spacing w:after="0"/>
              <w:rPr>
                <w:sz w:val="21"/>
                <w:szCs w:val="21"/>
                <w:color w:val="auto"/>
              </w:rPr>
            </w:pPr>
          </w:p>
        </w:tc>
        <w:tc>
          <w:tcPr>
            <w:tcW w:w="2440" w:type="dxa"/>
            <w:vAlign w:val="bottom"/>
            <w:gridSpan w:val="3"/>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31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Balance at December 31, 2022</w:t>
            </w:r>
          </w:p>
        </w:tc>
        <w:tc>
          <w:tcPr>
            <w:tcW w:w="380" w:type="dxa"/>
            <w:vAlign w:val="bottom"/>
            <w:tcBorders>
              <w:top w:val="single" w:sz="8" w:color="auto"/>
              <w:bottom w:val="single" w:sz="8" w:color="auto"/>
            </w:tcBorders>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34,241</w:t>
            </w: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w:t>
            </w:r>
          </w:p>
        </w:tc>
        <w:tc>
          <w:tcPr>
            <w:tcW w:w="18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8,835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-2834640</wp:posOffset>
            </wp:positionV>
            <wp:extent cx="5969000" cy="2819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extLst>
                    </a:blip>
                    <a:srcRect/>
                    <a:stretch>
                      <a:fillRect/>
                    </a:stretch>
                  </pic:blipFill>
                  <pic:spPr bwMode="auto">
                    <a:xfrm>
                      <a:off x="0" y="0"/>
                      <a:ext cx="5969000" cy="2819400"/>
                    </a:xfrm>
                    <a:prstGeom prst="rect">
                      <a:avLst/>
                    </a:prstGeom>
                    <a:noFill/>
                  </pic:spPr>
                </pic:pic>
              </a:graphicData>
            </a:graphic>
          </wp:anchor>
        </w:drawing>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360"/>
          </w:cols>
          <w:pgMar w:left="1440" w:top="1440" w:right="1440" w:bottom="175"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color w:val="auto"/>
        </w:rPr>
        <w:t>Note 5. Other Financial Statement Details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Property and equipment are summarized in the following table (in thousands):</w:t>
      </w:r>
    </w:p>
    <w:p>
      <w:pPr>
        <w:spacing w:after="0" w:line="276"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42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Computer hardware</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80" w:type="dxa"/>
            <w:vAlign w:val="bottom"/>
            <w:vMerge w:val="continue"/>
          </w:tcPr>
          <w:p>
            <w:pPr>
              <w:spacing w:after="0"/>
              <w:rPr>
                <w:sz w:val="17"/>
                <w:szCs w:val="17"/>
                <w:color w:val="auto"/>
              </w:rPr>
            </w:pPr>
          </w:p>
        </w:tc>
        <w:tc>
          <w:tcPr>
            <w:tcW w:w="2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72</w:t>
            </w:r>
          </w:p>
        </w:tc>
        <w:tc>
          <w:tcPr>
            <w:tcW w:w="140" w:type="dxa"/>
            <w:vAlign w:val="bottom"/>
          </w:tcPr>
          <w:p>
            <w:pPr>
              <w:spacing w:after="0"/>
              <w:rPr>
                <w:sz w:val="17"/>
                <w:szCs w:val="17"/>
                <w:color w:val="auto"/>
              </w:rPr>
            </w:pPr>
          </w:p>
        </w:tc>
        <w:tc>
          <w:tcPr>
            <w:tcW w:w="240" w:type="dxa"/>
            <w:vAlign w:val="bottom"/>
          </w:tcPr>
          <w:p>
            <w:pPr>
              <w:jc w:val="right"/>
              <w:ind w:right="47"/>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101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22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(75)</w:t>
            </w:r>
          </w:p>
        </w:tc>
        <w:tc>
          <w:tcPr>
            <w:tcW w:w="2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0" w:type="dxa"/>
            <w:vAlign w:val="bottom"/>
          </w:tcPr>
          <w:p>
            <w:pPr>
              <w:spacing w:after="0"/>
              <w:rPr>
                <w:sz w:val="1"/>
                <w:szCs w:val="1"/>
                <w:color w:val="auto"/>
              </w:rPr>
            </w:pPr>
          </w:p>
        </w:tc>
      </w:tr>
      <w:tr>
        <w:trPr>
          <w:trHeight w:val="220"/>
        </w:trPr>
        <w:tc>
          <w:tcPr>
            <w:tcW w:w="42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2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26</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4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-789940</wp:posOffset>
            </wp:positionV>
            <wp:extent cx="4185920" cy="774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extLst>
                    </a:blip>
                    <a:srcRect/>
                    <a:stretch>
                      <a:fillRect/>
                    </a:stretch>
                  </pic:blipFill>
                  <pic:spPr bwMode="auto">
                    <a:xfrm>
                      <a:off x="0" y="0"/>
                      <a:ext cx="4185920" cy="774700"/>
                    </a:xfrm>
                    <a:prstGeom prst="rect">
                      <a:avLst/>
                    </a:prstGeom>
                    <a:noFill/>
                  </pic:spPr>
                </pic:pic>
              </a:graphicData>
            </a:graphic>
          </wp:anchor>
        </w:drawing>
      </w:r>
    </w:p>
    <w:p>
      <w:pPr>
        <w:spacing w:after="0" w:line="236" w:lineRule="exact"/>
        <w:rPr>
          <w:sz w:val="20"/>
          <w:szCs w:val="20"/>
          <w:color w:val="auto"/>
        </w:rPr>
      </w:pPr>
    </w:p>
    <w:p>
      <w:pPr>
        <w:ind w:right="300" w:firstLine="490"/>
        <w:spacing w:after="0" w:line="277" w:lineRule="auto"/>
        <w:rPr>
          <w:sz w:val="20"/>
          <w:szCs w:val="20"/>
          <w:color w:val="auto"/>
        </w:rPr>
      </w:pPr>
      <w:r>
        <w:rPr>
          <w:rFonts w:ascii="Times New Roman" w:cs="Times New Roman" w:eastAsia="Times New Roman" w:hAnsi="Times New Roman"/>
          <w:sz w:val="20"/>
          <w:szCs w:val="20"/>
          <w:color w:val="auto"/>
        </w:rPr>
        <w:t>Depreciation expense was approximately $20,000 and $19,000 for the years ended December 31, 2022 and December 31, 2021, respectively.</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 Net</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Intangible assets consist of the following (in thousands):</w:t>
      </w:r>
    </w:p>
    <w:p>
      <w:pPr>
        <w:spacing w:after="0" w:line="27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3"/>
                <w:szCs w:val="13"/>
                <w:color w:val="auto"/>
              </w:rPr>
            </w:pPr>
          </w:p>
        </w:tc>
        <w:tc>
          <w:tcPr>
            <w:tcW w:w="680" w:type="dxa"/>
            <w:vAlign w:val="bottom"/>
          </w:tcPr>
          <w:p>
            <w:pPr>
              <w:jc w:val="center"/>
              <w:ind w:right="40"/>
              <w:spacing w:after="0" w:line="155"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700" w:type="dxa"/>
            <w:vAlign w:val="bottom"/>
          </w:tcPr>
          <w:p>
            <w:pPr>
              <w:jc w:val="center"/>
              <w:ind w:right="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203"/>
        </w:trPr>
        <w:tc>
          <w:tcPr>
            <w:tcW w:w="2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Patents and merger costs</w:t>
            </w: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100" w:type="dxa"/>
            <w:vAlign w:val="bottom"/>
          </w:tcPr>
          <w:p>
            <w:pPr>
              <w:spacing w:after="0"/>
              <w:rPr>
                <w:sz w:val="17"/>
                <w:szCs w:val="17"/>
                <w:color w:val="auto"/>
              </w:rPr>
            </w:pPr>
          </w:p>
        </w:tc>
        <w:tc>
          <w:tcPr>
            <w:tcW w:w="68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17"/>
                <w:szCs w:val="17"/>
                <w:color w:val="auto"/>
              </w:rPr>
            </w:pPr>
          </w:p>
        </w:tc>
        <w:tc>
          <w:tcPr>
            <w:tcW w:w="7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203"/>
        </w:trPr>
        <w:tc>
          <w:tcPr>
            <w:tcW w:w="2020" w:type="dxa"/>
            <w:vAlign w:val="bottom"/>
            <w:vMerge w:val="continue"/>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22,003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(11,310)</w:t>
            </w:r>
          </w:p>
        </w:tc>
        <w:tc>
          <w:tcPr>
            <w:tcW w:w="1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10,693</w:t>
            </w:r>
          </w:p>
        </w:tc>
        <w:tc>
          <w:tcPr>
            <w:tcW w:w="1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22,003</w:t>
            </w:r>
          </w:p>
        </w:tc>
        <w:tc>
          <w:tcPr>
            <w:tcW w:w="1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(9,366)</w:t>
            </w:r>
          </w:p>
        </w:tc>
        <w:tc>
          <w:tcPr>
            <w:tcW w:w="1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-153670</wp:posOffset>
            </wp:positionV>
            <wp:extent cx="5374640" cy="148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extLst>
                    </a:blip>
                    <a:srcRect/>
                    <a:stretch>
                      <a:fillRect/>
                    </a:stretch>
                  </pic:blipFill>
                  <pic:spPr bwMode="auto">
                    <a:xfrm>
                      <a:off x="0" y="0"/>
                      <a:ext cx="5374640" cy="148590"/>
                    </a:xfrm>
                    <a:prstGeom prst="rect">
                      <a:avLst/>
                    </a:prstGeom>
                    <a:noFill/>
                  </pic:spPr>
                </pic:pic>
              </a:graphicData>
            </a:graphic>
          </wp:anchor>
        </w:drawing>
      </w:r>
    </w:p>
    <w:p>
      <w:pPr>
        <w:spacing w:after="0" w:line="208" w:lineRule="exact"/>
        <w:rPr>
          <w:sz w:val="20"/>
          <w:szCs w:val="20"/>
          <w:color w:val="auto"/>
        </w:rPr>
      </w:pPr>
    </w:p>
    <w:p>
      <w:pPr>
        <w:ind w:right="980" w:firstLine="490"/>
        <w:spacing w:after="0" w:line="277" w:lineRule="auto"/>
        <w:rPr>
          <w:sz w:val="20"/>
          <w:szCs w:val="20"/>
          <w:color w:val="auto"/>
        </w:rPr>
      </w:pPr>
      <w:r>
        <w:rPr>
          <w:rFonts w:ascii="Times New Roman" w:cs="Times New Roman" w:eastAsia="Times New Roman" w:hAnsi="Times New Roman"/>
          <w:sz w:val="20"/>
          <w:szCs w:val="20"/>
          <w:color w:val="auto"/>
        </w:rPr>
        <w:t>Future amortization expense for intangible assets over their remaining useful lives is as follows (in thousands):</w:t>
      </w:r>
    </w:p>
    <w:p>
      <w:pPr>
        <w:spacing w:after="0" w:line="205" w:lineRule="exact"/>
        <w:rPr>
          <w:sz w:val="20"/>
          <w:szCs w:val="20"/>
          <w:color w:val="auto"/>
        </w:rPr>
      </w:pPr>
    </w:p>
    <w:tbl>
      <w:tblPr>
        <w:tblLayout w:type="fixed"/>
        <w:tblInd w:w="188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6"/>
                <w:szCs w:val="16"/>
                <w:b w:val="1"/>
                <w:bCs w:val="1"/>
                <w:color w:val="auto"/>
                <w:w w:val="96"/>
              </w:rPr>
              <w:t>Patents and</w:t>
            </w:r>
          </w:p>
        </w:tc>
      </w:tr>
      <w:tr>
        <w:trPr>
          <w:trHeight w:val="203"/>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auto"/>
                <w:w w:val="97"/>
              </w:rPr>
              <w:t>trademarks</w:t>
            </w:r>
          </w:p>
        </w:tc>
      </w:tr>
      <w:tr>
        <w:trPr>
          <w:trHeight w:val="200"/>
        </w:trPr>
        <w:tc>
          <w:tcPr>
            <w:tcW w:w="448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2023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1,944</w:t>
            </w: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1,944</w:t>
            </w: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1,944</w:t>
            </w: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1,944</w:t>
            </w:r>
          </w:p>
        </w:tc>
      </w:tr>
      <w:tr>
        <w:trPr>
          <w:trHeight w:val="249"/>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2027 and thereafter</w:t>
            </w: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2,917</w:t>
            </w:r>
          </w:p>
        </w:tc>
      </w:tr>
      <w:tr>
        <w:trPr>
          <w:trHeight w:val="220"/>
        </w:trPr>
        <w:tc>
          <w:tcPr>
            <w:tcW w:w="44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10,693</w:t>
            </w:r>
          </w:p>
        </w:tc>
      </w:tr>
      <w:tr>
        <w:trPr>
          <w:trHeight w:val="20"/>
        </w:trPr>
        <w:tc>
          <w:tcPr>
            <w:tcW w:w="4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1176020</wp:posOffset>
            </wp:positionH>
            <wp:positionV relativeFrom="paragraph">
              <wp:posOffset>-929640</wp:posOffset>
            </wp:positionV>
            <wp:extent cx="3591560" cy="914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extLst>
                    </a:blip>
                    <a:srcRect/>
                    <a:stretch>
                      <a:fillRect/>
                    </a:stretch>
                  </pic:blipFill>
                  <pic:spPr bwMode="auto">
                    <a:xfrm>
                      <a:off x="0" y="0"/>
                      <a:ext cx="3591560" cy="914400"/>
                    </a:xfrm>
                    <a:prstGeom prst="rect">
                      <a:avLst/>
                    </a:prstGeom>
                    <a:noFill/>
                  </pic:spPr>
                </pic:pic>
              </a:graphicData>
            </a:graphic>
          </wp:anchor>
        </w:drawing>
      </w:r>
    </w:p>
    <w:p>
      <w:pPr>
        <w:spacing w:after="0" w:line="2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Amortization expense was $1.9 million for the year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Warrants</w:t>
      </w:r>
    </w:p>
    <w:p>
      <w:pPr>
        <w:spacing w:after="0" w:line="124"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color w:val="auto"/>
        </w:rPr>
        <w:t xml:space="preserve">The Company has issued multiple warrant series, of which the 2018 PIPE Warrants were determined to be liabilities pursuant to the guidance established by </w:t>
      </w:r>
      <w:r>
        <w:rPr>
          <w:rFonts w:ascii="Times New Roman" w:cs="Times New Roman" w:eastAsia="Times New Roman" w:hAnsi="Times New Roman"/>
          <w:sz w:val="20"/>
          <w:szCs w:val="20"/>
          <w:i w:val="1"/>
          <w:iCs w:val="1"/>
          <w:color w:val="auto"/>
        </w:rPr>
        <w:t>ASC 815 Derivatives and Hedging.</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360"/>
          </w:cols>
          <w:pgMar w:left="1440" w:top="1416" w:right="1440" w:bottom="175"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i w:val="1"/>
          <w:iCs w:val="1"/>
          <w:color w:val="auto"/>
        </w:rPr>
        <w:t>Warrants Issued as Part of the Units in the 2018 PIPE Offering</w:t>
      </w:r>
    </w:p>
    <w:p>
      <w:pPr>
        <w:spacing w:after="0" w:line="120" w:lineRule="exact"/>
        <w:rPr>
          <w:sz w:val="20"/>
          <w:szCs w:val="20"/>
          <w:color w:val="auto"/>
        </w:rPr>
      </w:pPr>
    </w:p>
    <w:p>
      <w:pPr>
        <w:ind w:right="20" w:firstLine="490"/>
        <w:spacing w:after="0" w:line="270" w:lineRule="auto"/>
        <w:rPr>
          <w:sz w:val="20"/>
          <w:szCs w:val="20"/>
          <w:color w:val="auto"/>
        </w:rPr>
      </w:pPr>
      <w:r>
        <w:rPr>
          <w:rFonts w:ascii="Times New Roman" w:cs="Times New Roman" w:eastAsia="Times New Roman" w:hAnsi="Times New Roman"/>
          <w:sz w:val="19"/>
          <w:szCs w:val="19"/>
          <w:color w:val="auto"/>
        </w:rPr>
        <w:t>The 2018 PIPE Warrants were issued on December 19, 2018 in the 2018 PIPE Offering, pursuant to a Warrant Agreement with each of the investors in the 2018 PIPE Offering, and entitle the holders to purchase 34,231 shares of the Company’s common stock at an exercise price equal to $30.00 per share, subject to adjustment as discussed below, at any time commencing upon issuance of the 2018 PIPE Warrants and terminating on December 21, 2023.</w:t>
      </w:r>
    </w:p>
    <w:p>
      <w:pPr>
        <w:spacing w:after="0" w:line="177"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auto"/>
        </w:rPr>
        <w:t>The exercise price and number of shares of common stock issuable upon exercise of the 2018 PIPE Warrants may be adjusted in certain circumstances, including in the event of a stock split, stock dividend, extraordinary dividend, or recapitalization, reorganization, merger or consolidation. However, the exercise price of the 2018 PIPE Warrants will not be reduced below $30.00.</w:t>
      </w:r>
    </w:p>
    <w:p>
      <w:pPr>
        <w:spacing w:after="0" w:line="194" w:lineRule="exact"/>
        <w:rPr>
          <w:sz w:val="20"/>
          <w:szCs w:val="20"/>
          <w:color w:val="auto"/>
        </w:rPr>
      </w:pPr>
    </w:p>
    <w:p>
      <w:pPr>
        <w:jc w:val="both"/>
        <w:ind w:right="400" w:firstLine="490"/>
        <w:spacing w:after="0" w:line="258" w:lineRule="auto"/>
        <w:rPr>
          <w:sz w:val="20"/>
          <w:szCs w:val="20"/>
          <w:color w:val="auto"/>
        </w:rPr>
      </w:pPr>
      <w:r>
        <w:rPr>
          <w:rFonts w:ascii="Times New Roman" w:cs="Times New Roman" w:eastAsia="Times New Roman" w:hAnsi="Times New Roman"/>
          <w:sz w:val="20"/>
          <w:szCs w:val="20"/>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Black-Scholes methodology.</w:t>
      </w:r>
    </w:p>
    <w:p>
      <w:pPr>
        <w:spacing w:after="0" w:line="188"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Since the Company may be obligated to settle the 2018 PIPE Warrants in cash, the Company classified the 2018 PIPE Warrants as long-term liabilities at their fair value and will re-measure the warrants at each balance sheet date until they are exercised or expire. Any change in the fair value is recognized as Other income (expense) in the Company’s consolidated statements of operations and comprehensive loss.</w:t>
      </w:r>
    </w:p>
    <w:p>
      <w:pPr>
        <w:spacing w:after="0" w:line="194"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auto"/>
        </w:rPr>
        <w:t>As of December 31, 2022 and 2021, the fair value of the 2018 PIPE Warrants was estimated at approximately $1,000 and $31,000, respectively. The $30,000 and $0.5 million decrease in the fair value of the liability for the 2018 PIPE Warrants during the years ended December 31, 2022 and 2021, respectively, was recorded as Other income in the consolidated statements of operations.</w:t>
      </w:r>
    </w:p>
    <w:p>
      <w:pPr>
        <w:spacing w:after="0" w:line="194"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auto"/>
        </w:rPr>
        <w:t>The Company has calculated the fair value of the 2018 PIPE Warrants using a Black-Scholes option-pricing model. The following summarizes certain key assumptions used in estimating the fair values: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6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6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Volatility</w:t>
            </w:r>
          </w:p>
        </w:tc>
        <w:tc>
          <w:tcPr>
            <w:tcW w:w="144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150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20" w:type="dxa"/>
            <w:vAlign w:val="bottom"/>
            <w:vMerge w:val="continue"/>
          </w:tcPr>
          <w:p>
            <w:pPr>
              <w:spacing w:after="0"/>
              <w:rPr>
                <w:sz w:val="17"/>
                <w:szCs w:val="17"/>
                <w:color w:val="auto"/>
              </w:rPr>
            </w:pPr>
          </w:p>
        </w:tc>
        <w:tc>
          <w:tcPr>
            <w:tcW w:w="1680" w:type="dxa"/>
            <w:vAlign w:val="bottom"/>
            <w:gridSpan w:val="2"/>
          </w:tcPr>
          <w:p>
            <w:pPr>
              <w:jc w:val="right"/>
              <w:ind w:right="80"/>
              <w:spacing w:after="0" w:line="201" w:lineRule="exact"/>
              <w:rPr>
                <w:sz w:val="20"/>
                <w:szCs w:val="20"/>
                <w:color w:val="auto"/>
              </w:rPr>
            </w:pPr>
            <w:r>
              <w:rPr>
                <w:rFonts w:ascii="Times New Roman" w:cs="Times New Roman" w:eastAsia="Times New Roman" w:hAnsi="Times New Roman"/>
                <w:sz w:val="20"/>
                <w:szCs w:val="20"/>
                <w:color w:val="auto"/>
              </w:rPr>
              <w:t>117%</w:t>
            </w:r>
          </w:p>
        </w:tc>
        <w:tc>
          <w:tcPr>
            <w:tcW w:w="16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20"/>
                <w:szCs w:val="20"/>
                <w:color w:val="auto"/>
              </w:rPr>
              <w:t>Contractual term (years)</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6"/>
        </w:trPr>
        <w:tc>
          <w:tcPr>
            <w:tcW w:w="6020" w:type="dxa"/>
            <w:vAlign w:val="bottom"/>
          </w:tcPr>
          <w:p>
            <w:pPr>
              <w:spacing w:after="0"/>
              <w:rPr>
                <w:sz w:val="20"/>
                <w:szCs w:val="20"/>
                <w:color w:val="auto"/>
              </w:rPr>
            </w:pPr>
            <w:r>
              <w:rPr>
                <w:rFonts w:ascii="Times New Roman" w:cs="Times New Roman" w:eastAsia="Times New Roman" w:hAnsi="Times New Roman"/>
                <w:sz w:val="20"/>
                <w:szCs w:val="20"/>
                <w:color w:val="auto"/>
              </w:rPr>
              <w:t>Risk-free rate</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4.74%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-613410</wp:posOffset>
            </wp:positionV>
            <wp:extent cx="5969000" cy="615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extLst>
                    </a:blip>
                    <a:srcRect/>
                    <a:stretch>
                      <a:fillRect/>
                    </a:stretch>
                  </pic:blipFill>
                  <pic:spPr bwMode="auto">
                    <a:xfrm>
                      <a:off x="0" y="0"/>
                      <a:ext cx="5969000" cy="615950"/>
                    </a:xfrm>
                    <a:prstGeom prst="rect">
                      <a:avLst/>
                    </a:prstGeom>
                    <a:noFill/>
                  </pic:spPr>
                </pic:pic>
              </a:graphicData>
            </a:graphic>
          </wp:anchor>
        </w:drawing>
      </w:r>
    </w:p>
    <w:p>
      <w:pPr>
        <w:spacing w:after="0" w:line="220"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auto"/>
        </w:rPr>
        <w:t>The Black-Scholes option-pricing model requires the use of highly subjective assumptions to estimate the fair value of stock-based awards. These assumptions include the following estimates.</w:t>
      </w:r>
    </w:p>
    <w:p>
      <w:pPr>
        <w:spacing w:after="0" w:line="63" w:lineRule="exact"/>
        <w:rPr>
          <w:sz w:val="20"/>
          <w:szCs w:val="20"/>
          <w:color w:val="auto"/>
        </w:rPr>
      </w:pPr>
    </w:p>
    <w:p>
      <w:pPr>
        <w:ind w:left="860" w:right="320" w:hanging="370"/>
        <w:spacing w:after="0" w:line="304" w:lineRule="auto"/>
        <w:tabs>
          <w:tab w:leader="none" w:pos="860"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Volatility: </w:t>
      </w:r>
      <w:r>
        <w:rPr>
          <w:rFonts w:ascii="Times New Roman" w:cs="Times New Roman" w:eastAsia="Times New Roman" w:hAnsi="Times New Roman"/>
          <w:sz w:val="19"/>
          <w:szCs w:val="19"/>
          <w:color w:val="auto"/>
        </w:rPr>
        <w:t>The Company calculated the estimated volatility rate for stock options granted based on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volatility of its common stock for a historical period equal to the expected life of the stock options.</w:t>
      </w:r>
    </w:p>
    <w:p>
      <w:pPr>
        <w:spacing w:after="0" w:line="39" w:lineRule="exact"/>
        <w:rPr>
          <w:rFonts w:ascii="Arial" w:cs="Arial" w:eastAsia="Arial" w:hAnsi="Arial"/>
          <w:sz w:val="19"/>
          <w:szCs w:val="19"/>
          <w:color w:val="auto"/>
        </w:rPr>
      </w:pPr>
    </w:p>
    <w:p>
      <w:pPr>
        <w:ind w:left="860" w:right="680" w:hanging="370"/>
        <w:spacing w:after="0" w:line="276" w:lineRule="auto"/>
        <w:tabs>
          <w:tab w:leader="none" w:pos="86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Contractual term: </w:t>
      </w:r>
      <w:r>
        <w:rPr>
          <w:rFonts w:ascii="Times New Roman" w:cs="Times New Roman" w:eastAsia="Times New Roman" w:hAnsi="Times New Roman"/>
          <w:sz w:val="20"/>
          <w:szCs w:val="20"/>
          <w:color w:val="auto"/>
        </w:rPr>
        <w:t>The expected life of the warrants, which is based on the contractual term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warrants.</w:t>
      </w:r>
    </w:p>
    <w:p>
      <w:pPr>
        <w:spacing w:after="0" w:line="64" w:lineRule="exact"/>
        <w:rPr>
          <w:rFonts w:ascii="Arial" w:cs="Arial" w:eastAsia="Arial" w:hAnsi="Arial"/>
          <w:sz w:val="20"/>
          <w:szCs w:val="20"/>
          <w:color w:val="auto"/>
        </w:rPr>
      </w:pPr>
    </w:p>
    <w:p>
      <w:pPr>
        <w:jc w:val="both"/>
        <w:ind w:left="860" w:right="560" w:hanging="370"/>
        <w:spacing w:after="0" w:line="258" w:lineRule="auto"/>
        <w:tabs>
          <w:tab w:leader="none" w:pos="86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Expected dividend yield: </w:t>
      </w:r>
      <w:r>
        <w:rPr>
          <w:rFonts w:ascii="Times New Roman" w:cs="Times New Roman" w:eastAsia="Times New Roman" w:hAnsi="Times New Roman"/>
          <w:sz w:val="20"/>
          <w:szCs w:val="20"/>
          <w:color w:val="auto"/>
        </w:rPr>
        <w:t>The Company has never declared or paid any cash dividends and does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currently plan to pay cash dividends in the foreseeable future. Consequently, the Company used an expected dividend yield of zero.</w:t>
      </w:r>
    </w:p>
    <w:p>
      <w:pPr>
        <w:spacing w:after="0" w:line="81" w:lineRule="exact"/>
        <w:rPr>
          <w:rFonts w:ascii="Arial" w:cs="Arial" w:eastAsia="Arial" w:hAnsi="Arial"/>
          <w:sz w:val="20"/>
          <w:szCs w:val="20"/>
          <w:color w:val="auto"/>
        </w:rPr>
      </w:pPr>
    </w:p>
    <w:p>
      <w:pPr>
        <w:ind w:left="860" w:right="480" w:hanging="370"/>
        <w:spacing w:after="0" w:line="276" w:lineRule="auto"/>
        <w:tabs>
          <w:tab w:leader="none" w:pos="86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Risk-free rate: </w:t>
      </w:r>
      <w:r>
        <w:rPr>
          <w:rFonts w:ascii="Times New Roman" w:cs="Times New Roman" w:eastAsia="Times New Roman" w:hAnsi="Times New Roman"/>
          <w:sz w:val="20"/>
          <w:szCs w:val="20"/>
          <w:color w:val="auto"/>
        </w:rPr>
        <w:t>The risk-free interest rate is based on the U.S. Treasury rate for similar periods as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expected life of the warrants.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Leases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20"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auto"/>
        </w:rPr>
        <w:t>In July 2019, the Company executed a non-cancellable lease agreement for 6,368 square feet of new space in Redwood City, California, which began in September 2019 and expired in May 2021. In April 2021, the Company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360"/>
          </w:cols>
          <w:pgMar w:left="1440" w:top="1420" w:right="1440" w:bottom="175" w:gutter="0" w:footer="0" w:header="0"/>
          <w:type w:val="continuous"/>
        </w:sectPr>
      </w:pPr>
    </w:p>
    <w:bookmarkStart w:id="76" w:name="page77"/>
    <w:bookmarkEnd w:id="76"/>
    <w:p>
      <w:pPr>
        <w:ind w:right="40"/>
        <w:spacing w:after="0" w:line="247" w:lineRule="auto"/>
        <w:rPr>
          <w:sz w:val="20"/>
          <w:szCs w:val="20"/>
          <w:color w:val="auto"/>
        </w:rPr>
      </w:pPr>
      <w:r>
        <w:rPr>
          <w:rFonts w:ascii="Times New Roman" w:cs="Times New Roman" w:eastAsia="Times New Roman" w:hAnsi="Times New Roman"/>
          <w:sz w:val="20"/>
          <w:szCs w:val="20"/>
          <w:color w:val="auto"/>
        </w:rPr>
        <w:t>executed a non-cancellable operating lease agreement for the same 6,368 square feet of space, which began in June 2021 and expires in May 2023. The lease that expired in May 2021 also provided the Company with the right to use office furniture in the space and allowed the purchase of this furniture at the end of the lease term for $1. The Company has accounted for both leases of office space as operating leases. The office furniture included in the lease that expired in May 2021 was accounted for as a finance lease based on its relative standalone price as compared to the office space.</w:t>
      </w:r>
    </w:p>
    <w:p>
      <w:pPr>
        <w:spacing w:after="0" w:line="80"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The Company’s operating lease ROU assets, current operating lease liabilities and long-term operating lease liabilities each appear as a separate line within the Company’s consolidated balance sheet. There were no current and long-term finance lease liabilities as of December 31, 2022 and December 31, 2021. As of December 31, 2022 and December 31, 2021, the Company’s short-term liabilities were equal to $0.2 million and $0.3 million, respectively, and the long-term operating lease liabilities were equal to $0.2 million as of December 31, 2021.</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components of lease expense were as follows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1024"/>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155"/>
        </w:trPr>
        <w:tc>
          <w:tcPr>
            <w:tcW w:w="6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126"/>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124"/>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6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lease cost:</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0"/>
        </w:trPr>
        <w:tc>
          <w:tcPr>
            <w:tcW w:w="6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 cost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0" w:type="dxa"/>
            <w:vAlign w:val="bottom"/>
          </w:tcPr>
          <w:p>
            <w:pPr>
              <w:spacing w:after="0"/>
              <w:rPr>
                <w:sz w:val="1"/>
                <w:szCs w:val="1"/>
                <w:color w:val="auto"/>
              </w:rPr>
            </w:pPr>
          </w:p>
        </w:tc>
      </w:tr>
      <w:tr>
        <w:trPr>
          <w:trHeight w:val="230"/>
        </w:trPr>
        <w:tc>
          <w:tcPr>
            <w:tcW w:w="6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Variable lease cost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49"/>
        </w:trPr>
        <w:tc>
          <w:tcPr>
            <w:tcW w:w="6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Short-term lease cost</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20"/>
        </w:trPr>
        <w:tc>
          <w:tcPr>
            <w:tcW w:w="61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 operating lease cost</w:t>
            </w: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353</w:t>
            </w: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346</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Finance lease cost:</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6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Amortization of right-of-use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49"/>
        </w:trPr>
        <w:tc>
          <w:tcPr>
            <w:tcW w:w="6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on lease liabilities</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61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 finance lease cost</w:t>
            </w: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-1548765</wp:posOffset>
            </wp:positionV>
            <wp:extent cx="5969000" cy="1533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extLst>
                        <a:ext uri="{28A0092B-C50C-407E-A947-70E740481C1C}"/>
                      </a:extLst>
                    </a:blip>
                    <a:srcRect/>
                    <a:stretch>
                      <a:fillRect/>
                    </a:stretch>
                  </pic:blipFill>
                  <pic:spPr bwMode="auto">
                    <a:xfrm>
                      <a:off x="0" y="0"/>
                      <a:ext cx="5969000" cy="153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Supplemental cash flow information related to leases was as follows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7060" w:type="dxa"/>
            <w:vAlign w:val="bottom"/>
          </w:tcPr>
          <w:p>
            <w:pPr>
              <w:spacing w:after="0"/>
              <w:rPr>
                <w:sz w:val="13"/>
                <w:szCs w:val="13"/>
                <w:color w:val="auto"/>
              </w:rPr>
            </w:pPr>
          </w:p>
        </w:tc>
        <w:tc>
          <w:tcPr>
            <w:tcW w:w="9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Pr>
          <w:p>
            <w:pPr>
              <w:spacing w:after="0"/>
              <w:rPr>
                <w:sz w:val="13"/>
                <w:szCs w:val="13"/>
                <w:color w:val="auto"/>
              </w:rPr>
            </w:pPr>
          </w:p>
        </w:tc>
        <w:tc>
          <w:tcPr>
            <w:tcW w:w="9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3"/>
        </w:trPr>
        <w:tc>
          <w:tcPr>
            <w:tcW w:w="7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00"/>
        </w:trPr>
        <w:tc>
          <w:tcPr>
            <w:tcW w:w="70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cash flows from operating leases</w:t>
            </w:r>
          </w:p>
        </w:tc>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w:t>
            </w: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w:t>
            </w:r>
          </w:p>
        </w:tc>
        <w:tc>
          <w:tcPr>
            <w:tcW w:w="0" w:type="dxa"/>
            <w:vAlign w:val="bottom"/>
          </w:tcPr>
          <w:p>
            <w:pPr>
              <w:spacing w:after="0"/>
              <w:rPr>
                <w:sz w:val="1"/>
                <w:szCs w:val="1"/>
                <w:color w:val="auto"/>
              </w:rPr>
            </w:pPr>
          </w:p>
        </w:tc>
      </w:tr>
      <w:tr>
        <w:trPr>
          <w:trHeight w:val="230"/>
        </w:trPr>
        <w:tc>
          <w:tcPr>
            <w:tcW w:w="70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cash flows from finance leases</w:t>
            </w:r>
          </w:p>
        </w:tc>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6"/>
        </w:trPr>
        <w:tc>
          <w:tcPr>
            <w:tcW w:w="70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Financing cash flows from finance leases</w:t>
            </w:r>
          </w:p>
        </w:tc>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-613410</wp:posOffset>
            </wp:positionV>
            <wp:extent cx="5969000" cy="7620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a:extLst>
                        <a:ext uri="{28A0092B-C50C-407E-A947-70E740481C1C}"/>
                      </a:extLst>
                    </a:blip>
                    <a:srcRect/>
                    <a:stretch>
                      <a:fillRect/>
                    </a:stretch>
                  </pic:blipFill>
                  <pic:spPr bwMode="auto">
                    <a:xfrm>
                      <a:off x="0" y="0"/>
                      <a:ext cx="5969000" cy="76200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is a schedule by year of future maturities of the Company’s operating lease liabilities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2022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156845</wp:posOffset>
            </wp:positionV>
            <wp:extent cx="5969000" cy="622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3">
                      <a:extLst>
                        <a:ext uri="{28A0092B-C50C-407E-A947-70E740481C1C}"/>
                      </a:extLst>
                    </a:blip>
                    <a:srcRect/>
                    <a:stretch>
                      <a:fillRect/>
                    </a:stretch>
                  </pic:blipFill>
                  <pic:spPr bwMode="auto">
                    <a:xfrm>
                      <a:off x="0" y="0"/>
                      <a:ext cx="5969000" cy="62230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2023</w:t>
            </w:r>
          </w:p>
        </w:tc>
        <w:tc>
          <w:tcPr>
            <w:tcW w:w="2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80" w:type="dxa"/>
            <w:vAlign w:val="bottom"/>
          </w:tcPr>
          <w:p>
            <w:pPr>
              <w:spacing w:after="0"/>
              <w:rPr>
                <w:sz w:val="21"/>
                <w:szCs w:val="21"/>
                <w:color w:val="auto"/>
              </w:rPr>
            </w:pPr>
          </w:p>
        </w:tc>
      </w:tr>
      <w:tr>
        <w:trPr>
          <w:trHeight w:val="201"/>
        </w:trPr>
        <w:tc>
          <w:tcPr>
            <w:tcW w:w="7300" w:type="dxa"/>
            <w:vAlign w:val="bottom"/>
          </w:tcPr>
          <w:p>
            <w:pPr>
              <w:ind w:left="200"/>
              <w:spacing w:after="0" w:line="201" w:lineRule="exact"/>
              <w:rPr>
                <w:sz w:val="20"/>
                <w:szCs w:val="20"/>
                <w:color w:val="auto"/>
              </w:rPr>
            </w:pPr>
            <w:r>
              <w:rPr>
                <w:rFonts w:ascii="Times New Roman" w:cs="Times New Roman" w:eastAsia="Times New Roman" w:hAnsi="Times New Roman"/>
                <w:sz w:val="20"/>
                <w:szCs w:val="20"/>
                <w:color w:val="auto"/>
              </w:rPr>
              <w:t>Total lease payments</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159</w:t>
            </w:r>
          </w:p>
        </w:tc>
        <w:tc>
          <w:tcPr>
            <w:tcW w:w="80" w:type="dxa"/>
            <w:vAlign w:val="bottom"/>
          </w:tcPr>
          <w:p>
            <w:pPr>
              <w:spacing w:after="0"/>
              <w:rPr>
                <w:sz w:val="17"/>
                <w:szCs w:val="17"/>
                <w:color w:val="auto"/>
              </w:rPr>
            </w:pPr>
          </w:p>
        </w:tc>
      </w:tr>
      <w:tr>
        <w:trPr>
          <w:trHeight w:val="249"/>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Less interest</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20"/>
        </w:trPr>
        <w:tc>
          <w:tcPr>
            <w:tcW w:w="730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155</w:t>
            </w:r>
          </w:p>
        </w:tc>
        <w:tc>
          <w:tcPr>
            <w:tcW w:w="8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360"/>
          </w:cols>
          <w:pgMar w:left="1440" w:top="1420" w:right="1440" w:bottom="175" w:gutter="0" w:footer="0" w:header="0"/>
          <w:type w:val="continuous"/>
        </w:sectPr>
      </w:pPr>
    </w:p>
    <w:bookmarkStart w:id="77" w:name="page78"/>
    <w:bookmarkEnd w:id="77"/>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The weighted-average remaining lease term was 0.4 as of December 31, 2022 for the operating leases, and 1.4 years as of December 31, 2021 for both the operating and finance leases. The weighted average discount rate related to the Company’s operating lease liabilities was 9% as of December 31, 2022 for the operating leases, and 9% as of December 31, 2021 for both the operating and financing leases. The Company lease discount rates are based on estimates of its incremental borrowing rate, as the discount rates implicit in the Company’s leases cannot be readily determined. As the Company does not have any outstanding debt the Company estimates the incremental borrowing rate based on its estimated credit rating and available market information.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Commitments and Contingencies</w:t>
      </w:r>
    </w:p>
    <w:p>
      <w:pPr>
        <w:spacing w:after="0" w:line="124"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Stockholders’ Equity (Deficit)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Preferred Stock</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Company is authorized to issue 10,000,000 shares of Preferred Stock.</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Securities Purchase Agreement</w:t>
      </w:r>
    </w:p>
    <w:p>
      <w:pPr>
        <w:spacing w:after="0" w:line="24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On December 16, 2022, the Company entered into a Securities Purchase Agreement for a private placement (“Private Placement”) with certain entities and members of management (collectively, “Purchasers”). Pursuant to the Securities Purchase Agreement, the Company agreed to sell to the Purchasers warrants to purchase up to an aggregate of 22,598,870 shares of the Company’s common stock, at a purchase price of $0.4425 per warrant. The closing of the Private Placement is expected to occur in the second quarter of 2023 (“Issue Date”), subject to the satisfaction of certain closing conditions, including the completion of enrollment in the randomized withdrawal period of Study C602, an ongoing open-label extension study of DCCR for the treatment of PWS.</w:t>
      </w:r>
    </w:p>
    <w:p>
      <w:pPr>
        <w:spacing w:after="0" w:line="20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The warrants are separated into two tranches with 8,598,870 Tranche A Warrants and 14,000,000 Tranche B Warrants. The Tranche A warrants are exercisable for $1.75 per share, with an aggregate exercise price of up to approximately $15.0 million, and the Tranche B warrants are exercisable for $2.50 per share, with an aggregate exercise price of up to $35.0 million. The Tranche A warrants are immediately exercisable and must be exercised within 30 days of announcement of positive top-line data from the randomized withdrawal period of Study C602 and will expire if positive top-line data is not announced prior to the 3.5 year anniversary of the date of issuance. The Tranche B warrants are also immediately exercisable and expire upon the earlier of 3.5 years from the date of issuance or 30 days following receipt of U.S. Food and Drug Administration approval of DCCR for the treatment of PWS.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360"/>
          </w:cols>
          <w:pgMar w:left="1440" w:top="1420" w:right="1440" w:bottom="175"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i w:val="1"/>
          <w:iCs w:val="1"/>
          <w:color w:val="auto"/>
        </w:rPr>
        <w:t>Underwritten Public Offering</w:t>
      </w:r>
    </w:p>
    <w:p>
      <w:pPr>
        <w:spacing w:after="0" w:line="240"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auto"/>
        </w:rPr>
        <w:t>On March 31, 2022, the Company sold 2,666,666 shares of its common stock at a public offering price of $3.75, and for certain investors, in lieu of common stock, pre-funded warrants (the 2022 pre-funded warrants) to purchase 1,333,333 shares of its common stock at a public offering price $3.60 per pre-funded warrant, which represents the per share public offering price for the common stock less the $0.15 per share exercise price for each 2022 pre-funded warrant. The 2022 pre-funded warrants are immediately exercisable and may be exercised at any time until all of the 2022 pre-funded warrants are exercised in full. Each share of common stock or 2022 pre-funded warrant was sold together with one, immediately exercisable, common warrant (the 2022 common warrants) with a five-year term to purchase one share of common stock at an exercise price of $4.50 per share. The net proceeds of the offering were $13.8 million, after deducting the underwriting discount and other offering expenses. The Company is not required under any circumstance to settle any of the 2022 pre-funded warrants or the 2022 common warrants for cash, and therefore classified both types of warrants as permanent equity.</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 the Market Offering</w:t>
      </w:r>
    </w:p>
    <w:p>
      <w:pPr>
        <w:spacing w:after="0" w:line="110" w:lineRule="exact"/>
        <w:rPr>
          <w:sz w:val="20"/>
          <w:szCs w:val="20"/>
          <w:color w:val="auto"/>
        </w:rPr>
      </w:pPr>
    </w:p>
    <w:p>
      <w:pPr>
        <w:ind w:right="100" w:firstLine="490"/>
        <w:spacing w:after="0" w:line="239" w:lineRule="auto"/>
        <w:rPr>
          <w:sz w:val="20"/>
          <w:szCs w:val="20"/>
          <w:color w:val="auto"/>
        </w:rPr>
      </w:pPr>
      <w:r>
        <w:rPr>
          <w:rFonts w:ascii="Times New Roman" w:cs="Times New Roman" w:eastAsia="Times New Roman" w:hAnsi="Times New Roman"/>
          <w:sz w:val="20"/>
          <w:szCs w:val="20"/>
          <w:color w:val="auto"/>
        </w:rPr>
        <w:t>In July 2021, the Company entered into a Controlled Equity Offering Sales Agreement under which the Company may sell shares of its common stock having an aggregate offering price of up to $25.0 million from time to time in any method permitted by law deemed to be an “at the market” Rule 415 under the Securities Act of 1933, as amended. As of December 31, 2022, we have sold 104,773 shares of common stock through the at the market program, totaling $0.3 million in net proceeds.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Common Stock Warrants</w:t>
      </w:r>
    </w:p>
    <w:p>
      <w:pPr>
        <w:spacing w:after="0" w:line="110" w:lineRule="exact"/>
        <w:rPr>
          <w:sz w:val="20"/>
          <w:szCs w:val="20"/>
          <w:color w:val="auto"/>
        </w:rPr>
      </w:pPr>
    </w:p>
    <w:p>
      <w:pPr>
        <w:ind w:right="100" w:firstLine="490"/>
        <w:spacing w:after="0" w:line="242" w:lineRule="auto"/>
        <w:rPr>
          <w:sz w:val="20"/>
          <w:szCs w:val="20"/>
          <w:color w:val="auto"/>
        </w:rPr>
      </w:pPr>
      <w:r>
        <w:rPr>
          <w:rFonts w:ascii="Times New Roman" w:cs="Times New Roman" w:eastAsia="Times New Roman" w:hAnsi="Times New Roman"/>
          <w:sz w:val="20"/>
          <w:szCs w:val="20"/>
          <w:color w:val="auto"/>
        </w:rPr>
        <w:t>As of December 31, 2022, the Company had 6,804 common stock warrants outstanding from the 2010/2012 convertible notes, with an exercise price of $365.25 and a term of 10 years expiring in November 2024. The Company also had outstanding 1,100 common stock warrants issued to the underwriter in the Company’s IPO, with an exercise price of $535.50 and a term of 10 years, expiring in November 2024.</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Incentive Plans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2014 Plan</w:t>
      </w:r>
    </w:p>
    <w:p>
      <w:pPr>
        <w:spacing w:after="0" w:line="116" w:lineRule="exact"/>
        <w:rPr>
          <w:sz w:val="20"/>
          <w:szCs w:val="20"/>
          <w:color w:val="auto"/>
        </w:rPr>
      </w:pPr>
    </w:p>
    <w:p>
      <w:pPr>
        <w:ind w:right="120" w:firstLine="490"/>
        <w:spacing w:after="0" w:line="239" w:lineRule="auto"/>
        <w:rPr>
          <w:sz w:val="20"/>
          <w:szCs w:val="20"/>
          <w:color w:val="auto"/>
        </w:rPr>
      </w:pPr>
      <w:r>
        <w:rPr>
          <w:rFonts w:ascii="Times New Roman" w:cs="Times New Roman" w:eastAsia="Times New Roman" w:hAnsi="Times New Roman"/>
          <w:sz w:val="20"/>
          <w:szCs w:val="20"/>
          <w:color w:val="auto"/>
        </w:rPr>
        <w:t>The Company has the 2014 Equity Incentive Plan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197" w:lineRule="exact"/>
        <w:rPr>
          <w:sz w:val="20"/>
          <w:szCs w:val="20"/>
          <w:color w:val="auto"/>
        </w:rPr>
      </w:pPr>
    </w:p>
    <w:p>
      <w:pPr>
        <w:ind w:right="160" w:firstLine="490"/>
        <w:spacing w:after="0" w:line="235" w:lineRule="auto"/>
        <w:rPr>
          <w:sz w:val="20"/>
          <w:szCs w:val="20"/>
          <w:color w:val="auto"/>
        </w:rPr>
      </w:pPr>
      <w:r>
        <w:rPr>
          <w:rFonts w:ascii="Times New Roman" w:cs="Times New Roman" w:eastAsia="Times New Roman" w:hAnsi="Times New Roman"/>
          <w:sz w:val="20"/>
          <w:szCs w:val="20"/>
          <w:color w:val="auto"/>
        </w:rPr>
        <w:t>The Board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The vesting period for service-based stock options is normally monthly over a period of 4 years from the vesting date. Performance-based grants have vesting contingent upon the achievement of certain performance criteria related to the Company’s commercialization of its therapeutics.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w:t>
      </w:r>
    </w:p>
    <w:p>
      <w:pPr>
        <w:spacing w:after="0" w:line="197" w:lineRule="exact"/>
        <w:rPr>
          <w:sz w:val="20"/>
          <w:szCs w:val="20"/>
          <w:color w:val="auto"/>
        </w:rPr>
      </w:pPr>
    </w:p>
    <w:p>
      <w:pPr>
        <w:ind w:right="660" w:firstLine="490"/>
        <w:spacing w:after="0" w:line="360" w:lineRule="auto"/>
        <w:rPr>
          <w:sz w:val="20"/>
          <w:szCs w:val="20"/>
          <w:color w:val="auto"/>
        </w:rPr>
      </w:pPr>
      <w:r>
        <w:rPr>
          <w:rFonts w:ascii="Times New Roman" w:cs="Times New Roman" w:eastAsia="Times New Roman" w:hAnsi="Times New Roman"/>
          <w:sz w:val="20"/>
          <w:szCs w:val="20"/>
          <w:color w:val="auto"/>
        </w:rPr>
        <w:t xml:space="preserve">As of December 31, 2022, a total of 16,930 shares were available for future grant under the 2014 Plan. </w:t>
      </w:r>
      <w:r>
        <w:rPr>
          <w:rFonts w:ascii="Times New Roman" w:cs="Times New Roman" w:eastAsia="Times New Roman" w:hAnsi="Times New Roman"/>
          <w:sz w:val="20"/>
          <w:szCs w:val="20"/>
          <w:b w:val="1"/>
          <w:bCs w:val="1"/>
          <w:color w:val="auto"/>
        </w:rPr>
        <w:t>Inducement Plan</w:t>
      </w:r>
    </w:p>
    <w:p>
      <w:pPr>
        <w:ind w:right="100" w:firstLine="490"/>
        <w:spacing w:after="0" w:line="242" w:lineRule="auto"/>
        <w:rPr>
          <w:sz w:val="20"/>
          <w:szCs w:val="20"/>
          <w:color w:val="auto"/>
        </w:rPr>
      </w:pPr>
      <w:r>
        <w:rPr>
          <w:rFonts w:ascii="Times New Roman" w:cs="Times New Roman" w:eastAsia="Times New Roman" w:hAnsi="Times New Roman"/>
          <w:sz w:val="20"/>
          <w:szCs w:val="20"/>
          <w:color w:val="auto"/>
        </w:rPr>
        <w:t>The Company maintains the 2020 Inducement Equity Incentive Plan (the Inducement Plan). The Inducement Plan provides for the grant of equity-based awards, including non-statutory stock options, restricted stock units, restricted stock, stock appreciation rights, performance shares and performance units, and its terms are substantially similar to the Company’s 2014 Equity Incentive Plan.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360"/>
          </w:cols>
          <w:pgMar w:left="1440" w:top="1420" w:right="1440" w:bottom="175" w:gutter="0" w:footer="0" w:header="0"/>
          <w:type w:val="continuous"/>
        </w:sectPr>
      </w:pPr>
    </w:p>
    <w:bookmarkStart w:id="79" w:name="page80"/>
    <w:bookmarkEnd w:id="79"/>
    <w:p>
      <w:pPr>
        <w:ind w:right="400" w:firstLine="490"/>
        <w:spacing w:after="0" w:line="239" w:lineRule="auto"/>
        <w:rPr>
          <w:sz w:val="20"/>
          <w:szCs w:val="20"/>
          <w:color w:val="auto"/>
        </w:rPr>
      </w:pPr>
      <w:r>
        <w:rPr>
          <w:rFonts w:ascii="Times New Roman" w:cs="Times New Roman" w:eastAsia="Times New Roman" w:hAnsi="Times New Roman"/>
          <w:sz w:val="20"/>
          <w:szCs w:val="20"/>
          <w:color w:val="auto"/>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Rule 5635(c)(3) of the Nasdaq Listing Rules, in connection with a merger or acquisition.</w:t>
      </w:r>
    </w:p>
    <w:p>
      <w:pPr>
        <w:spacing w:after="0" w:line="197" w:lineRule="exact"/>
        <w:rPr>
          <w:sz w:val="20"/>
          <w:szCs w:val="20"/>
          <w:color w:val="auto"/>
        </w:rPr>
      </w:pPr>
    </w:p>
    <w:p>
      <w:pPr>
        <w:ind w:right="120" w:firstLine="490"/>
        <w:spacing w:after="0" w:line="360" w:lineRule="auto"/>
        <w:rPr>
          <w:sz w:val="20"/>
          <w:szCs w:val="20"/>
          <w:color w:val="auto"/>
        </w:rPr>
      </w:pPr>
      <w:r>
        <w:rPr>
          <w:rFonts w:ascii="Times New Roman" w:cs="Times New Roman" w:eastAsia="Times New Roman" w:hAnsi="Times New Roman"/>
          <w:sz w:val="20"/>
          <w:szCs w:val="20"/>
          <w:color w:val="auto"/>
        </w:rPr>
        <w:t xml:space="preserve">As of December 31, 2022, a total of 85,668 shares were available for future grant under the Inducement Plan. </w:t>
      </w:r>
      <w:r>
        <w:rPr>
          <w:rFonts w:ascii="Times New Roman" w:cs="Times New Roman" w:eastAsia="Times New Roman" w:hAnsi="Times New Roman"/>
          <w:sz w:val="20"/>
          <w:szCs w:val="20"/>
          <w:b w:val="1"/>
          <w:bCs w:val="1"/>
          <w:color w:val="auto"/>
        </w:rPr>
        <w:t>Stock-based compensation expense</w:t>
      </w:r>
    </w:p>
    <w:p>
      <w:pPr>
        <w:ind w:right="160" w:firstLine="490"/>
        <w:spacing w:after="0" w:line="239" w:lineRule="auto"/>
        <w:rPr>
          <w:sz w:val="20"/>
          <w:szCs w:val="20"/>
          <w:color w:val="auto"/>
        </w:rPr>
      </w:pPr>
      <w:r>
        <w:rPr>
          <w:rFonts w:ascii="Times New Roman" w:cs="Times New Roman" w:eastAsia="Times New Roman" w:hAnsi="Times New Roman"/>
          <w:sz w:val="20"/>
          <w:szCs w:val="20"/>
          <w:color w:val="auto"/>
        </w:rPr>
        <w:t>The Company recognized stock-based compensation expense related to options and restricted stock units granted to employees, directors and consultants for the years ended December 31, 2022 and 2021 of $2.5 million and $3.3 million, respectively. The compensation expense is allocated on a departmental basis, based on the classification of the option holder. No income tax benefits have been recognized in the statements of operations for stock-based compensation arrangements during the year ended December 31, 2022 and December 31, 2021.</w:t>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Stock compensation expense was allocated between departments as follows (in thousands):</w:t>
      </w:r>
    </w:p>
    <w:p>
      <w:pPr>
        <w:spacing w:after="0" w:line="27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848"/>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155"/>
        </w:trPr>
        <w:tc>
          <w:tcPr>
            <w:tcW w:w="5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70"/>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5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1"/>
        </w:trPr>
        <w:tc>
          <w:tcPr>
            <w:tcW w:w="5680" w:type="dxa"/>
            <w:vAlign w:val="bottom"/>
            <w:vMerge w:val="continue"/>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692</w:t>
            </w:r>
          </w:p>
        </w:tc>
        <w:tc>
          <w:tcPr>
            <w:tcW w:w="16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734</w:t>
            </w:r>
          </w:p>
        </w:tc>
        <w:tc>
          <w:tcPr>
            <w:tcW w:w="0" w:type="dxa"/>
            <w:vAlign w:val="bottom"/>
          </w:tcPr>
          <w:p>
            <w:pPr>
              <w:spacing w:after="0"/>
              <w:rPr>
                <w:sz w:val="1"/>
                <w:szCs w:val="1"/>
                <w:color w:val="auto"/>
              </w:rPr>
            </w:pPr>
          </w:p>
        </w:tc>
      </w:tr>
      <w:tr>
        <w:trPr>
          <w:trHeight w:val="249"/>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1,838</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2,542</w:t>
            </w:r>
          </w:p>
        </w:tc>
        <w:tc>
          <w:tcPr>
            <w:tcW w:w="0" w:type="dxa"/>
            <w:vAlign w:val="bottom"/>
          </w:tcPr>
          <w:p>
            <w:pPr>
              <w:spacing w:after="0"/>
              <w:rPr>
                <w:sz w:val="1"/>
                <w:szCs w:val="1"/>
                <w:color w:val="auto"/>
              </w:rPr>
            </w:pPr>
          </w:p>
        </w:tc>
      </w:tr>
      <w:tr>
        <w:trPr>
          <w:trHeight w:val="220"/>
        </w:trPr>
        <w:tc>
          <w:tcPr>
            <w:tcW w:w="568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2,530</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3,276</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-491490</wp:posOffset>
            </wp:positionV>
            <wp:extent cx="5374640" cy="4762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a:extLst>
                        <a:ext uri="{28A0092B-C50C-407E-A947-70E740481C1C}"/>
                      </a:extLst>
                    </a:blip>
                    <a:srcRect/>
                    <a:stretch>
                      <a:fillRect/>
                    </a:stretch>
                  </pic:blipFill>
                  <pic:spPr bwMode="auto">
                    <a:xfrm>
                      <a:off x="0" y="0"/>
                      <a:ext cx="5374640" cy="47625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Options</w:t>
      </w:r>
    </w:p>
    <w:p>
      <w:pPr>
        <w:spacing w:after="0" w:line="124"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auto"/>
        </w:rPr>
        <w:t>The Company granted options to purchase 283,919 and 230,854 of the Company’s common stock during the years ended December 31, 2022 and 2021, respectively. Of the total options granted during the year ended December 31, 2021, 47,250 were performance-based options, and no performance options were granted in 2022. The fair value of each award granted was estimated on the date of grant using the Black-Scholes option pricing model with the following assumptions:</w:t>
      </w:r>
    </w:p>
    <w:p>
      <w:pPr>
        <w:spacing w:after="0" w:line="233"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20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155"/>
        </w:trPr>
        <w:tc>
          <w:tcPr>
            <w:tcW w:w="4520" w:type="dxa"/>
            <w:vAlign w:val="bottom"/>
          </w:tcPr>
          <w:p>
            <w:pPr>
              <w:spacing w:after="0"/>
              <w:rPr>
                <w:sz w:val="13"/>
                <w:szCs w:val="13"/>
                <w:color w:val="auto"/>
              </w:rPr>
            </w:pPr>
          </w:p>
        </w:tc>
        <w:tc>
          <w:tcPr>
            <w:tcW w:w="96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3"/>
                <w:szCs w:val="13"/>
                <w:color w:val="auto"/>
              </w:rPr>
            </w:pPr>
          </w:p>
        </w:tc>
        <w:tc>
          <w:tcPr>
            <w:tcW w:w="98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4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Expected life (years)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80" w:type="dxa"/>
            <w:vAlign w:val="bottom"/>
            <w:gridSpan w:val="2"/>
          </w:tcPr>
          <w:p>
            <w:pPr>
              <w:jc w:val="center"/>
              <w:ind w:left="2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01"/>
        </w:trPr>
        <w:tc>
          <w:tcPr>
            <w:tcW w:w="4520" w:type="dxa"/>
            <w:vAlign w:val="bottom"/>
            <w:vMerge w:val="continue"/>
          </w:tcPr>
          <w:p>
            <w:pPr>
              <w:spacing w:after="0"/>
              <w:rPr>
                <w:sz w:val="17"/>
                <w:szCs w:val="17"/>
                <w:color w:val="auto"/>
              </w:rPr>
            </w:pPr>
          </w:p>
        </w:tc>
        <w:tc>
          <w:tcPr>
            <w:tcW w:w="9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8"/>
              </w:rPr>
              <w:t>5.5-6.0</w:t>
            </w:r>
          </w:p>
        </w:tc>
        <w:tc>
          <w:tcPr>
            <w:tcW w:w="100" w:type="dxa"/>
            <w:vAlign w:val="bottom"/>
          </w:tcPr>
          <w:p>
            <w:pPr>
              <w:spacing w:after="0"/>
              <w:rPr>
                <w:sz w:val="17"/>
                <w:szCs w:val="17"/>
                <w:color w:val="auto"/>
              </w:rPr>
            </w:pPr>
          </w:p>
        </w:tc>
        <w:tc>
          <w:tcPr>
            <w:tcW w:w="98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5.5-6.0</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1.7%-3.1%</w:t>
            </w:r>
          </w:p>
        </w:tc>
        <w:tc>
          <w:tcPr>
            <w:tcW w:w="1080" w:type="dxa"/>
            <w:vAlign w:val="bottom"/>
            <w:gridSpan w:val="2"/>
          </w:tcPr>
          <w:p>
            <w:pPr>
              <w:jc w:val="center"/>
              <w:ind w:left="7"/>
              <w:spacing w:after="0"/>
              <w:rPr>
                <w:sz w:val="20"/>
                <w:szCs w:val="20"/>
                <w:color w:val="auto"/>
              </w:rPr>
            </w:pPr>
            <w:r>
              <w:rPr>
                <w:rFonts w:ascii="Times New Roman" w:cs="Times New Roman" w:eastAsia="Times New Roman" w:hAnsi="Times New Roman"/>
                <w:sz w:val="20"/>
                <w:szCs w:val="20"/>
                <w:color w:val="auto"/>
                <w:w w:val="99"/>
              </w:rPr>
              <w:t>0.6%-1.4%</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Volatility</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88%-95%</w:t>
            </w:r>
          </w:p>
        </w:tc>
        <w:tc>
          <w:tcPr>
            <w:tcW w:w="1080" w:type="dxa"/>
            <w:vAlign w:val="bottom"/>
            <w:gridSpan w:val="2"/>
          </w:tcPr>
          <w:p>
            <w:pPr>
              <w:jc w:val="center"/>
              <w:ind w:left="7"/>
              <w:spacing w:after="0"/>
              <w:rPr>
                <w:sz w:val="20"/>
                <w:szCs w:val="20"/>
                <w:color w:val="auto"/>
              </w:rPr>
            </w:pPr>
            <w:r>
              <w:rPr>
                <w:rFonts w:ascii="Times New Roman" w:cs="Times New Roman" w:eastAsia="Times New Roman" w:hAnsi="Times New Roman"/>
                <w:sz w:val="20"/>
                <w:szCs w:val="20"/>
                <w:color w:val="auto"/>
                <w:w w:val="99"/>
              </w:rPr>
              <w:t>89%-108%</w:t>
            </w:r>
          </w:p>
        </w:tc>
        <w:tc>
          <w:tcPr>
            <w:tcW w:w="0" w:type="dxa"/>
            <w:vAlign w:val="bottom"/>
          </w:tcPr>
          <w:p>
            <w:pPr>
              <w:spacing w:after="0"/>
              <w:rPr>
                <w:sz w:val="1"/>
                <w:szCs w:val="1"/>
                <w:color w:val="auto"/>
              </w:rPr>
            </w:pPr>
          </w:p>
        </w:tc>
      </w:tr>
      <w:tr>
        <w:trPr>
          <w:trHeight w:val="266"/>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Dividend rate</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 %</w:t>
            </w:r>
          </w:p>
        </w:tc>
        <w:tc>
          <w:tcPr>
            <w:tcW w:w="10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-613410</wp:posOffset>
            </wp:positionV>
            <wp:extent cx="4185920" cy="6159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5">
                      <a:extLst>
                        <a:ext uri="{28A0092B-C50C-407E-A947-70E740481C1C}"/>
                      </a:extLst>
                    </a:blip>
                    <a:srcRect/>
                    <a:stretch>
                      <a:fillRect/>
                    </a:stretch>
                  </pic:blipFill>
                  <pic:spPr bwMode="auto">
                    <a:xfrm>
                      <a:off x="0" y="0"/>
                      <a:ext cx="4185920" cy="615950"/>
                    </a:xfrm>
                    <a:prstGeom prst="rect">
                      <a:avLst/>
                    </a:prstGeom>
                    <a:noFill/>
                  </pic:spPr>
                </pic:pic>
              </a:graphicData>
            </a:graphic>
          </wp:anchor>
        </w:drawing>
      </w:r>
    </w:p>
    <w:p>
      <w:pPr>
        <w:spacing w:after="0" w:line="220"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auto"/>
        </w:rPr>
        <w:t>The Black-Scholes option-pricing model requires the use of highly subjective assumptions to estimate the fair value of stock-based awards. These assumptions include the following estimates:</w:t>
      </w:r>
    </w:p>
    <w:p>
      <w:pPr>
        <w:spacing w:after="0" w:line="63" w:lineRule="exact"/>
        <w:rPr>
          <w:sz w:val="20"/>
          <w:szCs w:val="20"/>
          <w:color w:val="auto"/>
        </w:rPr>
      </w:pPr>
    </w:p>
    <w:p>
      <w:pPr>
        <w:ind w:left="860" w:right="100" w:hanging="370"/>
        <w:spacing w:after="0" w:line="246" w:lineRule="auto"/>
        <w:tabs>
          <w:tab w:leader="none" w:pos="86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Expected life: </w:t>
      </w:r>
      <w:r>
        <w:rPr>
          <w:rFonts w:ascii="Times New Roman" w:cs="Times New Roman" w:eastAsia="Times New Roman" w:hAnsi="Times New Roman"/>
          <w:sz w:val="20"/>
          <w:szCs w:val="20"/>
          <w:color w:val="auto"/>
        </w:rPr>
        <w:t>The expected life of stock options represents the period of time that the options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expected to be outstanding. Due to the lack of historical exercise history, the expected life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spacing w:after="0" w:line="93" w:lineRule="exact"/>
        <w:rPr>
          <w:rFonts w:ascii="Arial" w:cs="Arial" w:eastAsia="Arial" w:hAnsi="Arial"/>
          <w:sz w:val="20"/>
          <w:szCs w:val="20"/>
          <w:color w:val="auto"/>
        </w:rPr>
      </w:pPr>
    </w:p>
    <w:p>
      <w:pPr>
        <w:ind w:left="860" w:right="260" w:hanging="370"/>
        <w:spacing w:after="0" w:line="276" w:lineRule="auto"/>
        <w:tabs>
          <w:tab w:leader="none" w:pos="86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Risk-free interest rate: </w:t>
      </w:r>
      <w:r>
        <w:rPr>
          <w:rFonts w:ascii="Times New Roman" w:cs="Times New Roman" w:eastAsia="Times New Roman" w:hAnsi="Times New Roman"/>
          <w:sz w:val="20"/>
          <w:szCs w:val="20"/>
          <w:color w:val="auto"/>
        </w:rPr>
        <w:t>The risk-free interest rate is based on the yields of U.S. Treasury securities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maturities similar to the expected time to liquidity.</w:t>
      </w:r>
    </w:p>
    <w:p>
      <w:pPr>
        <w:sectPr>
          <w:pgSz w:w="12240" w:h="15840" w:orient="portrait"/>
          <w:cols w:equalWidth="0" w:num="1">
            <w:col w:w="9360"/>
          </w:cols>
          <w:pgMar w:left="1440" w:top="141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360"/>
          </w:cols>
          <w:pgMar w:left="1440" w:top="1412" w:right="1440" w:bottom="175" w:gutter="0" w:footer="0" w:header="0"/>
          <w:type w:val="continuous"/>
        </w:sectPr>
      </w:pPr>
    </w:p>
    <w:bookmarkStart w:id="80" w:name="page81"/>
    <w:bookmarkEnd w:id="80"/>
    <w:p>
      <w:pPr>
        <w:ind w:left="860" w:right="140" w:hanging="370"/>
        <w:spacing w:after="0" w:line="276" w:lineRule="auto"/>
        <w:tabs>
          <w:tab w:leader="none" w:pos="86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Volatility: </w:t>
      </w:r>
      <w:r>
        <w:rPr>
          <w:rFonts w:ascii="Times New Roman" w:cs="Times New Roman" w:eastAsia="Times New Roman" w:hAnsi="Times New Roman"/>
          <w:sz w:val="20"/>
          <w:szCs w:val="20"/>
          <w:color w:val="auto"/>
        </w:rPr>
        <w:t>The estimated volatility rate is based on the volatilities of the Company’s common stock for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historical period equal to the expected life of the stock options.</w:t>
      </w:r>
    </w:p>
    <w:p>
      <w:pPr>
        <w:spacing w:after="0" w:line="64" w:lineRule="exact"/>
        <w:rPr>
          <w:rFonts w:ascii="Arial" w:cs="Arial" w:eastAsia="Arial" w:hAnsi="Arial"/>
          <w:sz w:val="20"/>
          <w:szCs w:val="20"/>
          <w:color w:val="auto"/>
        </w:rPr>
      </w:pPr>
    </w:p>
    <w:p>
      <w:pPr>
        <w:jc w:val="both"/>
        <w:ind w:left="860" w:right="180" w:hanging="370"/>
        <w:spacing w:after="0" w:line="258" w:lineRule="auto"/>
        <w:tabs>
          <w:tab w:leader="none" w:pos="86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Dividend rate: </w:t>
      </w:r>
      <w:r>
        <w:rPr>
          <w:rFonts w:ascii="Times New Roman" w:cs="Times New Roman" w:eastAsia="Times New Roman" w:hAnsi="Times New Roman"/>
          <w:sz w:val="20"/>
          <w:szCs w:val="20"/>
          <w:color w:val="auto"/>
        </w:rPr>
        <w:t>The Company has never declared or paid any cash dividends and does not presently plan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pay cash dividends in the foreseeable future. Consequently, the Company used an expected dividend yield of zero.</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summarizes stock option and restricted stock unit transactions for the years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2022 and 2021 as issued under the 2014 Plan and the Inducement Plan:</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60" w:type="dxa"/>
            <w:vAlign w:val="bottom"/>
          </w:tcPr>
          <w:p>
            <w:pPr>
              <w:spacing w:after="0"/>
              <w:rPr>
                <w:sz w:val="15"/>
                <w:szCs w:val="15"/>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0" w:type="dxa"/>
            <w:vAlign w:val="bottom"/>
          </w:tcPr>
          <w:p>
            <w:pPr>
              <w:spacing w:after="0"/>
              <w:rPr>
                <w:sz w:val="15"/>
                <w:szCs w:val="15"/>
                <w:color w:val="auto"/>
              </w:rPr>
            </w:pPr>
          </w:p>
        </w:tc>
        <w:tc>
          <w:tcPr>
            <w:tcW w:w="88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84"/>
        </w:trPr>
        <w:tc>
          <w:tcPr>
            <w:tcW w:w="3660" w:type="dxa"/>
            <w:vAlign w:val="bottom"/>
          </w:tcPr>
          <w:p>
            <w:pPr>
              <w:spacing w:after="0"/>
              <w:rPr>
                <w:sz w:val="15"/>
                <w:szCs w:val="15"/>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40" w:type="dxa"/>
            <w:vAlign w:val="bottom"/>
          </w:tcPr>
          <w:p>
            <w:pPr>
              <w:spacing w:after="0"/>
              <w:rPr>
                <w:sz w:val="15"/>
                <w:szCs w:val="15"/>
                <w:color w:val="auto"/>
              </w:rPr>
            </w:pPr>
          </w:p>
        </w:tc>
        <w:tc>
          <w:tcPr>
            <w:tcW w:w="88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8"/>
              </w:rPr>
              <w:t>Price per</w:t>
            </w: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8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0" w:type="dxa"/>
            <w:vAlign w:val="bottom"/>
          </w:tcPr>
          <w:p>
            <w:pPr>
              <w:spacing w:after="0"/>
              <w:rPr>
                <w:sz w:val="1"/>
                <w:szCs w:val="1"/>
                <w:color w:val="auto"/>
              </w:rPr>
            </w:pPr>
          </w:p>
        </w:tc>
      </w:tr>
      <w:tr>
        <w:trPr>
          <w:trHeight w:val="203"/>
        </w:trPr>
        <w:tc>
          <w:tcPr>
            <w:tcW w:w="3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December 31, 2020</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40" w:type="dxa"/>
            <w:vAlign w:val="bottom"/>
          </w:tcPr>
          <w:p>
            <w:pPr>
              <w:spacing w:after="0"/>
              <w:rPr>
                <w:sz w:val="17"/>
                <w:szCs w:val="17"/>
                <w:color w:val="auto"/>
              </w:rPr>
            </w:pPr>
          </w:p>
        </w:tc>
        <w:tc>
          <w:tcPr>
            <w:tcW w:w="88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6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8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0" w:type="dxa"/>
            <w:vAlign w:val="bottom"/>
          </w:tcPr>
          <w:p>
            <w:pPr>
              <w:spacing w:after="0"/>
              <w:rPr>
                <w:sz w:val="1"/>
                <w:szCs w:val="1"/>
                <w:color w:val="auto"/>
              </w:rPr>
            </w:pPr>
          </w:p>
        </w:tc>
      </w:tr>
      <w:tr>
        <w:trPr>
          <w:trHeight w:val="200"/>
        </w:trPr>
        <w:tc>
          <w:tcPr>
            <w:tcW w:w="3660" w:type="dxa"/>
            <w:vAlign w:val="bottom"/>
            <w:vMerge w:val="continue"/>
          </w:tcPr>
          <w:p>
            <w:pPr>
              <w:spacing w:after="0"/>
              <w:rPr>
                <w:sz w:val="17"/>
                <w:szCs w:val="17"/>
                <w:color w:val="auto"/>
              </w:rPr>
            </w:pPr>
          </w:p>
        </w:tc>
        <w:tc>
          <w:tcPr>
            <w:tcW w:w="10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189,142</w:t>
            </w:r>
          </w:p>
        </w:tc>
        <w:tc>
          <w:tcPr>
            <w:tcW w:w="18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62.63</w:t>
            </w:r>
          </w:p>
        </w:tc>
        <w:tc>
          <w:tcPr>
            <w:tcW w:w="160" w:type="dxa"/>
            <w:vAlign w:val="bottom"/>
          </w:tcPr>
          <w:p>
            <w:pPr>
              <w:spacing w:after="0"/>
              <w:rPr>
                <w:sz w:val="17"/>
                <w:szCs w:val="17"/>
                <w:color w:val="auto"/>
              </w:rPr>
            </w:pPr>
          </w:p>
        </w:tc>
        <w:tc>
          <w:tcPr>
            <w:tcW w:w="10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7.62</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Options 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230,854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31.95</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Options canceled/forfeited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(11,667)</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28.65</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66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Balance at December 31, 2021</w:t>
            </w:r>
          </w:p>
        </w:tc>
        <w:tc>
          <w:tcPr>
            <w:tcW w:w="10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408,329</w:t>
            </w:r>
          </w:p>
        </w:tc>
        <w:tc>
          <w:tcPr>
            <w:tcW w:w="18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46.28</w:t>
            </w:r>
          </w:p>
        </w:tc>
        <w:tc>
          <w:tcPr>
            <w:tcW w:w="160" w:type="dxa"/>
            <w:vAlign w:val="bottom"/>
          </w:tcPr>
          <w:p>
            <w:pPr>
              <w:spacing w:after="0"/>
              <w:rPr>
                <w:sz w:val="17"/>
                <w:szCs w:val="17"/>
                <w:color w:val="auto"/>
              </w:rPr>
            </w:pPr>
          </w:p>
        </w:tc>
        <w:tc>
          <w:tcPr>
            <w:tcW w:w="10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7.94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Options 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283,919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Options canceled/forfeited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(5,674)</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19.31</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6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Balance at December 31, 2022</w:t>
            </w:r>
          </w:p>
        </w:tc>
        <w:tc>
          <w:tcPr>
            <w:tcW w:w="10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686,574</w:t>
            </w: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28.83</w:t>
            </w:r>
          </w:p>
        </w:tc>
        <w:tc>
          <w:tcPr>
            <w:tcW w:w="160" w:type="dxa"/>
            <w:vAlign w:val="bottom"/>
          </w:tcPr>
          <w:p>
            <w:pPr>
              <w:spacing w:after="0"/>
              <w:rPr>
                <w:sz w:val="19"/>
                <w:szCs w:val="19"/>
                <w:color w:val="auto"/>
              </w:rPr>
            </w:pPr>
          </w:p>
        </w:tc>
        <w:tc>
          <w:tcPr>
            <w:tcW w:w="10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7.93</w:t>
            </w:r>
          </w:p>
        </w:tc>
        <w:tc>
          <w:tcPr>
            <w:tcW w:w="3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ind w:left="700"/>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Options exercisable at December 31, 2022</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60" w:type="dxa"/>
            <w:vAlign w:val="bottom"/>
            <w:vMerge w:val="continue"/>
          </w:tcPr>
          <w:p>
            <w:pPr>
              <w:spacing w:after="0"/>
              <w:rPr>
                <w:sz w:val="18"/>
                <w:szCs w:val="18"/>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357,573</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39.54</w:t>
            </w:r>
          </w:p>
        </w:tc>
        <w:tc>
          <w:tcPr>
            <w:tcW w:w="160" w:type="dxa"/>
            <w:vAlign w:val="bottom"/>
            <w:vMerge w:val="continue"/>
          </w:tcPr>
          <w:p>
            <w:pPr>
              <w:spacing w:after="0"/>
              <w:rPr>
                <w:sz w:val="18"/>
                <w:szCs w:val="18"/>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7.21</w:t>
            </w:r>
          </w:p>
        </w:tc>
        <w:tc>
          <w:tcPr>
            <w:tcW w:w="18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line="215"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ind w:left="700"/>
              <w:spacing w:after="0" w:line="215" w:lineRule="exact"/>
              <w:rPr>
                <w:sz w:val="20"/>
                <w:szCs w:val="20"/>
                <w:color w:val="auto"/>
              </w:rPr>
            </w:pPr>
            <w:r>
              <w:rPr>
                <w:rFonts w:ascii="Times New Roman" w:cs="Times New Roman" w:eastAsia="Times New Roman" w:hAnsi="Times New Roman"/>
                <w:sz w:val="20"/>
                <w:szCs w:val="20"/>
                <w:color w:val="auto"/>
                <w:w w:val="89"/>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Options vested and expected to vest at</w:t>
            </w: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66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6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December 31, 2022</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663,616</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7.93</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20"/>
                <w:szCs w:val="20"/>
                <w:color w:val="auto"/>
                <w:w w:val="89"/>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-1577340</wp:posOffset>
            </wp:positionV>
            <wp:extent cx="5374640" cy="1562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a:extLst>
                        <a:ext uri="{28A0092B-C50C-407E-A947-70E740481C1C}"/>
                      </a:extLst>
                    </a:blip>
                    <a:srcRect/>
                    <a:stretch>
                      <a:fillRect/>
                    </a:stretch>
                  </pic:blipFill>
                  <pic:spPr bwMode="auto">
                    <a:xfrm>
                      <a:off x="0" y="0"/>
                      <a:ext cx="5374640" cy="1562100"/>
                    </a:xfrm>
                    <a:prstGeom prst="rect">
                      <a:avLst/>
                    </a:prstGeom>
                    <a:noFill/>
                  </pic:spPr>
                </pic:pic>
              </a:graphicData>
            </a:graphic>
          </wp:anchor>
        </w:drawing>
      </w:r>
    </w:p>
    <w:p>
      <w:pPr>
        <w:spacing w:after="0" w:line="237"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The weighted-average grant date fair value of employee options granted was $2.62 and $25.5 per share for the years ended December 31, 2022 and December 31, 2021, respectively. At December 31, 2022 total unrecognized employee stock-based compensation for options that are expected to vest was $3.2 million, which is expected to be recognized over the weighted-average remaining vesting period of 1.8 years.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Stock Units</w:t>
      </w:r>
    </w:p>
    <w:p>
      <w:pPr>
        <w:spacing w:after="0" w:line="114" w:lineRule="exact"/>
        <w:rPr>
          <w:sz w:val="20"/>
          <w:szCs w:val="20"/>
          <w:color w:val="auto"/>
        </w:rPr>
      </w:pPr>
    </w:p>
    <w:p>
      <w:pPr>
        <w:ind w:right="60" w:firstLine="490"/>
        <w:spacing w:after="0" w:line="239" w:lineRule="auto"/>
        <w:rPr>
          <w:sz w:val="20"/>
          <w:szCs w:val="20"/>
          <w:color w:val="auto"/>
        </w:rPr>
      </w:pPr>
      <w:r>
        <w:rPr>
          <w:rFonts w:ascii="Times New Roman" w:cs="Times New Roman" w:eastAsia="Times New Roman" w:hAnsi="Times New Roman"/>
          <w:sz w:val="20"/>
          <w:szCs w:val="20"/>
          <w:color w:val="auto"/>
        </w:rPr>
        <w:t>There were 8,965 and 11,863 restricted stock units granted by the Company during the years ended December 31, 2022 and December 31, 2021, respectively, to employees and directors. The shares granted to directors were 100% vested on the grant date and represent compensation for past board services. The shares granted to employees typically vest annually over a period of four years. The shares were valued based on the Company’s common stock price on the grant date.</w:t>
      </w:r>
    </w:p>
    <w:p>
      <w:pPr>
        <w:spacing w:after="0" w:line="205" w:lineRule="exact"/>
        <w:rPr>
          <w:sz w:val="20"/>
          <w:szCs w:val="20"/>
          <w:color w:val="auto"/>
        </w:rPr>
      </w:pPr>
    </w:p>
    <w:p>
      <w:pPr>
        <w:ind w:right="40" w:firstLine="562"/>
        <w:spacing w:after="0" w:line="253" w:lineRule="auto"/>
        <w:rPr>
          <w:sz w:val="20"/>
          <w:szCs w:val="20"/>
          <w:color w:val="auto"/>
        </w:rPr>
      </w:pPr>
      <w:r>
        <w:rPr>
          <w:rFonts w:ascii="Times New Roman" w:cs="Times New Roman" w:eastAsia="Times New Roman" w:hAnsi="Times New Roman"/>
          <w:sz w:val="20"/>
          <w:szCs w:val="20"/>
          <w:color w:val="auto"/>
        </w:rPr>
        <w:t>The following table summarizes restricted stock unit transactions for the years ended December 31, 2022 and 2021 as issued under the 2014 Plan:</w:t>
      </w:r>
    </w:p>
    <w:tbl>
      <w:tblPr>
        <w:tblLayout w:type="fixed"/>
        <w:tblInd w:w="0" w:type="dxa"/>
        <w:tblCellMar>
          <w:top w:w="0" w:type="dxa"/>
          <w:left w:w="0" w:type="dxa"/>
          <w:bottom w:w="0" w:type="dxa"/>
          <w:right w:w="0" w:type="dxa"/>
        </w:tblCellMar>
      </w:tblPr>
      <w:tr>
        <w:trPr>
          <w:trHeight w:val="159"/>
        </w:trPr>
        <w:tc>
          <w:tcPr>
            <w:tcW w:w="6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7"/>
              <w:spacing w:after="0" w:line="159"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84"/>
        </w:trPr>
        <w:tc>
          <w:tcPr>
            <w:tcW w:w="6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84"/>
        </w:trPr>
        <w:tc>
          <w:tcPr>
            <w:tcW w:w="6940" w:type="dxa"/>
            <w:vAlign w:val="bottom"/>
          </w:tcPr>
          <w:p>
            <w:pPr>
              <w:spacing w:after="0"/>
              <w:rPr>
                <w:sz w:val="15"/>
                <w:szCs w:val="15"/>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5"/>
                <w:szCs w:val="15"/>
                <w:color w:val="auto"/>
              </w:rPr>
            </w:pPr>
          </w:p>
        </w:tc>
        <w:tc>
          <w:tcPr>
            <w:tcW w:w="900" w:type="dxa"/>
            <w:vAlign w:val="bottom"/>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184"/>
        </w:trPr>
        <w:tc>
          <w:tcPr>
            <w:tcW w:w="6940" w:type="dxa"/>
            <w:vAlign w:val="bottom"/>
          </w:tcPr>
          <w:p>
            <w:pPr>
              <w:spacing w:after="0"/>
              <w:rPr>
                <w:sz w:val="15"/>
                <w:szCs w:val="15"/>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Fair Value per</w:t>
            </w:r>
          </w:p>
        </w:tc>
        <w:tc>
          <w:tcPr>
            <w:tcW w:w="0" w:type="dxa"/>
            <w:vAlign w:val="bottom"/>
          </w:tcPr>
          <w:p>
            <w:pPr>
              <w:spacing w:after="0"/>
              <w:rPr>
                <w:sz w:val="1"/>
                <w:szCs w:val="1"/>
                <w:color w:val="auto"/>
              </w:rPr>
            </w:pPr>
          </w:p>
        </w:tc>
      </w:tr>
      <w:tr>
        <w:trPr>
          <w:trHeight w:val="203"/>
        </w:trPr>
        <w:tc>
          <w:tcPr>
            <w:tcW w:w="6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Outstanding at December 31, 2020</w:t>
            </w: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100" w:type="dxa"/>
            <w:vAlign w:val="bottom"/>
          </w:tcPr>
          <w:p>
            <w:pPr>
              <w:spacing w:after="0"/>
              <w:rPr>
                <w:sz w:val="17"/>
                <w:szCs w:val="17"/>
                <w:color w:val="auto"/>
              </w:rPr>
            </w:pPr>
          </w:p>
        </w:tc>
        <w:tc>
          <w:tcPr>
            <w:tcW w:w="900" w:type="dxa"/>
            <w:vAlign w:val="bottom"/>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0" w:type="dxa"/>
            <w:vAlign w:val="bottom"/>
          </w:tcPr>
          <w:p>
            <w:pPr>
              <w:spacing w:after="0"/>
              <w:rPr>
                <w:sz w:val="1"/>
                <w:szCs w:val="1"/>
                <w:color w:val="auto"/>
              </w:rPr>
            </w:pPr>
          </w:p>
        </w:tc>
      </w:tr>
      <w:tr>
        <w:trPr>
          <w:trHeight w:val="201"/>
        </w:trPr>
        <w:tc>
          <w:tcPr>
            <w:tcW w:w="6940" w:type="dxa"/>
            <w:vAlign w:val="bottom"/>
            <w:vMerge w:val="continue"/>
          </w:tcPr>
          <w:p>
            <w:pPr>
              <w:spacing w:after="0"/>
              <w:rPr>
                <w:sz w:val="17"/>
                <w:szCs w:val="17"/>
                <w:color w:val="auto"/>
              </w:rPr>
            </w:pPr>
          </w:p>
        </w:tc>
        <w:tc>
          <w:tcPr>
            <w:tcW w:w="10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38,733</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57.75</w:t>
            </w:r>
          </w:p>
        </w:tc>
        <w:tc>
          <w:tcPr>
            <w:tcW w:w="0" w:type="dxa"/>
            <w:vAlign w:val="bottom"/>
          </w:tcPr>
          <w:p>
            <w:pPr>
              <w:spacing w:after="0"/>
              <w:rPr>
                <w:sz w:val="1"/>
                <w:szCs w:val="1"/>
                <w:color w:val="auto"/>
              </w:rPr>
            </w:pPr>
          </w:p>
        </w:tc>
      </w:tr>
      <w:tr>
        <w:trPr>
          <w:trHeight w:val="230"/>
        </w:trPr>
        <w:tc>
          <w:tcPr>
            <w:tcW w:w="6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Restricted stock units 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11,863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15.75</w:t>
            </w:r>
          </w:p>
        </w:tc>
        <w:tc>
          <w:tcPr>
            <w:tcW w:w="0" w:type="dxa"/>
            <w:vAlign w:val="bottom"/>
          </w:tcPr>
          <w:p>
            <w:pPr>
              <w:spacing w:after="0"/>
              <w:rPr>
                <w:sz w:val="1"/>
                <w:szCs w:val="1"/>
                <w:color w:val="auto"/>
              </w:rPr>
            </w:pPr>
          </w:p>
        </w:tc>
      </w:tr>
      <w:tr>
        <w:trPr>
          <w:trHeight w:val="249"/>
        </w:trPr>
        <w:tc>
          <w:tcPr>
            <w:tcW w:w="6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Restricted stock units vested</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(21,546)</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34.65</w:t>
            </w:r>
          </w:p>
        </w:tc>
        <w:tc>
          <w:tcPr>
            <w:tcW w:w="0" w:type="dxa"/>
            <w:vAlign w:val="bottom"/>
          </w:tcPr>
          <w:p>
            <w:pPr>
              <w:spacing w:after="0"/>
              <w:rPr>
                <w:sz w:val="1"/>
                <w:szCs w:val="1"/>
                <w:color w:val="auto"/>
              </w:rPr>
            </w:pPr>
          </w:p>
        </w:tc>
      </w:tr>
      <w:tr>
        <w:trPr>
          <w:trHeight w:val="200"/>
        </w:trPr>
        <w:tc>
          <w:tcPr>
            <w:tcW w:w="694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Outstanding at December 31, 2021</w:t>
            </w:r>
          </w:p>
        </w:tc>
        <w:tc>
          <w:tcPr>
            <w:tcW w:w="10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29,050</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57.75</w:t>
            </w:r>
          </w:p>
        </w:tc>
        <w:tc>
          <w:tcPr>
            <w:tcW w:w="0" w:type="dxa"/>
            <w:vAlign w:val="bottom"/>
          </w:tcPr>
          <w:p>
            <w:pPr>
              <w:spacing w:after="0"/>
              <w:rPr>
                <w:sz w:val="1"/>
                <w:szCs w:val="1"/>
                <w:color w:val="auto"/>
              </w:rPr>
            </w:pPr>
          </w:p>
        </w:tc>
      </w:tr>
      <w:tr>
        <w:trPr>
          <w:trHeight w:val="230"/>
        </w:trPr>
        <w:tc>
          <w:tcPr>
            <w:tcW w:w="6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Restricted stock units 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w:t>
            </w:r>
          </w:p>
        </w:tc>
        <w:tc>
          <w:tcPr>
            <w:tcW w:w="0" w:type="dxa"/>
            <w:vAlign w:val="bottom"/>
          </w:tcPr>
          <w:p>
            <w:pPr>
              <w:spacing w:after="0"/>
              <w:rPr>
                <w:sz w:val="1"/>
                <w:szCs w:val="1"/>
                <w:color w:val="auto"/>
              </w:rPr>
            </w:pPr>
          </w:p>
        </w:tc>
      </w:tr>
      <w:tr>
        <w:trPr>
          <w:trHeight w:val="230"/>
        </w:trPr>
        <w:tc>
          <w:tcPr>
            <w:tcW w:w="6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Restricted stock units vested</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(18,646)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32.55</w:t>
            </w:r>
          </w:p>
        </w:tc>
        <w:tc>
          <w:tcPr>
            <w:tcW w:w="0" w:type="dxa"/>
            <w:vAlign w:val="bottom"/>
          </w:tcPr>
          <w:p>
            <w:pPr>
              <w:spacing w:after="0"/>
              <w:rPr>
                <w:sz w:val="1"/>
                <w:szCs w:val="1"/>
                <w:color w:val="auto"/>
              </w:rPr>
            </w:pPr>
          </w:p>
        </w:tc>
      </w:tr>
      <w:tr>
        <w:trPr>
          <w:trHeight w:val="249"/>
        </w:trPr>
        <w:tc>
          <w:tcPr>
            <w:tcW w:w="6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Restricted stock units cancelled/forfeited</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(301)</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57.85</w:t>
            </w:r>
          </w:p>
        </w:tc>
        <w:tc>
          <w:tcPr>
            <w:tcW w:w="0" w:type="dxa"/>
            <w:vAlign w:val="bottom"/>
          </w:tcPr>
          <w:p>
            <w:pPr>
              <w:spacing w:after="0"/>
              <w:rPr>
                <w:sz w:val="1"/>
                <w:szCs w:val="1"/>
                <w:color w:val="auto"/>
              </w:rPr>
            </w:pPr>
          </w:p>
        </w:tc>
      </w:tr>
      <w:tr>
        <w:trPr>
          <w:trHeight w:val="220"/>
        </w:trPr>
        <w:tc>
          <w:tcPr>
            <w:tcW w:w="69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Outstanding at December 31, 2022</w:t>
            </w:r>
          </w:p>
        </w:tc>
        <w:tc>
          <w:tcPr>
            <w:tcW w:w="10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19,068</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57.75</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-1228090</wp:posOffset>
            </wp:positionV>
            <wp:extent cx="5969000" cy="1212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7">
                      <a:extLst>
                        <a:ext uri="{28A0092B-C50C-407E-A947-70E740481C1C}"/>
                      </a:extLst>
                    </a:blip>
                    <a:srcRect/>
                    <a:stretch>
                      <a:fillRect/>
                    </a:stretch>
                  </pic:blipFill>
                  <pic:spPr bwMode="auto">
                    <a:xfrm>
                      <a:off x="0" y="0"/>
                      <a:ext cx="5969000" cy="1212850"/>
                    </a:xfrm>
                    <a:prstGeom prst="rect">
                      <a:avLst/>
                    </a:prstGeom>
                    <a:noFill/>
                  </pic:spPr>
                </pic:pic>
              </a:graphicData>
            </a:graphic>
          </wp:anchor>
        </w:drawing>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360"/>
          </w:cols>
          <w:pgMar w:left="1440" w:top="1434" w:right="1440" w:bottom="175" w:gutter="0" w:footer="0" w:header="0"/>
          <w:type w:val="continuous"/>
        </w:sectPr>
      </w:pPr>
    </w:p>
    <w:bookmarkStart w:id="81" w:name="page82"/>
    <w:bookmarkEnd w:id="81"/>
    <w:p>
      <w:pPr>
        <w:ind w:right="20" w:firstLine="490"/>
        <w:spacing w:after="0" w:line="239" w:lineRule="auto"/>
        <w:rPr>
          <w:sz w:val="20"/>
          <w:szCs w:val="20"/>
          <w:color w:val="auto"/>
        </w:rPr>
      </w:pPr>
      <w:r>
        <w:rPr>
          <w:rFonts w:ascii="Times New Roman" w:cs="Times New Roman" w:eastAsia="Times New Roman" w:hAnsi="Times New Roman"/>
          <w:sz w:val="20"/>
          <w:szCs w:val="20"/>
          <w:color w:val="auto"/>
        </w:rPr>
        <w:t>The weighted-average grant-date fair value of all restricted stock units granted was $5.33 and $15.68 per share during the year ended December 31, 2022 and 2021, respectively. The fair value of all restricted stock units vested during the year ended December 31, 2022 and 2021 was $0.1 million and $0.3 million, respectively. At December 31, 2022 total unrecognized employee stock-based compensation related to restricted stock units was $0.6 million, which is expected to be recognized over the weighted-average remaining vesting period of 1.1 years.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2014 Employee Stock Purchase Plan</w:t>
      </w:r>
    </w:p>
    <w:p>
      <w:pPr>
        <w:spacing w:after="0" w:line="110" w:lineRule="exact"/>
        <w:rPr>
          <w:sz w:val="20"/>
          <w:szCs w:val="20"/>
          <w:color w:val="auto"/>
        </w:rPr>
      </w:pPr>
    </w:p>
    <w:p>
      <w:pPr>
        <w:ind w:right="80" w:firstLine="490"/>
        <w:spacing w:after="0" w:line="237" w:lineRule="auto"/>
        <w:rPr>
          <w:sz w:val="20"/>
          <w:szCs w:val="20"/>
          <w:color w:val="auto"/>
        </w:rPr>
      </w:pPr>
      <w:r>
        <w:rPr>
          <w:rFonts w:ascii="Times New Roman" w:cs="Times New Roman" w:eastAsia="Times New Roman" w:hAnsi="Times New Roman"/>
          <w:sz w:val="20"/>
          <w:szCs w:val="20"/>
          <w:color w:val="auto"/>
        </w:rPr>
        <w:t>The Company’s board of directors and stockholders have adopted the 2014 Employee Stock Purchase Plan (the ESPP). The ESPP has become effective, and the board of directors will implement commencement of offers thereunder in its discretion. A total of 1,864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p>
    <w:p>
      <w:pPr>
        <w:spacing w:after="0" w:line="94" w:lineRule="exact"/>
        <w:rPr>
          <w:sz w:val="20"/>
          <w:szCs w:val="20"/>
          <w:color w:val="auto"/>
        </w:rPr>
      </w:pPr>
    </w:p>
    <w:p>
      <w:pPr>
        <w:ind w:left="860" w:hanging="370"/>
        <w:spacing w:after="0"/>
        <w:tabs>
          <w:tab w:leader="none" w:pos="86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1.0% of the outstanding shares of the Company’s common stock on the first day of such year;</w:t>
      </w:r>
    </w:p>
    <w:p>
      <w:pPr>
        <w:spacing w:after="0" w:line="123" w:lineRule="exact"/>
        <w:rPr>
          <w:rFonts w:ascii="Arial" w:cs="Arial" w:eastAsia="Arial" w:hAnsi="Arial"/>
          <w:sz w:val="20"/>
          <w:szCs w:val="20"/>
          <w:color w:val="auto"/>
        </w:rPr>
      </w:pPr>
    </w:p>
    <w:p>
      <w:pPr>
        <w:ind w:left="860" w:hanging="370"/>
        <w:spacing w:after="0"/>
        <w:tabs>
          <w:tab w:leader="none" w:pos="86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3,729 shares; or</w:t>
      </w:r>
    </w:p>
    <w:p>
      <w:pPr>
        <w:spacing w:after="0" w:line="123" w:lineRule="exact"/>
        <w:rPr>
          <w:rFonts w:ascii="Arial" w:cs="Arial" w:eastAsia="Arial" w:hAnsi="Arial"/>
          <w:sz w:val="20"/>
          <w:szCs w:val="20"/>
          <w:color w:val="auto"/>
        </w:rPr>
      </w:pPr>
    </w:p>
    <w:p>
      <w:pPr>
        <w:ind w:left="860" w:hanging="370"/>
        <w:spacing w:after="0"/>
        <w:tabs>
          <w:tab w:leader="none" w:pos="86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such amount as determined by the board of directors.</w:t>
      </w:r>
    </w:p>
    <w:p>
      <w:pPr>
        <w:spacing w:after="0" w:line="2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As of December 31, 2022, there were no purchases by employees under this plan.</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Income Taxes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geographical distribution of loss before income taxes are summarized below (in thousands):</w:t>
      </w:r>
    </w:p>
    <w:p>
      <w:pPr>
        <w:spacing w:after="0" w:line="276"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6"/>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4"/>
        </w:trPr>
        <w:tc>
          <w:tcPr>
            <w:tcW w:w="4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28"/>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25"/>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420" w:type="dxa"/>
            <w:vAlign w:val="bottom"/>
            <w:vMerge w:val="continue"/>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(24,173)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ind w:right="2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(30,453)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20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(457)</w:t>
            </w:r>
          </w:p>
        </w:tc>
        <w:tc>
          <w:tcPr>
            <w:tcW w:w="0" w:type="dxa"/>
            <w:vAlign w:val="bottom"/>
          </w:tcPr>
          <w:p>
            <w:pPr>
              <w:spacing w:after="0"/>
              <w:rPr>
                <w:sz w:val="1"/>
                <w:szCs w:val="1"/>
                <w:color w:val="auto"/>
              </w:rPr>
            </w:pPr>
          </w:p>
        </w:tc>
      </w:tr>
      <w:tr>
        <w:trPr>
          <w:trHeight w:val="220"/>
        </w:trPr>
        <w:tc>
          <w:tcPr>
            <w:tcW w:w="44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Loss before income taxes</w:t>
            </w:r>
          </w:p>
        </w:tc>
        <w:tc>
          <w:tcPr>
            <w:tcW w:w="20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tcBorders>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(24,067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(30,910</w:t>
            </w:r>
          </w:p>
        </w:tc>
        <w:tc>
          <w:tcPr>
            <w:tcW w:w="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-491490</wp:posOffset>
            </wp:positionV>
            <wp:extent cx="4185920" cy="4762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8">
                      <a:extLst>
                        <a:ext uri="{28A0092B-C50C-407E-A947-70E740481C1C}"/>
                      </a:extLst>
                    </a:blip>
                    <a:srcRect/>
                    <a:stretch>
                      <a:fillRect/>
                    </a:stretch>
                  </pic:blipFill>
                  <pic:spPr bwMode="auto">
                    <a:xfrm>
                      <a:off x="0" y="0"/>
                      <a:ext cx="4185920" cy="47625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520" w:firstLine="490"/>
        <w:spacing w:after="0" w:line="277" w:lineRule="auto"/>
        <w:rPr>
          <w:sz w:val="20"/>
          <w:szCs w:val="20"/>
          <w:color w:val="auto"/>
        </w:rPr>
      </w:pPr>
      <w:r>
        <w:rPr>
          <w:rFonts w:ascii="Times New Roman" w:cs="Times New Roman" w:eastAsia="Times New Roman" w:hAnsi="Times New Roman"/>
          <w:sz w:val="20"/>
          <w:szCs w:val="20"/>
          <w:color w:val="auto"/>
        </w:rPr>
        <w:t>The provision for income tax benefit differs from the amount estimated by applying the statutory federal income tax rate to the operating loss due to the following (in thousands):</w:t>
      </w:r>
    </w:p>
    <w:p>
      <w:pPr>
        <w:spacing w:after="0" w:line="205"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5"/>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4"/>
        </w:trPr>
        <w:tc>
          <w:tcPr>
            <w:tcW w:w="4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Tax (benefit) on the loss before income tax expense</w:t>
            </w: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23"/>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01"/>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4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computed at the federal statutory rate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(5,055)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(6,501)</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State tax (benefit) at statutory rate, net of federal</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benefit</w:t>
            </w:r>
          </w:p>
        </w:tc>
        <w:tc>
          <w:tcPr>
            <w:tcW w:w="2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(527)</w:t>
            </w: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(2,342)</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Foreign rate differential</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5,702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Change in research and development credits</w:t>
            </w:r>
          </w:p>
        </w:tc>
        <w:tc>
          <w:tcPr>
            <w:tcW w:w="2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(652)</w:t>
            </w: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(364)</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Stock based compensation</w:t>
            </w:r>
          </w:p>
        </w:tc>
        <w:tc>
          <w:tcPr>
            <w:tcW w:w="2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(734)</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Change in fair value of warrants</w:t>
            </w:r>
          </w:p>
        </w:tc>
        <w:tc>
          <w:tcPr>
            <w:tcW w:w="2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w:t>
            </w: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Change in fair value of contingent consideration</w:t>
            </w:r>
          </w:p>
        </w:tc>
        <w:tc>
          <w:tcPr>
            <w:tcW w:w="2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(150)</w:t>
            </w: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Change in net operating loss true up</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Change in capital losses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Change in state rates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2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(97)</w:t>
            </w:r>
          </w:p>
        </w:tc>
        <w:tc>
          <w:tcPr>
            <w:tcW w:w="2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20"/>
        </w:trPr>
        <w:tc>
          <w:tcPr>
            <w:tcW w:w="44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Provision for income tax benefit</w:t>
            </w:r>
          </w:p>
        </w:tc>
        <w:tc>
          <w:tcPr>
            <w:tcW w:w="2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-2244090</wp:posOffset>
            </wp:positionV>
            <wp:extent cx="4185920" cy="2228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9">
                      <a:extLst>
                        <a:ext uri="{28A0092B-C50C-407E-A947-70E740481C1C}"/>
                      </a:extLst>
                    </a:blip>
                    <a:srcRect/>
                    <a:stretch>
                      <a:fillRect/>
                    </a:stretch>
                  </pic:blipFill>
                  <pic:spPr bwMode="auto">
                    <a:xfrm>
                      <a:off x="0" y="0"/>
                      <a:ext cx="4185920" cy="2228850"/>
                    </a:xfrm>
                    <a:prstGeom prst="rect">
                      <a:avLst/>
                    </a:prstGeom>
                    <a:noFill/>
                  </pic:spPr>
                </pic:pic>
              </a:graphicData>
            </a:graphic>
          </wp:anchor>
        </w:drawing>
      </w:r>
    </w:p>
    <w:p>
      <w:pPr>
        <w:sectPr>
          <w:pgSz w:w="12240" w:h="15840" w:orient="portrait"/>
          <w:cols w:equalWidth="0" w:num="1">
            <w:col w:w="9360"/>
          </w:cols>
          <w:pgMar w:left="1440" w:top="141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360"/>
          </w:cols>
          <w:pgMar w:left="1440" w:top="1412" w:right="1440" w:bottom="175" w:gutter="0" w:footer="0" w:header="0"/>
          <w:type w:val="continuous"/>
        </w:sectPr>
      </w:pPr>
    </w:p>
    <w:bookmarkStart w:id="82" w:name="page83"/>
    <w:bookmarkEnd w:id="82"/>
    <w:p>
      <w:pPr>
        <w:ind w:right="220" w:firstLine="490"/>
        <w:spacing w:after="0" w:line="252" w:lineRule="auto"/>
        <w:rPr>
          <w:sz w:val="20"/>
          <w:szCs w:val="20"/>
          <w:color w:val="auto"/>
        </w:rPr>
      </w:pPr>
      <w:r>
        <w:rPr>
          <w:rFonts w:ascii="Times New Roman" w:cs="Times New Roman" w:eastAsia="Times New Roman" w:hAnsi="Times New Roman"/>
          <w:sz w:val="20"/>
          <w:szCs w:val="20"/>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at December 31, 2022 and 2021 (in thousands):</w:t>
      </w:r>
    </w:p>
    <w:p>
      <w:pPr>
        <w:spacing w:after="0" w:line="230"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5"/>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4"/>
        </w:trPr>
        <w:tc>
          <w:tcPr>
            <w:tcW w:w="4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Non-current deferred tax assets:</w:t>
            </w: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22"/>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01"/>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4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Federal and state net operating loss carryforwards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49,024</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other credits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Capitalized research and development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4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Reserves and accruals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Fixed assets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Capital loss carryover</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 based compensation</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Lease liability</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4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deferred tax assets</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480" w:type="dxa"/>
            <w:vAlign w:val="bottom"/>
          </w:tcPr>
          <w:p>
            <w:pPr>
              <w:ind w:left="400"/>
              <w:spacing w:after="0" w:line="201" w:lineRule="exact"/>
              <w:rPr>
                <w:sz w:val="20"/>
                <w:szCs w:val="20"/>
                <w:color w:val="auto"/>
              </w:rPr>
            </w:pPr>
            <w:r>
              <w:rPr>
                <w:rFonts w:ascii="Times New Roman" w:cs="Times New Roman" w:eastAsia="Times New Roman" w:hAnsi="Times New Roman"/>
                <w:sz w:val="20"/>
                <w:szCs w:val="20"/>
                <w:color w:val="auto"/>
              </w:rPr>
              <w:t>Gross non-current deferred tax assets</w:t>
            </w:r>
          </w:p>
        </w:tc>
        <w:tc>
          <w:tcPr>
            <w:tcW w:w="20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59,940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54,969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Intangible assets</w:t>
            </w:r>
          </w:p>
        </w:tc>
        <w:tc>
          <w:tcPr>
            <w:tcW w:w="2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(2,888)</w:t>
            </w: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(3,536)</w:t>
            </w:r>
          </w:p>
        </w:tc>
        <w:tc>
          <w:tcPr>
            <w:tcW w:w="0" w:type="dxa"/>
            <w:vAlign w:val="bottom"/>
          </w:tcPr>
          <w:p>
            <w:pPr>
              <w:spacing w:after="0"/>
              <w:rPr>
                <w:sz w:val="1"/>
                <w:szCs w:val="1"/>
                <w:color w:val="auto"/>
              </w:rPr>
            </w:pPr>
          </w:p>
        </w:tc>
      </w:tr>
      <w:tr>
        <w:trPr>
          <w:trHeight w:val="249"/>
        </w:trPr>
        <w:tc>
          <w:tcPr>
            <w:tcW w:w="44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Right-of-use assets</w:t>
            </w:r>
          </w:p>
        </w:tc>
        <w:tc>
          <w:tcPr>
            <w:tcW w:w="2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(35)</w:t>
            </w:r>
          </w:p>
        </w:tc>
        <w:tc>
          <w:tcPr>
            <w:tcW w:w="2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0" w:type="dxa"/>
            <w:vAlign w:val="bottom"/>
          </w:tcPr>
          <w:p>
            <w:pPr>
              <w:spacing w:after="0"/>
              <w:rPr>
                <w:sz w:val="1"/>
                <w:szCs w:val="1"/>
                <w:color w:val="auto"/>
              </w:rPr>
            </w:pPr>
          </w:p>
        </w:tc>
      </w:tr>
      <w:tr>
        <w:trPr>
          <w:trHeight w:val="201"/>
        </w:trPr>
        <w:tc>
          <w:tcPr>
            <w:tcW w:w="4480" w:type="dxa"/>
            <w:vAlign w:val="bottom"/>
          </w:tcPr>
          <w:p>
            <w:pPr>
              <w:ind w:left="400"/>
              <w:spacing w:after="0" w:line="201" w:lineRule="exact"/>
              <w:rPr>
                <w:sz w:val="20"/>
                <w:szCs w:val="20"/>
                <w:color w:val="auto"/>
              </w:rPr>
            </w:pPr>
            <w:r>
              <w:rPr>
                <w:rFonts w:ascii="Times New Roman" w:cs="Times New Roman" w:eastAsia="Times New Roman" w:hAnsi="Times New Roman"/>
                <w:sz w:val="20"/>
                <w:szCs w:val="20"/>
                <w:color w:val="auto"/>
              </w:rPr>
              <w:t>Total non-current deferred tax liabilities</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(2,923)</w:t>
            </w: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(3,654)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assets</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57,017</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51,315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4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Valuation allowance</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(57,017)</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(51,315)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Net deferred tax assets</w:t>
            </w:r>
          </w:p>
        </w:tc>
        <w:tc>
          <w:tcPr>
            <w:tcW w:w="2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-2555240</wp:posOffset>
            </wp:positionV>
            <wp:extent cx="4185920" cy="25400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0">
                      <a:extLst>
                        <a:ext uri="{28A0092B-C50C-407E-A947-70E740481C1C}"/>
                      </a:extLst>
                    </a:blip>
                    <a:srcRect/>
                    <a:stretch>
                      <a:fillRect/>
                    </a:stretch>
                  </pic:blipFill>
                  <pic:spPr bwMode="auto">
                    <a:xfrm>
                      <a:off x="0" y="0"/>
                      <a:ext cx="4185920" cy="2540000"/>
                    </a:xfrm>
                    <a:prstGeom prst="rect">
                      <a:avLst/>
                    </a:prstGeom>
                    <a:noFill/>
                  </pic:spPr>
                </pic:pic>
              </a:graphicData>
            </a:graphic>
          </wp:anchor>
        </w:drawing>
      </w:r>
    </w:p>
    <w:p>
      <w:pPr>
        <w:spacing w:after="0" w:line="277" w:lineRule="exact"/>
        <w:rPr>
          <w:sz w:val="20"/>
          <w:szCs w:val="20"/>
          <w:color w:val="auto"/>
        </w:rPr>
      </w:pPr>
    </w:p>
    <w:p>
      <w:pPr>
        <w:ind w:right="80" w:firstLine="490"/>
        <w:spacing w:after="0" w:line="270" w:lineRule="auto"/>
        <w:rPr>
          <w:sz w:val="20"/>
          <w:szCs w:val="20"/>
          <w:color w:val="auto"/>
        </w:rPr>
      </w:pPr>
      <w:r>
        <w:rPr>
          <w:rFonts w:ascii="Times New Roman" w:cs="Times New Roman" w:eastAsia="Times New Roman" w:hAnsi="Times New Roman"/>
          <w:sz w:val="19"/>
          <w:szCs w:val="19"/>
          <w:color w:val="auto"/>
        </w:rPr>
        <w:t>The Company has recorded a full valuation allowance against its net deferred tax assets due to the uncertainty as to whether such assets will be realized. The valuation allowance increased by $5.7 million from December 31, 2021 to December 31, 2022 primarily due to the generation of current year net operating losses, research and development credits claimed, capitalized research and developments costs, and stock-based compensation.</w:t>
      </w:r>
    </w:p>
    <w:p>
      <w:pPr>
        <w:spacing w:after="0" w:line="177"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As of December 31, 2022, the Company had $195.0 million of federal, $110.4 million of state and $2.5 million of foreign net operating losses available to offset future taxable income. The Federal net operating loss carryforwards arising from years prior to 2018 began to expire in 2023, however post 2017 federal net operating loss carryforwards of $90.1 million may be carried forward indefinitely. The state net operating loss carryforwards will begin to expire in 2028 and the foreign net operating loss carryforward can be carried forward indefinitely, if not utilized. As of December 31, 2022, the Company also had $3.9 million of federal and $2.5 million of state research and development credit carryforwards. The federal research and development credit carryforward begin to expire in 2024 and the state research and development credit can be carried forward indefinitely. Beginning in fiscal year 2023, the Tax Cuts and Jobs Act of 2017 eliminates the option to deduct research and development expenditures currently and requires taxpayers to amortize such costs over a period of five or fifteen years. While it is possible that Congress may modify, defer, or repeal such provision, we have no assurance that the provision will be modified, deferred or repealed.</w:t>
      </w:r>
    </w:p>
    <w:p>
      <w:pPr>
        <w:spacing w:after="0" w:line="206"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auto"/>
        </w:rPr>
        <w:t>Utilization of the net operating loss and tax credit carry forwards are subject to an annual limitation due to the ownership percentage change limitations provided by the Internal Revenue Code of 1986 and similar state provisions. The annual limitation may result in the expiration of the net operating loss before utilization. The Company completed Section 382 analysis through December 2016 and determined that an ownership change, as defined under Section 382 of the Internal Revenue Code, occurred in June 2016. The Company’s tax attributes are subject to an annual limitation of $0.5 million per year for federal purposes. For years ended after December 31, 2016, the utilization of net operating losses and tax credit carryforwards are subject to further limitation in the event an additional ownership change were to occur for tax purposes. The Company is currently in the process of analyzing whether there was an ownership change, as defined under Section 382 of the Internal Revenue Code, resulting from the issuance of new shares during 2018 through 2021 and expects that analysis to completed during 2022. As such, as of the date of these consolidated financial statements the Company is not able to determine the impact on the net operating loss (NOL) carryforwards, if any.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360"/>
          </w:cols>
          <w:pgMar w:left="1440" w:top="1420" w:right="1440" w:bottom="175" w:gutter="0" w:footer="0" w:header="0"/>
          <w:type w:val="continuous"/>
        </w:sectPr>
      </w:pPr>
    </w:p>
    <w:bookmarkStart w:id="83" w:name="page84"/>
    <w:bookmarkEnd w:id="83"/>
    <w:p>
      <w:pPr>
        <w:ind w:right="320" w:firstLine="490"/>
        <w:spacing w:after="0" w:line="305" w:lineRule="auto"/>
        <w:rPr>
          <w:sz w:val="20"/>
          <w:szCs w:val="20"/>
          <w:color w:val="auto"/>
        </w:rPr>
      </w:pPr>
      <w:r>
        <w:rPr>
          <w:rFonts w:ascii="Times New Roman" w:cs="Times New Roman" w:eastAsia="Times New Roman" w:hAnsi="Times New Roman"/>
          <w:sz w:val="19"/>
          <w:szCs w:val="19"/>
          <w:color w:val="auto"/>
        </w:rPr>
        <w:t>U.S. taxes and foreign withholding taxes have not been provided on undistributed earnings for certain non-U.S. subsidiaries as of December 31, 2022, as the earnings, if any, are intended to be indefinitely reinvested.</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tables summarize the activities of gross unrecognized tax benefits (in thousands):</w:t>
      </w:r>
    </w:p>
    <w:p>
      <w:pPr>
        <w:spacing w:after="0" w:line="276"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right"/>
              <w:ind w:right="46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4"/>
        </w:trPr>
        <w:tc>
          <w:tcPr>
            <w:tcW w:w="4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7"/>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4"/>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0"/>
        </w:trPr>
        <w:tc>
          <w:tcPr>
            <w:tcW w:w="4440" w:type="dxa"/>
            <w:vAlign w:val="bottom"/>
            <w:vMerge w:val="continue"/>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1,557</w:t>
            </w:r>
          </w:p>
        </w:tc>
        <w:tc>
          <w:tcPr>
            <w:tcW w:w="140" w:type="dxa"/>
            <w:vAlign w:val="bottom"/>
          </w:tcPr>
          <w:p>
            <w:pPr>
              <w:spacing w:after="0"/>
              <w:rPr>
                <w:sz w:val="17"/>
                <w:szCs w:val="17"/>
                <w:color w:val="auto"/>
              </w:rPr>
            </w:pPr>
          </w:p>
        </w:tc>
        <w:tc>
          <w:tcPr>
            <w:tcW w:w="220" w:type="dxa"/>
            <w:vAlign w:val="bottom"/>
          </w:tcPr>
          <w:p>
            <w:pPr>
              <w:jc w:val="right"/>
              <w:ind w:right="2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1,323</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Decrease related to prior year tax positions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Increase related to current year tax positions</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379</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w:t>
            </w:r>
          </w:p>
        </w:tc>
        <w:tc>
          <w:tcPr>
            <w:tcW w:w="0" w:type="dxa"/>
            <w:vAlign w:val="bottom"/>
          </w:tcPr>
          <w:p>
            <w:pPr>
              <w:spacing w:after="0"/>
              <w:rPr>
                <w:sz w:val="1"/>
                <w:szCs w:val="1"/>
                <w:color w:val="auto"/>
              </w:rPr>
            </w:pPr>
          </w:p>
        </w:tc>
      </w:tr>
      <w:tr>
        <w:trPr>
          <w:trHeight w:val="220"/>
        </w:trPr>
        <w:tc>
          <w:tcPr>
            <w:tcW w:w="44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Ending balance</w:t>
            </w:r>
          </w:p>
        </w:tc>
        <w:tc>
          <w:tcPr>
            <w:tcW w:w="2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1,936</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1,557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-637540</wp:posOffset>
            </wp:positionV>
            <wp:extent cx="4185920" cy="6223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1">
                      <a:extLst>
                        <a:ext uri="{28A0092B-C50C-407E-A947-70E740481C1C}"/>
                      </a:extLst>
                    </a:blip>
                    <a:srcRect/>
                    <a:stretch>
                      <a:fillRect/>
                    </a:stretch>
                  </pic:blipFill>
                  <pic:spPr bwMode="auto">
                    <a:xfrm>
                      <a:off x="0" y="0"/>
                      <a:ext cx="4185920" cy="622300"/>
                    </a:xfrm>
                    <a:prstGeom prst="rect">
                      <a:avLst/>
                    </a:prstGeom>
                    <a:noFill/>
                  </pic:spPr>
                </pic:pic>
              </a:graphicData>
            </a:graphic>
          </wp:anchor>
        </w:drawing>
      </w:r>
    </w:p>
    <w:p>
      <w:pPr>
        <w:spacing w:after="0" w:line="356"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The Company uses the “more likely than not” criterion for recognizing the tax benefit of uncertain tax positions and to establish measurement criteria for income tax benefits. The Company has determined it has $1.9 million of unrecognized assets and liabilities related to uncertain tax positions as of December 31, 2022. Changes in the unrecognized tax benefits within the next 12 months are expected to be similar to prior years and should not significantly increase or decrease. In the event the Company should need to recognize interest and penalties related to unrecognized tax liabilities, this amount will be recorded as a component of other expense.</w:t>
      </w:r>
    </w:p>
    <w:p>
      <w:pPr>
        <w:spacing w:after="0" w:line="80"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auto"/>
        </w:rPr>
        <w:t>There were no unrecognized tax benefits that would impact the effective tax rate as of December 31, 2022 and December 31, 2021. As of December 31, 2022, unrecognized tax benefits of $1.9 million would be offset by a change in valuation allowance.</w:t>
      </w:r>
    </w:p>
    <w:p>
      <w:pPr>
        <w:spacing w:after="0" w:line="68"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The Company files income tax returns in the U.S. federal jurisdiction, certain state jurisdictions, United Kingdom and Ireland. In the normal course of business, the Company is subject to examination by federal, state, local and foreign jurisdictions, where applicable. In the U.S federal jurisdiction, tax years 2003 forward remain open to examination, in the state tax jurisdiction, years 2008 forward remain open to examination and in the foreign jurisdiction, years 2015 forward remain open to examination. The Company is currently not under audit by any federal, state, local or foreign jurisdiction.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Net Loss per Share</w:t>
      </w:r>
    </w:p>
    <w:p>
      <w:pPr>
        <w:spacing w:after="0" w:line="124"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 xml:space="preserve">Basic net loss per share is computed by dividing net loss by the weighted-average number of common shares outstanding during the period. Diluted net loss per share is computed by dividing net loss by the weighted-average number of common shares outstanding and dilutive potential common shares that would be issued upon the exercise or vesting of common stock awards and exercise of common stock warrants that are not pre-funded. Potential common shares that are issuable for little or no cash consideration at issuance, such as the Company’s pre-funded warrants issued in March 2022, are considered outstanding common shares and are included in the calculation of basic and diluted net loss per share in accordance with </w:t>
      </w:r>
      <w:r>
        <w:rPr>
          <w:rFonts w:ascii="Times New Roman" w:cs="Times New Roman" w:eastAsia="Times New Roman" w:hAnsi="Times New Roman"/>
          <w:sz w:val="20"/>
          <w:szCs w:val="20"/>
          <w:i w:val="1"/>
          <w:iCs w:val="1"/>
          <w:color w:val="auto"/>
        </w:rPr>
        <w:t>ASC 260 Earnings Per Share</w:t>
      </w:r>
      <w:r>
        <w:rPr>
          <w:rFonts w:ascii="Times New Roman" w:cs="Times New Roman" w:eastAsia="Times New Roman" w:hAnsi="Times New Roman"/>
          <w:sz w:val="20"/>
          <w:szCs w:val="20"/>
          <w:color w:val="auto"/>
        </w:rPr>
        <w:t>. The Company applies the two-class method to calculate basic and diluted net loss per share as the 2022 common warrants issued in March 2022 are participating securities. However, the two- class method does not impact the net loss per share of common stock as the 2022 common warrants issued in March 2022 do not participate in losses</w:t>
      </w:r>
      <w:r>
        <w:rPr>
          <w:rFonts w:ascii="Calibri" w:cs="Calibri" w:eastAsia="Calibri" w:hAnsi="Calibri"/>
          <w:sz w:val="20"/>
          <w:szCs w:val="20"/>
          <w:color w:val="auto"/>
        </w:rPr>
        <w:t>.</w:t>
      </w:r>
      <w:r>
        <w:rPr>
          <w:rFonts w:ascii="Times New Roman" w:cs="Times New Roman" w:eastAsia="Times New Roman" w:hAnsi="Times New Roman"/>
          <w:sz w:val="20"/>
          <w:szCs w:val="20"/>
          <w:color w:val="auto"/>
        </w:rPr>
        <w:t xml:space="preserve"> For the years ended December 31, 2022 and 2021, the effect of issuing the potential common stock is anti-dilutive due to the net losses in those periods and therefore the number of shares used to compute basic and diluted net loss per share are the same in each of those periods.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360"/>
          </w:cols>
          <w:pgMar w:left="1440" w:top="1420" w:right="1440" w:bottom="175" w:gutter="0" w:footer="0" w:header="0"/>
          <w:type w:val="continuous"/>
        </w:sectPr>
      </w:pPr>
    </w:p>
    <w:bookmarkStart w:id="84" w:name="page85"/>
    <w:bookmarkEnd w:id="84"/>
    <w:p>
      <w:pPr>
        <w:ind w:right="60" w:firstLine="490"/>
        <w:spacing w:after="0" w:line="258" w:lineRule="auto"/>
        <w:rPr>
          <w:sz w:val="20"/>
          <w:szCs w:val="20"/>
          <w:color w:val="auto"/>
        </w:rPr>
      </w:pPr>
      <w:r>
        <w:rPr>
          <w:rFonts w:ascii="Times New Roman" w:cs="Times New Roman" w:eastAsia="Times New Roman" w:hAnsi="Times New Roman"/>
          <w:sz w:val="20"/>
          <w:szCs w:val="20"/>
          <w:color w:val="auto"/>
        </w:rPr>
        <w:t>The following potentially dilutive securities outstanding have been excluded from the computations of diluted weighted-average shares outstanding because such securities have an antidilutive impact due to losses reported (in common stock equivalent shares):</w:t>
      </w:r>
    </w:p>
    <w:p>
      <w:pPr>
        <w:spacing w:after="0" w:line="225"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02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174"/>
        </w:trPr>
        <w:tc>
          <w:tcPr>
            <w:tcW w:w="4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Warrants issued to 2010/2012 convertible note</w:t>
            </w:r>
          </w:p>
        </w:tc>
        <w:tc>
          <w:tcPr>
            <w:tcW w:w="940" w:type="dxa"/>
            <w:vAlign w:val="bottom"/>
            <w:tcBorders>
              <w:top w:val="single" w:sz="8" w:color="auto"/>
            </w:tcBorders>
          </w:tcPr>
          <w:p>
            <w:pPr>
              <w:jc w:val="right"/>
              <w:ind w:right="224"/>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060" w:type="dxa"/>
            <w:vAlign w:val="bottom"/>
            <w:tcBorders>
              <w:top w:val="single" w:sz="8" w:color="auto"/>
            </w:tcBorders>
            <w:gridSpan w:val="2"/>
          </w:tcPr>
          <w:p>
            <w:pPr>
              <w:jc w:val="right"/>
              <w:ind w:right="200"/>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480" w:type="dxa"/>
            <w:vAlign w:val="bottom"/>
            <w:vMerge w:val="continue"/>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holders to purchase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6,804</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6,804</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Options to purchase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686,574</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408,370</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Outstanding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19,068</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29,050</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Warrants issued to underwriter to purchase common</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stock</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1,100</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2018 PIPE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34,241</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34,241</w:t>
            </w:r>
          </w:p>
        </w:tc>
        <w:tc>
          <w:tcPr>
            <w:tcW w:w="0" w:type="dxa"/>
            <w:vAlign w:val="bottom"/>
          </w:tcPr>
          <w:p>
            <w:pPr>
              <w:spacing w:after="0"/>
              <w:rPr>
                <w:sz w:val="1"/>
                <w:szCs w:val="1"/>
                <w:color w:val="auto"/>
              </w:rPr>
            </w:pPr>
          </w:p>
        </w:tc>
      </w:tr>
      <w:tr>
        <w:trPr>
          <w:trHeight w:val="249"/>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2022 common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rPr>
              <w:t>4,000,000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448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9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CFF0FC"/>
              </w:rPr>
              <w:t>4,747,787</w:t>
            </w:r>
          </w:p>
        </w:tc>
        <w:tc>
          <w:tcPr>
            <w:tcW w:w="1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479,565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-1367790</wp:posOffset>
            </wp:positionV>
            <wp:extent cx="4185920" cy="13525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2">
                      <a:extLst>
                        <a:ext uri="{28A0092B-C50C-407E-A947-70E740481C1C}"/>
                      </a:extLst>
                    </a:blip>
                    <a:srcRect/>
                    <a:stretch>
                      <a:fillRect/>
                    </a:stretch>
                  </pic:blipFill>
                  <pic:spPr bwMode="auto">
                    <a:xfrm>
                      <a:off x="0" y="0"/>
                      <a:ext cx="4185920" cy="135255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Defined Contribution Plan</w:t>
      </w:r>
    </w:p>
    <w:p>
      <w:pPr>
        <w:spacing w:after="0" w:line="124"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auto"/>
        </w:rPr>
        <w:t>The Company sponsors a 401(k) Plan, which stipulates that eligible employees can elect to contribute to the 401(k) Plan, subject to certain limitations of eligible compensation. The Company may match employee contributions in amounts to be determined at the Company’s sole discretion. The Company made no matching contributions during the year ended December 31, 2022 and 2021.</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Subsequent Events</w:t>
      </w:r>
    </w:p>
    <w:p>
      <w:pPr>
        <w:spacing w:after="0" w:line="124" w:lineRule="exact"/>
        <w:rPr>
          <w:sz w:val="20"/>
          <w:szCs w:val="20"/>
          <w:color w:val="auto"/>
        </w:rPr>
      </w:pPr>
    </w:p>
    <w:p>
      <w:pPr>
        <w:ind w:right="480" w:firstLine="490"/>
        <w:spacing w:after="0" w:line="258" w:lineRule="auto"/>
        <w:rPr>
          <w:sz w:val="20"/>
          <w:szCs w:val="20"/>
          <w:color w:val="auto"/>
        </w:rPr>
      </w:pPr>
      <w:r>
        <w:rPr>
          <w:rFonts w:ascii="Times New Roman" w:cs="Times New Roman" w:eastAsia="Times New Roman" w:hAnsi="Times New Roman"/>
          <w:sz w:val="20"/>
          <w:szCs w:val="20"/>
          <w:color w:val="auto"/>
        </w:rPr>
        <w:t>The Company has evaluated its subsequent events from December 31, 2022 through the date these consolidated financial statements were issued and has determined that there are no subsequent events requiring disclosure in these consolidated financial statements.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360"/>
          </w:cols>
          <w:pgMar w:left="1440" w:top="1420" w:right="1440" w:bottom="175" w:gutter="0" w:footer="0" w:header="0"/>
          <w:type w:val="continuous"/>
        </w:sectPr>
      </w:pPr>
    </w:p>
    <w:bookmarkStart w:id="85" w:name="page86"/>
    <w:bookmarkEnd w:id="85"/>
    <w:p>
      <w:pPr>
        <w:jc w:val="center"/>
        <w:ind w:left="1460" w:right="260"/>
        <w:spacing w:after="0" w:line="255"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DISCLOSURES</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pacing w:after="0" w:line="326" w:lineRule="exact"/>
        <w:rPr>
          <w:sz w:val="20"/>
          <w:szCs w:val="20"/>
          <w:color w:val="auto"/>
        </w:rPr>
      </w:pPr>
    </w:p>
    <w:p>
      <w:pPr>
        <w:ind w:right="2700" w:firstLine="2699"/>
        <w:spacing w:after="0" w:line="336" w:lineRule="auto"/>
        <w:rPr>
          <w:sz w:val="20"/>
          <w:szCs w:val="20"/>
          <w:color w:val="auto"/>
        </w:rPr>
      </w:pPr>
      <w:r>
        <w:rPr>
          <w:rFonts w:ascii="Times New Roman" w:cs="Times New Roman" w:eastAsia="Times New Roman" w:hAnsi="Times New Roman"/>
          <w:sz w:val="20"/>
          <w:szCs w:val="20"/>
          <w:b w:val="1"/>
          <w:bCs w:val="1"/>
          <w:color w:val="auto"/>
        </w:rPr>
        <w:t>ITEM 9A. CONTROLS AND PROCEDURES Disclosure Controls and Procedures</w:t>
      </w:r>
    </w:p>
    <w:p>
      <w:pPr>
        <w:spacing w:after="0" w:line="1" w:lineRule="exact"/>
        <w:rPr>
          <w:sz w:val="20"/>
          <w:szCs w:val="20"/>
          <w:color w:val="auto"/>
        </w:rPr>
      </w:pPr>
    </w:p>
    <w:p>
      <w:pPr>
        <w:ind w:right="20" w:firstLine="490"/>
        <w:spacing w:after="0" w:line="218" w:lineRule="auto"/>
        <w:rPr>
          <w:sz w:val="20"/>
          <w:szCs w:val="20"/>
          <w:color w:val="auto"/>
        </w:rPr>
      </w:pPr>
      <w:r>
        <w:rPr>
          <w:rFonts w:ascii="Times New Roman" w:cs="Times New Roman" w:eastAsia="Times New Roman" w:hAnsi="Times New Roman"/>
          <w:sz w:val="20"/>
          <w:szCs w:val="20"/>
          <w:color w:val="auto"/>
        </w:rPr>
        <w:t>We maintain disclosure controls and procedures that are designed to ensure that information required to be disclosed in reports filed under the Securities Exchange Act of 1934, as amended (the Exchange Act), is recorded, processed, summarized and reported within the time periods specified in U.S. Securities and Exchange Commission,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180" w:lineRule="exact"/>
        <w:rPr>
          <w:sz w:val="20"/>
          <w:szCs w:val="20"/>
          <w:color w:val="auto"/>
        </w:rPr>
      </w:pPr>
    </w:p>
    <w:p>
      <w:pPr>
        <w:ind w:right="120" w:firstLine="490"/>
        <w:spacing w:after="0" w:line="217" w:lineRule="auto"/>
        <w:rPr>
          <w:sz w:val="20"/>
          <w:szCs w:val="20"/>
          <w:color w:val="auto"/>
        </w:rPr>
      </w:pPr>
      <w:r>
        <w:rPr>
          <w:rFonts w:ascii="Times New Roman" w:cs="Times New Roman" w:eastAsia="Times New Roman" w:hAnsi="Times New Roman"/>
          <w:sz w:val="20"/>
          <w:szCs w:val="20"/>
          <w:color w:val="auto"/>
        </w:rPr>
        <w:t>Our Principal Executive Officer and Principal Financial Officer, after evaluating the effectiveness of our disclosure controls and procedures (as defined in Exchange Act Rules 13a-15(e) and 15d-15(e)) as of the end of the period covered by this Annual Report on Form 10-K, have concluded that, based on such evaluation, our disclosure controls and procedures were effective to ensure that information required to be disclosed by us in the reports that we file or submit under the Exchange Act is recorded, processed, summarized and reported, with the time periods specified in the SEC’s rules and forms, and is accumulated and communicated to our management, including our Principal Executive Officer and Principal Financial Officer as appropriate to allow timely decisions regarding required disclosure.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Internal Control over Financial Reporting</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Management’s Annual Report on Internal Control over Financial Reporting</w:t>
      </w:r>
    </w:p>
    <w:p>
      <w:pPr>
        <w:spacing w:after="0" w:line="88" w:lineRule="exact"/>
        <w:rPr>
          <w:sz w:val="20"/>
          <w:szCs w:val="20"/>
          <w:color w:val="auto"/>
        </w:rPr>
      </w:pPr>
    </w:p>
    <w:p>
      <w:pPr>
        <w:ind w:right="60" w:firstLine="490"/>
        <w:spacing w:after="0" w:line="214"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 13a-15(f) under the Exchange Act. Internal control over financial reporting is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our transactions and the disposition of our assets, (ii) provide reasonable assurance that transactions are recorded as necessary to permit preparation of consolidated financial statements in accordance with GAAP and that receipts and expenditures are being made only in accordance with authorizations of our management and board of directors, and (iii) provide reasonable assurance regarding prevention or timely detection of unauthorized acquisition, use, or disposition of our assets that could have a material effect on the consolidated financial statements.</w:t>
      </w:r>
    </w:p>
    <w:p>
      <w:pPr>
        <w:spacing w:after="0" w:line="183" w:lineRule="exact"/>
        <w:rPr>
          <w:sz w:val="20"/>
          <w:szCs w:val="20"/>
          <w:color w:val="auto"/>
        </w:rPr>
      </w:pPr>
    </w:p>
    <w:p>
      <w:pPr>
        <w:ind w:right="300" w:firstLine="490"/>
        <w:spacing w:after="0" w:line="22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175" w:lineRule="exact"/>
        <w:rPr>
          <w:sz w:val="20"/>
          <w:szCs w:val="20"/>
          <w:color w:val="auto"/>
        </w:rPr>
      </w:pPr>
    </w:p>
    <w:p>
      <w:pPr>
        <w:jc w:val="both"/>
        <w:ind w:right="80" w:firstLine="490"/>
        <w:spacing w:after="0" w:line="226" w:lineRule="auto"/>
        <w:rPr>
          <w:sz w:val="20"/>
          <w:szCs w:val="20"/>
          <w:color w:val="auto"/>
        </w:rPr>
      </w:pPr>
      <w:r>
        <w:rPr>
          <w:rFonts w:ascii="Times New Roman" w:cs="Times New Roman" w:eastAsia="Times New Roman" w:hAnsi="Times New Roman"/>
          <w:sz w:val="20"/>
          <w:szCs w:val="20"/>
          <w:color w:val="auto"/>
        </w:rPr>
        <w:t xml:space="preserve">Management conducted an evaluation of the effectiveness of our control over financial reporting based on the 2013 framework in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xml:space="preserve"> issued by the Committee of Sponsoring Organizations of the Treadway Commission. Based on this evaluation, management concluded that our internal control over financial reporting was effective as of December 31, 2022.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Changes in Internal Controls</w:t>
      </w:r>
    </w:p>
    <w:p>
      <w:pPr>
        <w:spacing w:after="0" w:line="88" w:lineRule="exact"/>
        <w:rPr>
          <w:sz w:val="20"/>
          <w:szCs w:val="20"/>
          <w:color w:val="auto"/>
        </w:rPr>
      </w:pPr>
    </w:p>
    <w:p>
      <w:pPr>
        <w:ind w:right="60" w:firstLine="490"/>
        <w:spacing w:after="0" w:line="231" w:lineRule="auto"/>
        <w:rPr>
          <w:sz w:val="20"/>
          <w:szCs w:val="20"/>
          <w:color w:val="auto"/>
        </w:rPr>
      </w:pPr>
      <w:r>
        <w:rPr>
          <w:rFonts w:ascii="Times New Roman" w:cs="Times New Roman" w:eastAsia="Times New Roman" w:hAnsi="Times New Roman"/>
          <w:sz w:val="20"/>
          <w:szCs w:val="20"/>
          <w:color w:val="auto"/>
        </w:rPr>
        <w:t>There have been no changes to our internal control over financial reporting that occurred during our last fiscal quarter ended December 31, 2022 that have materially affected, or are reasonably likely to materially affect, our internal control over financial reporting.</w:t>
      </w:r>
    </w:p>
    <w:p>
      <w:pPr>
        <w:sectPr>
          <w:pgSz w:w="12240" w:h="15840" w:orient="portrait"/>
          <w:cols w:equalWidth="0" w:num="1">
            <w:col w:w="9360"/>
          </w:cols>
          <w:pgMar w:left="1440" w:top="139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360"/>
          </w:cols>
          <w:pgMar w:left="1440" w:top="1392" w:right="1440" w:bottom="175"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360"/>
          </w:cols>
          <w:pgMar w:left="1440" w:top="139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360"/>
          </w:cols>
          <w:pgMar w:left="1440" w:top="1392" w:right="1440" w:bottom="175"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24"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our Definitive Proxy Statement for our 2023 Annual Meeting of Stockholders. The Definitive Proxy Statement will be filed with the Securities and Exchange Commission within 120 days after the end of the fiscal year covered by this Annual Report on Form 10-K.</w:t>
      </w:r>
    </w:p>
    <w:p>
      <w:pPr>
        <w:spacing w:after="0" w:line="3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24"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our Definitive Proxy Statement for our 2023 Annual Meeting of Stockholders. The Definitive Proxy Statement will be filed with the Securities and Exchange Commission within 120 days after the end of the fiscal year covered by this Annual Report on Form 10-K.</w:t>
      </w:r>
    </w:p>
    <w:p>
      <w:pPr>
        <w:spacing w:after="0" w:line="310" w:lineRule="exact"/>
        <w:rPr>
          <w:sz w:val="20"/>
          <w:szCs w:val="20"/>
          <w:color w:val="auto"/>
        </w:rPr>
      </w:pPr>
    </w:p>
    <w:p>
      <w:pPr>
        <w:jc w:val="center"/>
        <w:ind w:left="1480"/>
        <w:spacing w:after="0" w:line="286"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36"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our Definitive Proxy Statement for our 2023 Annual Meeting of Stockholders. The Definitive Proxy Statement will be filed with the Securities and Exchange Commission within 120 days after the end of the fiscal year covered by this Annual Report on Form 10-K.</w:t>
      </w:r>
    </w:p>
    <w:p>
      <w:pPr>
        <w:spacing w:after="0" w:line="310" w:lineRule="exact"/>
        <w:rPr>
          <w:sz w:val="20"/>
          <w:szCs w:val="20"/>
          <w:color w:val="auto"/>
        </w:rPr>
      </w:pPr>
    </w:p>
    <w:p>
      <w:pPr>
        <w:jc w:val="center"/>
        <w:ind w:left="1480" w:right="520"/>
        <w:spacing w:after="0" w:line="286" w:lineRule="auto"/>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TRANSACTIONS,AND DIRECTOR INDEPENDENCE</w:t>
      </w:r>
    </w:p>
    <w:p>
      <w:pPr>
        <w:spacing w:after="0" w:line="36"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our Definitive Proxy Statement for our 2023 Annual Meeting of Stockholders. The Definitive Proxy Statement will be filed with the Securities and Exchange Commission within 120 days after the end of the fiscal year covered by this Annual Report on Form 10-K.</w:t>
      </w:r>
    </w:p>
    <w:p>
      <w:pPr>
        <w:spacing w:after="0" w:line="31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24"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our Definitive Proxy Statement for our 2023 Annual Meeting of Stockholders. The Definitive Proxy Statement will be filed with the Securities and Exchange Commission within 120 days after the end of the fiscal year covered by this Annual Report on Form 10-K.</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360"/>
          </w:cols>
          <w:pgMar w:left="1440" w:top="1416" w:right="1440" w:bottom="175"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124" w:lineRule="exact"/>
        <w:rPr>
          <w:sz w:val="20"/>
          <w:szCs w:val="20"/>
          <w:color w:val="auto"/>
        </w:rPr>
      </w:pPr>
    </w:p>
    <w:p>
      <w:pPr>
        <w:ind w:left="360" w:hanging="360"/>
        <w:spacing w:after="0"/>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 See “Index to Financial Statements” in Part II, Item 8 of this Annual Report on Form 10-</w:t>
      </w:r>
    </w:p>
    <w:p>
      <w:pPr>
        <w:spacing w:after="0" w:line="28" w:lineRule="exact"/>
        <w:rPr>
          <w:rFonts w:ascii="Times New Roman" w:cs="Times New Roman" w:eastAsia="Times New Roman" w:hAnsi="Times New Roman"/>
          <w:sz w:val="20"/>
          <w:szCs w:val="20"/>
          <w:color w:val="auto"/>
        </w:rPr>
      </w:pPr>
    </w:p>
    <w:p>
      <w:pPr>
        <w:ind w:left="3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w:t>
      </w:r>
    </w:p>
    <w:p>
      <w:pPr>
        <w:spacing w:after="0" w:line="92" w:lineRule="exact"/>
        <w:rPr>
          <w:rFonts w:ascii="Times New Roman" w:cs="Times New Roman" w:eastAsia="Times New Roman" w:hAnsi="Times New Roman"/>
          <w:sz w:val="20"/>
          <w:szCs w:val="20"/>
          <w:color w:val="auto"/>
        </w:rPr>
      </w:pPr>
    </w:p>
    <w:p>
      <w:pPr>
        <w:ind w:left="360" w:right="300" w:hanging="360"/>
        <w:spacing w:after="0" w:line="277" w:lineRule="auto"/>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Schedules: All schedules have been omitted because the information called for is not required or is shown either in the financial statements or in the notes thereto.</w:t>
      </w:r>
    </w:p>
    <w:p>
      <w:pPr>
        <w:spacing w:after="0" w:line="49" w:lineRule="exact"/>
        <w:rPr>
          <w:rFonts w:ascii="Times New Roman" w:cs="Times New Roman" w:eastAsia="Times New Roman" w:hAnsi="Times New Roman"/>
          <w:sz w:val="20"/>
          <w:szCs w:val="20"/>
          <w:color w:val="auto"/>
        </w:rPr>
      </w:pPr>
    </w:p>
    <w:p>
      <w:pPr>
        <w:ind w:left="360" w:right="40" w:hanging="360"/>
        <w:spacing w:after="0" w:line="277" w:lineRule="auto"/>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The exhibits listed in the accompanying index to exhibits are filed or incorporated by reference as part of this Annual Report on Form 10-K.</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360"/>
          </w:cols>
          <w:pgMar w:left="1440" w:top="1416" w:right="1440" w:bottom="175"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Incorporated by Reference from</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ind w:left="140"/>
              <w:spacing w:after="0" w:line="155" w:lineRule="exact"/>
              <w:rPr>
                <w:sz w:val="20"/>
                <w:szCs w:val="20"/>
                <w:color w:val="auto"/>
              </w:rPr>
            </w:pPr>
            <w:r>
              <w:rPr>
                <w:rFonts w:ascii="Times New Roman" w:cs="Times New Roman" w:eastAsia="Times New Roman" w:hAnsi="Times New Roman"/>
                <w:sz w:val="16"/>
                <w:szCs w:val="16"/>
                <w:b w:val="1"/>
                <w:bCs w:val="1"/>
                <w:color w:val="auto"/>
              </w:rPr>
              <w:t>Registrant’s</w:t>
            </w:r>
          </w:p>
        </w:tc>
        <w:tc>
          <w:tcPr>
            <w:tcW w:w="100" w:type="dxa"/>
            <w:vAlign w:val="bottom"/>
          </w:tcPr>
          <w:p>
            <w:pPr>
              <w:spacing w:after="0"/>
              <w:rPr>
                <w:sz w:val="13"/>
                <w:szCs w:val="13"/>
                <w:color w:val="auto"/>
              </w:rPr>
            </w:pPr>
          </w:p>
        </w:tc>
        <w:tc>
          <w:tcPr>
            <w:tcW w:w="1680" w:type="dxa"/>
            <w:vAlign w:val="bottom"/>
          </w:tcPr>
          <w:p>
            <w:pPr>
              <w:ind w:left="480"/>
              <w:spacing w:after="0" w:line="155" w:lineRule="exact"/>
              <w:rPr>
                <w:sz w:val="20"/>
                <w:szCs w:val="20"/>
                <w:color w:val="auto"/>
              </w:rPr>
            </w:pPr>
            <w:r>
              <w:rPr>
                <w:rFonts w:ascii="Times New Roman" w:cs="Times New Roman" w:eastAsia="Times New Roman" w:hAnsi="Times New Roman"/>
                <w:sz w:val="16"/>
                <w:szCs w:val="16"/>
                <w:b w:val="1"/>
                <w:bCs w:val="1"/>
                <w:color w:val="auto"/>
              </w:rPr>
              <w:t>Date Filed</w:t>
            </w:r>
          </w:p>
        </w:tc>
        <w:tc>
          <w:tcPr>
            <w:tcW w:w="100" w:type="dxa"/>
            <w:vAlign w:val="bottom"/>
          </w:tcPr>
          <w:p>
            <w:pPr>
              <w:spacing w:after="0"/>
              <w:rPr>
                <w:sz w:val="13"/>
                <w:szCs w:val="13"/>
                <w:color w:val="auto"/>
              </w:rPr>
            </w:pPr>
          </w:p>
        </w:tc>
        <w:tc>
          <w:tcPr>
            <w:tcW w:w="7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7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203"/>
        </w:trPr>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7"/>
                <w:szCs w:val="17"/>
                <w:color w:val="auto"/>
              </w:rPr>
            </w:pPr>
          </w:p>
        </w:tc>
        <w:tc>
          <w:tcPr>
            <w:tcW w:w="3580" w:type="dxa"/>
            <w:vAlign w:val="bottom"/>
          </w:tcPr>
          <w:p>
            <w:pPr>
              <w:ind w:left="11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0" w:type="dxa"/>
            <w:vAlign w:val="bottom"/>
          </w:tcPr>
          <w:p>
            <w:pPr>
              <w:spacing w:after="0"/>
              <w:rPr>
                <w:sz w:val="17"/>
                <w:szCs w:val="17"/>
                <w:color w:val="auto"/>
              </w:rPr>
            </w:pPr>
          </w:p>
        </w:tc>
        <w:tc>
          <w:tcPr>
            <w:tcW w:w="168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with the SEC</w:t>
            </w:r>
          </w:p>
        </w:tc>
        <w:tc>
          <w:tcPr>
            <w:tcW w:w="10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338"/>
        </w:trPr>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2.1</w:t>
            </w:r>
          </w:p>
        </w:tc>
        <w:tc>
          <w:tcPr>
            <w:tcW w:w="100" w:type="dxa"/>
            <w:vAlign w:val="bottom"/>
          </w:tcPr>
          <w:p>
            <w:pPr>
              <w:spacing w:after="0"/>
              <w:rPr>
                <w:sz w:val="24"/>
                <w:szCs w:val="24"/>
                <w:color w:val="auto"/>
              </w:rPr>
            </w:pPr>
          </w:p>
        </w:tc>
        <w:tc>
          <w:tcPr>
            <w:tcW w:w="3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Stock Purchase Agreement, dated as of July</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2017, and between Soleno Therapeutics, Inc., 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Delaware corporation, and NeoForce Holdings,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Inc. a Delaware corporation</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July 24, 2017</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2.1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2.2</w:t>
            </w:r>
          </w:p>
        </w:tc>
        <w:tc>
          <w:tcPr>
            <w:tcW w:w="100" w:type="dxa"/>
            <w:vAlign w:val="bottom"/>
          </w:tcPr>
          <w:p>
            <w:pPr>
              <w:spacing w:after="0"/>
              <w:rPr>
                <w:sz w:val="24"/>
                <w:szCs w:val="24"/>
                <w:color w:val="auto"/>
              </w:rPr>
            </w:pPr>
          </w:p>
        </w:tc>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Joint Venture Agreement, dated as of December</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w w:val="99"/>
              </w:rPr>
              <w:t>4, 2017, by and among Soleno Therapeutics,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Inc., Capnia, Inc., and OptAsia Healthcare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Limited</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December 8, 2017</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2.1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2.3</w:t>
            </w:r>
          </w:p>
        </w:tc>
        <w:tc>
          <w:tcPr>
            <w:tcW w:w="10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PRC IP Purchase Agreement, dated as of</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December 4, 2017, by and between OptAsia</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Healthcare Limited and Capnia, Inc.</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December 8, 2017</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2.2</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2.4</w:t>
            </w:r>
          </w:p>
        </w:tc>
        <w:tc>
          <w:tcPr>
            <w:tcW w:w="10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Transition Services Agreement, dated as of</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December 4, 2017, by and among Soleno</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Therapeutics, Inc., a Delaware corporation,</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w w:val="99"/>
              </w:rPr>
              <w:t>Capnia, Inc. and OptAsia Healthcare, Ltd., a</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Hong Kong company</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December 8, 2017</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2.3</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10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Certificate of</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Incorporation of Soleno Therapeutics, Inc.</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August 7,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3.2</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3.2</w:t>
            </w:r>
          </w:p>
        </w:tc>
        <w:tc>
          <w:tcPr>
            <w:tcW w:w="10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Bylaws of Soleno</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Therapeutics, Inc.</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July 1,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3.4</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3.3</w:t>
            </w:r>
          </w:p>
        </w:tc>
        <w:tc>
          <w:tcPr>
            <w:tcW w:w="100" w:type="dxa"/>
            <w:vAlign w:val="bottom"/>
          </w:tcPr>
          <w:p>
            <w:pPr>
              <w:spacing w:after="0"/>
              <w:rPr>
                <w:sz w:val="24"/>
                <w:szCs w:val="24"/>
                <w:color w:val="auto"/>
              </w:rPr>
            </w:pPr>
          </w:p>
        </w:tc>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Certificate of Designation of Preferences, Rights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and Limitations of Series A Convertible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Preferred Stock.</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October 15,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3.4</w:t>
            </w:r>
          </w:p>
        </w:tc>
        <w:tc>
          <w:tcPr>
            <w:tcW w:w="100" w:type="dxa"/>
            <w:vAlign w:val="bottom"/>
          </w:tcPr>
          <w:p>
            <w:pPr>
              <w:spacing w:after="0"/>
              <w:rPr>
                <w:sz w:val="24"/>
                <w:szCs w:val="24"/>
                <w:color w:val="auto"/>
              </w:rPr>
            </w:pPr>
          </w:p>
        </w:tc>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Certificate of Designation of Preferences, Rights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and Limitations of Series B Convertible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Preferred Stock</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July 6, 2016</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3.5</w:t>
            </w:r>
          </w:p>
        </w:tc>
        <w:tc>
          <w:tcPr>
            <w:tcW w:w="10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Certificate of Amendment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May 11, 2017</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3.6</w:t>
            </w:r>
          </w:p>
        </w:tc>
        <w:tc>
          <w:tcPr>
            <w:tcW w:w="100" w:type="dxa"/>
            <w:vAlign w:val="bottom"/>
          </w:tcPr>
          <w:p>
            <w:pPr>
              <w:spacing w:after="0"/>
              <w:rPr>
                <w:sz w:val="24"/>
                <w:szCs w:val="24"/>
                <w:color w:val="auto"/>
              </w:rPr>
            </w:pPr>
          </w:p>
        </w:tc>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Certificate of Amendment to the Certificate of</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Incorporation</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October 6, 2017</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3.7</w:t>
            </w:r>
          </w:p>
        </w:tc>
        <w:tc>
          <w:tcPr>
            <w:tcW w:w="100" w:type="dxa"/>
            <w:vAlign w:val="bottom"/>
          </w:tcPr>
          <w:p>
            <w:pPr>
              <w:spacing w:after="0"/>
              <w:rPr>
                <w:sz w:val="24"/>
                <w:szCs w:val="24"/>
                <w:color w:val="auto"/>
              </w:rPr>
            </w:pPr>
          </w:p>
        </w:tc>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Certificate of Amendment to the Certificate of</w:t>
            </w: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4"/>
                <w:szCs w:val="24"/>
                <w:color w:val="auto"/>
              </w:rPr>
            </w:pPr>
          </w:p>
        </w:tc>
        <w:tc>
          <w:tcPr>
            <w:tcW w:w="1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August 25, 2022</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Incorporation</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10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Form of the Registrant's common stock</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certificate.</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August 5,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4.2</w:t>
            </w:r>
          </w:p>
        </w:tc>
        <w:tc>
          <w:tcPr>
            <w:tcW w:w="10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Investors’ Rights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Agreement, dated March 20, 2008, by and</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w w:val="99"/>
              </w:rPr>
              <w:t>among Soleno Therapeutics, Inc. and certain</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holders of the Soleno Therapeutics, Inc.’s capital</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stock named therein.</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July 1,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4.2</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360"/>
          </w:cols>
          <w:pgMar w:left="1440" w:top="1416" w:right="1440" w:bottom="175" w:gutter="0" w:footer="0" w:header="0"/>
          <w:type w:val="continuous"/>
        </w:sectPr>
      </w:pPr>
    </w:p>
    <w:bookmarkStart w:id="90" w:name="page91"/>
    <w:bookmarkEnd w:id="90"/>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6"/>
                <w:szCs w:val="16"/>
                <w:color w:val="auto"/>
              </w:rPr>
            </w:pPr>
          </w:p>
        </w:tc>
        <w:tc>
          <w:tcPr>
            <w:tcW w:w="3920" w:type="dxa"/>
            <w:vAlign w:val="bottom"/>
          </w:tcPr>
          <w:p>
            <w:pPr>
              <w:spacing w:after="0"/>
              <w:rPr>
                <w:sz w:val="16"/>
                <w:szCs w:val="16"/>
                <w:color w:val="auto"/>
              </w:rPr>
            </w:pPr>
          </w:p>
        </w:tc>
      </w:tr>
      <w:tr>
        <w:trPr>
          <w:trHeight w:val="203"/>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7"/>
                <w:szCs w:val="17"/>
                <w:color w:val="auto"/>
              </w:rPr>
            </w:pPr>
          </w:p>
        </w:tc>
        <w:tc>
          <w:tcPr>
            <w:tcW w:w="39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r>
      <w:tr>
        <w:trPr>
          <w:trHeight w:val="256"/>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4.3</w:t>
            </w:r>
          </w:p>
        </w:tc>
        <w:tc>
          <w:tcPr>
            <w:tcW w:w="100" w:type="dxa"/>
            <w:vAlign w:val="bottom"/>
          </w:tcPr>
          <w:p>
            <w:pPr>
              <w:spacing w:after="0"/>
              <w:rPr>
                <w:sz w:val="22"/>
                <w:szCs w:val="22"/>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Form of Series A Warrant Agreement.</w:t>
            </w:r>
          </w:p>
        </w:tc>
      </w:tr>
      <w:tr>
        <w:trPr>
          <w:trHeight w:val="44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4.4</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Form of the Series A Warrant certificate.</w:t>
            </w: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4.5</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Form of Underwriters’ Compensation Warrant.</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4.6</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Form of Convertible Promissory Note issued in</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February 2010 and March 2010 in connection</w:t>
            </w: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with the 2010 convertible note financing.</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4.7</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Form of Warrant to Purchase Shares issued in</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February 2010 and March 2010 in connection</w:t>
            </w: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with the 2010 convertible note financing.</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4.8</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Form of Convertible Promissory Note issued in</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November 2010 in connection with the 2010</w:t>
            </w: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convertible note financing.</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4.9</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Form of Warrant to Purchase Shares issued in</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November 2010 in connection with the 2010</w:t>
            </w: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convertible note financing.</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4.10</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Form of Convertible Promissory Note issued in</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January 2012 in connection with the 2012</w:t>
            </w: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convertible note financing.</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4.11</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Form of Warrant to Purchase Shares issued in</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January 2012 in connection with Soleno</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Therapeutics, Inc.’s 2012 convertible note</w:t>
            </w: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financing.</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4.12</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Form of Convertible Promissory Note issued in</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July 2012 and August 2012 in connection with</w:t>
            </w: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the 2012 convertible note financing.</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4.13</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Form of Warrant to Purchase Shares issued in</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July 2012 and August 2012 in connection with</w:t>
            </w: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the 2012 convertible note financing.</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4.14</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Form of Convertible Promissory Note issued in</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April, August and October 2014 in connection</w:t>
            </w: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with the 2014 convertible note financing.</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4.15</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Form of Warrant to Purchase Shares issued in</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April, August and October 2014 in connection</w:t>
            </w: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with the 2014 convertible note financing.</w:t>
            </w: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4.16</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Form of unit certificate.</w:t>
            </w: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4.17</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Form of Series B Warrant Agreement.</w:t>
            </w: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4.18</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Form of the Series B Warrant certificate.</w:t>
            </w:r>
          </w:p>
        </w:tc>
      </w:tr>
    </w:tbl>
    <w:p>
      <w:pPr>
        <w:spacing w:after="0" w:line="20" w:lineRule="exact"/>
        <w:rPr>
          <w:sz w:val="20"/>
          <w:szCs w:val="20"/>
          <w:color w:val="auto"/>
        </w:rPr>
      </w:pPr>
      <w:r>
        <w:rPr>
          <w:sz w:val="20"/>
          <w:szCs w:val="20"/>
          <w:color w:val="auto"/>
        </w:rPr>
        <w:br w:type="column"/>
      </w:r>
    </w:p>
    <w:p>
      <w:pPr>
        <w:ind w:left="1380"/>
        <w:spacing w:after="0"/>
        <w:rPr>
          <w:sz w:val="20"/>
          <w:szCs w:val="20"/>
          <w:color w:val="auto"/>
        </w:rPr>
      </w:pPr>
      <w:r>
        <w:rPr>
          <w:rFonts w:ascii="Times New Roman" w:cs="Times New Roman" w:eastAsia="Times New Roman" w:hAnsi="Times New Roman"/>
          <w:sz w:val="16"/>
          <w:szCs w:val="16"/>
          <w:b w:val="1"/>
          <w:bCs w:val="1"/>
          <w:color w:val="auto"/>
        </w:rPr>
        <w:t>Incorporated by Reference from</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00" w:type="dxa"/>
            <w:vAlign w:val="bottom"/>
            <w:tcBorders>
              <w:top w:val="single" w:sz="8" w:color="auto"/>
            </w:tcBorders>
          </w:tcPr>
          <w:p>
            <w:pPr>
              <w:ind w:left="140"/>
              <w:spacing w:after="0" w:line="155" w:lineRule="exact"/>
              <w:rPr>
                <w:sz w:val="20"/>
                <w:szCs w:val="20"/>
                <w:color w:val="auto"/>
              </w:rPr>
            </w:pPr>
            <w:r>
              <w:rPr>
                <w:rFonts w:ascii="Times New Roman" w:cs="Times New Roman" w:eastAsia="Times New Roman" w:hAnsi="Times New Roman"/>
                <w:sz w:val="16"/>
                <w:szCs w:val="16"/>
                <w:b w:val="1"/>
                <w:bCs w:val="1"/>
                <w:color w:val="auto"/>
              </w:rPr>
              <w:t>Registrant’s</w:t>
            </w:r>
          </w:p>
        </w:tc>
        <w:tc>
          <w:tcPr>
            <w:tcW w:w="10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ind w:left="480"/>
              <w:spacing w:after="0" w:line="155" w:lineRule="exact"/>
              <w:rPr>
                <w:sz w:val="20"/>
                <w:szCs w:val="20"/>
                <w:color w:val="auto"/>
              </w:rPr>
            </w:pPr>
            <w:r>
              <w:rPr>
                <w:rFonts w:ascii="Times New Roman" w:cs="Times New Roman" w:eastAsia="Times New Roman" w:hAnsi="Times New Roman"/>
                <w:sz w:val="16"/>
                <w:szCs w:val="16"/>
                <w:b w:val="1"/>
                <w:bCs w:val="1"/>
                <w:color w:val="auto"/>
              </w:rPr>
              <w:t>Date Filed</w:t>
            </w: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Filed</w:t>
            </w:r>
          </w:p>
        </w:tc>
      </w:tr>
      <w:tr>
        <w:trPr>
          <w:trHeight w:val="203"/>
        </w:trPr>
        <w:tc>
          <w:tcPr>
            <w:tcW w:w="1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0" w:type="dxa"/>
            <w:vAlign w:val="bottom"/>
          </w:tcPr>
          <w:p>
            <w:pPr>
              <w:spacing w:after="0"/>
              <w:rPr>
                <w:sz w:val="17"/>
                <w:szCs w:val="17"/>
                <w:color w:val="auto"/>
              </w:rPr>
            </w:pPr>
          </w:p>
        </w:tc>
        <w:tc>
          <w:tcPr>
            <w:tcW w:w="16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with the SEC</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256"/>
        </w:trPr>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2"/>
                <w:szCs w:val="22"/>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August 5, 2014</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4.3</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440"/>
        </w:trPr>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August 5,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4.4</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60"/>
        </w:trPr>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August 5,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4.5</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920"/>
        </w:trPr>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4.6</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920"/>
        </w:trPr>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4.7</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920"/>
        </w:trPr>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4.8</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920"/>
        </w:trPr>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4.9</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920"/>
        </w:trPr>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4.10</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0"/>
        </w:trPr>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4.11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920"/>
        </w:trPr>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4.12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920"/>
        </w:trPr>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4.13</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920"/>
        </w:trPr>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4.14</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920"/>
        </w:trPr>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4.15</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60"/>
        </w:trPr>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August 5,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4.16</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60"/>
        </w:trPr>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November 4,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4.17</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60"/>
        </w:trPr>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November 4,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4.18</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2">
            <w:col w:w="4860" w:space="100"/>
            <w:col w:w="440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360"/>
          </w:cols>
          <w:pgMar w:left="1440" w:top="1420" w:right="1440" w:bottom="175"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03"/>
        </w:trPr>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Incorporated by Reference from</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ind w:left="140"/>
              <w:spacing w:after="0" w:line="155" w:lineRule="exact"/>
              <w:rPr>
                <w:sz w:val="20"/>
                <w:szCs w:val="20"/>
                <w:color w:val="auto"/>
              </w:rPr>
            </w:pPr>
            <w:r>
              <w:rPr>
                <w:rFonts w:ascii="Times New Roman" w:cs="Times New Roman" w:eastAsia="Times New Roman" w:hAnsi="Times New Roman"/>
                <w:sz w:val="16"/>
                <w:szCs w:val="16"/>
                <w:b w:val="1"/>
                <w:bCs w:val="1"/>
                <w:color w:val="auto"/>
              </w:rPr>
              <w:t>Registrant’s</w:t>
            </w:r>
          </w:p>
        </w:tc>
        <w:tc>
          <w:tcPr>
            <w:tcW w:w="100" w:type="dxa"/>
            <w:vAlign w:val="bottom"/>
          </w:tcPr>
          <w:p>
            <w:pPr>
              <w:spacing w:after="0"/>
              <w:rPr>
                <w:sz w:val="13"/>
                <w:szCs w:val="13"/>
                <w:color w:val="auto"/>
              </w:rPr>
            </w:pPr>
          </w:p>
        </w:tc>
        <w:tc>
          <w:tcPr>
            <w:tcW w:w="1680" w:type="dxa"/>
            <w:vAlign w:val="bottom"/>
          </w:tcPr>
          <w:p>
            <w:pPr>
              <w:ind w:left="480"/>
              <w:spacing w:after="0" w:line="155" w:lineRule="exact"/>
              <w:rPr>
                <w:sz w:val="20"/>
                <w:szCs w:val="20"/>
                <w:color w:val="auto"/>
              </w:rPr>
            </w:pPr>
            <w:r>
              <w:rPr>
                <w:rFonts w:ascii="Times New Roman" w:cs="Times New Roman" w:eastAsia="Times New Roman" w:hAnsi="Times New Roman"/>
                <w:sz w:val="16"/>
                <w:szCs w:val="16"/>
                <w:b w:val="1"/>
                <w:bCs w:val="1"/>
                <w:color w:val="auto"/>
              </w:rPr>
              <w:t>Date Filed</w:t>
            </w:r>
          </w:p>
        </w:tc>
        <w:tc>
          <w:tcPr>
            <w:tcW w:w="100" w:type="dxa"/>
            <w:vAlign w:val="bottom"/>
          </w:tcPr>
          <w:p>
            <w:pPr>
              <w:spacing w:after="0"/>
              <w:rPr>
                <w:sz w:val="13"/>
                <w:szCs w:val="13"/>
                <w:color w:val="auto"/>
              </w:rPr>
            </w:pPr>
          </w:p>
        </w:tc>
        <w:tc>
          <w:tcPr>
            <w:tcW w:w="7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7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203"/>
        </w:trPr>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7"/>
                <w:szCs w:val="17"/>
                <w:color w:val="auto"/>
              </w:rPr>
            </w:pPr>
          </w:p>
        </w:tc>
        <w:tc>
          <w:tcPr>
            <w:tcW w:w="4020" w:type="dxa"/>
            <w:vAlign w:val="bottom"/>
            <w:gridSpan w:val="2"/>
          </w:tcPr>
          <w:p>
            <w:pPr>
              <w:ind w:left="11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c>
          <w:tcPr>
            <w:tcW w:w="10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0" w:type="dxa"/>
            <w:vAlign w:val="bottom"/>
          </w:tcPr>
          <w:p>
            <w:pPr>
              <w:spacing w:after="0"/>
              <w:rPr>
                <w:sz w:val="17"/>
                <w:szCs w:val="17"/>
                <w:color w:val="auto"/>
              </w:rPr>
            </w:pPr>
          </w:p>
        </w:tc>
        <w:tc>
          <w:tcPr>
            <w:tcW w:w="168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with the SEC</w:t>
            </w:r>
          </w:p>
        </w:tc>
        <w:tc>
          <w:tcPr>
            <w:tcW w:w="10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256"/>
        </w:trPr>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4.19</w:t>
            </w:r>
          </w:p>
        </w:tc>
        <w:tc>
          <w:tcPr>
            <w:tcW w:w="100" w:type="dxa"/>
            <w:vAlign w:val="bottom"/>
          </w:tcPr>
          <w:p>
            <w:pPr>
              <w:spacing w:after="0"/>
              <w:rPr>
                <w:sz w:val="22"/>
                <w:szCs w:val="22"/>
                <w:color w:val="auto"/>
              </w:rPr>
            </w:pP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Form of the Series C Warrant Agreement.</w:t>
            </w:r>
          </w:p>
        </w:tc>
        <w:tc>
          <w:tcPr>
            <w:tcW w:w="100" w:type="dxa"/>
            <w:vAlign w:val="bottom"/>
          </w:tcPr>
          <w:p>
            <w:pPr>
              <w:spacing w:after="0"/>
              <w:rPr>
                <w:sz w:val="22"/>
                <w:szCs w:val="22"/>
                <w:color w:val="auto"/>
              </w:rPr>
            </w:pPr>
          </w:p>
        </w:tc>
        <w:tc>
          <w:tcPr>
            <w:tcW w:w="10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S-4</w:t>
            </w:r>
          </w:p>
        </w:tc>
        <w:tc>
          <w:tcPr>
            <w:tcW w:w="100" w:type="dxa"/>
            <w:vAlign w:val="bottom"/>
          </w:tcPr>
          <w:p>
            <w:pPr>
              <w:spacing w:after="0"/>
              <w:rPr>
                <w:sz w:val="22"/>
                <w:szCs w:val="22"/>
                <w:color w:val="auto"/>
              </w:rPr>
            </w:pPr>
          </w:p>
        </w:tc>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April 1, 2015</w:t>
            </w:r>
          </w:p>
        </w:tc>
        <w:tc>
          <w:tcPr>
            <w:tcW w:w="100" w:type="dxa"/>
            <w:vAlign w:val="bottom"/>
          </w:tcPr>
          <w:p>
            <w:pPr>
              <w:spacing w:after="0"/>
              <w:rPr>
                <w:sz w:val="22"/>
                <w:szCs w:val="22"/>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4.19</w:t>
            </w:r>
          </w:p>
        </w:tc>
        <w:tc>
          <w:tcPr>
            <w:tcW w:w="8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4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4.20</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the Series C Warrant certificate.</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S-4</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April 1,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4.20</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4.21</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Series D Common Stock Purchase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October 15,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4.22</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Placement Agent Warrant.</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October 15,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4.23</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Series D common stock Warrant</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Certificate.</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October 15,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4.3</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4.24</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Series A Convertible Preferred Stock</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Certificate.</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October 15,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4.4</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4.25</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Placement Agent Warrant.</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July 6, 2016</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4.26</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Series B Convertible Preferred Stock</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Certificate.</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July 6, 2016</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4.2</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4.27</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Common Stock Purchase Warrant</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December 13, 2017</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4.28</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Common Stock Purchase Warrant</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December 19, 2018</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4.29</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Description of the Registrant’s Securities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Registered Pursuant to Section 12 of the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Securities Exchange Act of 1934</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March 4, 2020</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4.29</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4.30</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Pre-Funded Warrant To Purchase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Common Stock.</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March 30, 2022</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4.31</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Common Warrant To Purchase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Common Stock.</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March 30, 2022</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4.2</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4.32</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Tranche A Warrant to Purchase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Common Stock</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December 19, 2022</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4.33</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Tranche B Warrant to Purchase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Common Stock</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December 19, 2022</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9.10</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Voting Agreement.</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October 15,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9.1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9.20</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Voting Agreement.</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July 6, 2016</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9.1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9.30</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Voting Agreement.</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December 27, 2016</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Indemnification Agreement between the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Registrant and each of its directors and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executive officers.</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1999 Incentive Stock Plan and forms of</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agreements thereunder.</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9360"/>
          </w:cols>
          <w:pgMar w:left="1440" w:top="1420" w:right="1440" w:bottom="175"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03"/>
        </w:trPr>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Incorporated by Reference from</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ind w:left="140"/>
              <w:spacing w:after="0" w:line="155" w:lineRule="exact"/>
              <w:rPr>
                <w:sz w:val="20"/>
                <w:szCs w:val="20"/>
                <w:color w:val="auto"/>
              </w:rPr>
            </w:pPr>
            <w:r>
              <w:rPr>
                <w:rFonts w:ascii="Times New Roman" w:cs="Times New Roman" w:eastAsia="Times New Roman" w:hAnsi="Times New Roman"/>
                <w:sz w:val="16"/>
                <w:szCs w:val="16"/>
                <w:b w:val="1"/>
                <w:bCs w:val="1"/>
                <w:color w:val="auto"/>
              </w:rPr>
              <w:t>Registrant’s</w:t>
            </w:r>
          </w:p>
        </w:tc>
        <w:tc>
          <w:tcPr>
            <w:tcW w:w="100" w:type="dxa"/>
            <w:vAlign w:val="bottom"/>
          </w:tcPr>
          <w:p>
            <w:pPr>
              <w:spacing w:after="0"/>
              <w:rPr>
                <w:sz w:val="13"/>
                <w:szCs w:val="13"/>
                <w:color w:val="auto"/>
              </w:rPr>
            </w:pPr>
          </w:p>
        </w:tc>
        <w:tc>
          <w:tcPr>
            <w:tcW w:w="1680" w:type="dxa"/>
            <w:vAlign w:val="bottom"/>
          </w:tcPr>
          <w:p>
            <w:pPr>
              <w:ind w:left="480"/>
              <w:spacing w:after="0" w:line="155" w:lineRule="exact"/>
              <w:rPr>
                <w:sz w:val="20"/>
                <w:szCs w:val="20"/>
                <w:color w:val="auto"/>
              </w:rPr>
            </w:pPr>
            <w:r>
              <w:rPr>
                <w:rFonts w:ascii="Times New Roman" w:cs="Times New Roman" w:eastAsia="Times New Roman" w:hAnsi="Times New Roman"/>
                <w:sz w:val="16"/>
                <w:szCs w:val="16"/>
                <w:b w:val="1"/>
                <w:bCs w:val="1"/>
                <w:color w:val="auto"/>
              </w:rPr>
              <w:t>Date Filed</w:t>
            </w:r>
          </w:p>
        </w:tc>
        <w:tc>
          <w:tcPr>
            <w:tcW w:w="100" w:type="dxa"/>
            <w:vAlign w:val="bottom"/>
          </w:tcPr>
          <w:p>
            <w:pPr>
              <w:spacing w:after="0"/>
              <w:rPr>
                <w:sz w:val="13"/>
                <w:szCs w:val="13"/>
                <w:color w:val="auto"/>
              </w:rPr>
            </w:pPr>
          </w:p>
        </w:tc>
        <w:tc>
          <w:tcPr>
            <w:tcW w:w="7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7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203"/>
        </w:trPr>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7"/>
                <w:szCs w:val="17"/>
                <w:color w:val="auto"/>
              </w:rPr>
            </w:pPr>
          </w:p>
        </w:tc>
        <w:tc>
          <w:tcPr>
            <w:tcW w:w="4020" w:type="dxa"/>
            <w:vAlign w:val="bottom"/>
            <w:gridSpan w:val="2"/>
          </w:tcPr>
          <w:p>
            <w:pPr>
              <w:ind w:left="11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c>
          <w:tcPr>
            <w:tcW w:w="10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0" w:type="dxa"/>
            <w:vAlign w:val="bottom"/>
          </w:tcPr>
          <w:p>
            <w:pPr>
              <w:spacing w:after="0"/>
              <w:rPr>
                <w:sz w:val="17"/>
                <w:szCs w:val="17"/>
                <w:color w:val="auto"/>
              </w:rPr>
            </w:pPr>
          </w:p>
        </w:tc>
        <w:tc>
          <w:tcPr>
            <w:tcW w:w="168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with the SEC</w:t>
            </w:r>
          </w:p>
        </w:tc>
        <w:tc>
          <w:tcPr>
            <w:tcW w:w="10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200"/>
        </w:trPr>
        <w:tc>
          <w:tcPr>
            <w:tcW w:w="8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10.3</w:t>
            </w:r>
          </w:p>
        </w:tc>
        <w:tc>
          <w:tcPr>
            <w:tcW w:w="100" w:type="dxa"/>
            <w:vAlign w:val="bottom"/>
          </w:tcPr>
          <w:p>
            <w:pPr>
              <w:spacing w:after="0"/>
              <w:rPr>
                <w:sz w:val="17"/>
                <w:szCs w:val="17"/>
                <w:color w:val="auto"/>
              </w:rPr>
            </w:pPr>
          </w:p>
        </w:tc>
        <w:tc>
          <w:tcPr>
            <w:tcW w:w="392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rPr>
              <w:t>2010 Equity Incentive Plan and forms of</w:t>
            </w: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agreements thereunder.</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2014 Equity Incentive Plan and forms of</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agreements thereunder.</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July 1,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10.5</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2014 Employee Stock Purchase Plan and forms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 agreements thereunder.</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July 1,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10.5</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10.6</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Offer Letter, dated June 22, 2007, by and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between Soleno Therapeutics, Inc. and Ernest</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Mario, Ph.D.</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10.6</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10.7</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Employment Agreement, dated April 6, 2010, by</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 between Soleno Therapeutics, Inc. and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Anish Bhatnagar.</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10.7</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10.8</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Offer Letter, dated May 29, 2013, between</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Soleno Therapeutics, Inc. and Anthony Wondka.</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10.8</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10.9</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Offer Letter, dated April 17, 2014, by and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between Soleno Therapeutics, Inc. and Antoun</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Nabhan.</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10.9</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10.10</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Asset Purchase Agreement dated May 11, 2010,</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and between Soleno Therapeutics, Inc. and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BioMedical Drug Development Inc.</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10.10</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10.11</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Convertible Note and Warrant Purchase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Agreement, dated February 10, 2010, by and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among Soleno Therapeutics, Inc. and the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investors named therein.</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10.12</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No. 1 to Convertible Note and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Purchase Agreement, Convertible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Promissory Notes and Warrants to Purchase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Shares, dated November 10, 2010, by and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among Soleno Therapeutics, Inc. and the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investors named therein.</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10.12</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10.13</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No. 2 to Convertible Note and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Purchase Agreement, Convertible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Promissory Notes and Warrants to Purchase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Shares, dated January 17, 2012, by and among</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Soleno Therapeutics, Inc. and the investors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named therein.</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10.13</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10.14</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Convertible Note and Warrant Purchase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Agreement, dated January 16, 2012, by and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among Soleno Therapeutics, Inc. and the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investors named therein.</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10.14</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360"/>
          </w:cols>
          <w:pgMar w:left="1440" w:top="1420" w:right="1440" w:bottom="175"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03"/>
        </w:trPr>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Incorporated by Reference from</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ind w:left="140"/>
              <w:spacing w:after="0" w:line="155" w:lineRule="exact"/>
              <w:rPr>
                <w:sz w:val="20"/>
                <w:szCs w:val="20"/>
                <w:color w:val="auto"/>
              </w:rPr>
            </w:pPr>
            <w:r>
              <w:rPr>
                <w:rFonts w:ascii="Times New Roman" w:cs="Times New Roman" w:eastAsia="Times New Roman" w:hAnsi="Times New Roman"/>
                <w:sz w:val="16"/>
                <w:szCs w:val="16"/>
                <w:b w:val="1"/>
                <w:bCs w:val="1"/>
                <w:color w:val="auto"/>
              </w:rPr>
              <w:t>Registrant’s</w:t>
            </w:r>
          </w:p>
        </w:tc>
        <w:tc>
          <w:tcPr>
            <w:tcW w:w="100" w:type="dxa"/>
            <w:vAlign w:val="bottom"/>
          </w:tcPr>
          <w:p>
            <w:pPr>
              <w:spacing w:after="0"/>
              <w:rPr>
                <w:sz w:val="13"/>
                <w:szCs w:val="13"/>
                <w:color w:val="auto"/>
              </w:rPr>
            </w:pPr>
          </w:p>
        </w:tc>
        <w:tc>
          <w:tcPr>
            <w:tcW w:w="1680" w:type="dxa"/>
            <w:vAlign w:val="bottom"/>
          </w:tcPr>
          <w:p>
            <w:pPr>
              <w:ind w:left="480"/>
              <w:spacing w:after="0" w:line="155" w:lineRule="exact"/>
              <w:rPr>
                <w:sz w:val="20"/>
                <w:szCs w:val="20"/>
                <w:color w:val="auto"/>
              </w:rPr>
            </w:pPr>
            <w:r>
              <w:rPr>
                <w:rFonts w:ascii="Times New Roman" w:cs="Times New Roman" w:eastAsia="Times New Roman" w:hAnsi="Times New Roman"/>
                <w:sz w:val="16"/>
                <w:szCs w:val="16"/>
                <w:b w:val="1"/>
                <w:bCs w:val="1"/>
                <w:color w:val="auto"/>
              </w:rPr>
              <w:t>Date Filed</w:t>
            </w:r>
          </w:p>
        </w:tc>
        <w:tc>
          <w:tcPr>
            <w:tcW w:w="100" w:type="dxa"/>
            <w:vAlign w:val="bottom"/>
          </w:tcPr>
          <w:p>
            <w:pPr>
              <w:spacing w:after="0"/>
              <w:rPr>
                <w:sz w:val="13"/>
                <w:szCs w:val="13"/>
                <w:color w:val="auto"/>
              </w:rPr>
            </w:pPr>
          </w:p>
        </w:tc>
        <w:tc>
          <w:tcPr>
            <w:tcW w:w="7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7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203"/>
        </w:trPr>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7"/>
                <w:szCs w:val="17"/>
                <w:color w:val="auto"/>
              </w:rPr>
            </w:pPr>
          </w:p>
        </w:tc>
        <w:tc>
          <w:tcPr>
            <w:tcW w:w="4020" w:type="dxa"/>
            <w:vAlign w:val="bottom"/>
            <w:gridSpan w:val="2"/>
          </w:tcPr>
          <w:p>
            <w:pPr>
              <w:ind w:left="11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c>
          <w:tcPr>
            <w:tcW w:w="10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0" w:type="dxa"/>
            <w:vAlign w:val="bottom"/>
          </w:tcPr>
          <w:p>
            <w:pPr>
              <w:spacing w:after="0"/>
              <w:rPr>
                <w:sz w:val="17"/>
                <w:szCs w:val="17"/>
                <w:color w:val="auto"/>
              </w:rPr>
            </w:pPr>
          </w:p>
        </w:tc>
        <w:tc>
          <w:tcPr>
            <w:tcW w:w="168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with the SEC</w:t>
            </w:r>
          </w:p>
        </w:tc>
        <w:tc>
          <w:tcPr>
            <w:tcW w:w="10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200"/>
        </w:trPr>
        <w:tc>
          <w:tcPr>
            <w:tcW w:w="8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7"/>
              </w:rPr>
              <w:t>10.15</w:t>
            </w:r>
          </w:p>
        </w:tc>
        <w:tc>
          <w:tcPr>
            <w:tcW w:w="100" w:type="dxa"/>
            <w:vAlign w:val="bottom"/>
          </w:tcPr>
          <w:p>
            <w:pPr>
              <w:spacing w:after="0"/>
              <w:rPr>
                <w:sz w:val="17"/>
                <w:szCs w:val="17"/>
                <w:color w:val="auto"/>
              </w:rPr>
            </w:pPr>
          </w:p>
        </w:tc>
        <w:tc>
          <w:tcPr>
            <w:tcW w:w="392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rPr>
              <w:t>Omnibus Amendment to Convertible Note and</w:t>
            </w: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Purchase Agreement, Convertible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Promissory Notes and Warrants to Purchase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Shares, dated July 31, 2012, by and among</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Soleno Therapeutics, Inc. and the investors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named therein.</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10.15</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10.16</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Omnibus Amendment to Convertible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Promissory Notes and Warrants to Purchase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Shares, dated April 28, 2014, by and among</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Soleno Therapeutics, Inc. and the investors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named therein.</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10.16</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10.17</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Convertible Note and Warrant Purchase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Agreement, dated April 28, 2014, by and among</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Soleno Therapeutics, Inc. and the investors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named therein.</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10.17</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10.18</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Omnibus Amendment to Convertible Note and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Purchase Agreement, Convertible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Promissory Notes and Warrants to Purchase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Shares, dated May 5, 2014, by and among</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Soleno Therapeutics, Inc. and the investors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named therein.</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June 10,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10.18</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10.19</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Sublease, dated May 20, 2014, by and among</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Soleno Therapeutics, Inc. and Silicon Valley</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Finance Group.</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July 1,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10.19</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10.20</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Offer Letter, dated June 24, 2014, by and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between Soleno Therapeutics, Inc. and David 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O’Toole.</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July 22,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10.20</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10.21</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Loan Agreement by and between Soleno</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Therapeutics, Inc. and the investors named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therein, dated September 29, 2014.</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September 29,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10.21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10.22</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Revised Second Tranche Closing Notice and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Letter Amendment dated August 18, 2014</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relating to the August 2014 Notes.</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November 4,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10.22</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10.23</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Second Tranche Subsequent Closing Notice and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Letter Amendment dated October 22, 2014</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relating to the October 2014 Notes.</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November 4, 2014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10.23</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10.24</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Warrant Exercise Agreement.</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March 5,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10.25</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Advisory Agreement by and between Soleno</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Therapeutics, Inc. and Maxim Group LLC, dated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March 4, 2015.</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S-4</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April 1,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10.25</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360"/>
          </w:cols>
          <w:pgMar w:left="1440" w:top="1420" w:right="1440" w:bottom="175"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03"/>
        </w:trPr>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Incorporated by Reference from</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ind w:left="140"/>
              <w:spacing w:after="0" w:line="155" w:lineRule="exact"/>
              <w:rPr>
                <w:sz w:val="20"/>
                <w:szCs w:val="20"/>
                <w:color w:val="auto"/>
              </w:rPr>
            </w:pPr>
            <w:r>
              <w:rPr>
                <w:rFonts w:ascii="Times New Roman" w:cs="Times New Roman" w:eastAsia="Times New Roman" w:hAnsi="Times New Roman"/>
                <w:sz w:val="16"/>
                <w:szCs w:val="16"/>
                <w:b w:val="1"/>
                <w:bCs w:val="1"/>
                <w:color w:val="auto"/>
              </w:rPr>
              <w:t>Registrant’s</w:t>
            </w:r>
          </w:p>
        </w:tc>
        <w:tc>
          <w:tcPr>
            <w:tcW w:w="100" w:type="dxa"/>
            <w:vAlign w:val="bottom"/>
          </w:tcPr>
          <w:p>
            <w:pPr>
              <w:spacing w:after="0"/>
              <w:rPr>
                <w:sz w:val="13"/>
                <w:szCs w:val="13"/>
                <w:color w:val="auto"/>
              </w:rPr>
            </w:pPr>
          </w:p>
        </w:tc>
        <w:tc>
          <w:tcPr>
            <w:tcW w:w="1680" w:type="dxa"/>
            <w:vAlign w:val="bottom"/>
          </w:tcPr>
          <w:p>
            <w:pPr>
              <w:ind w:left="480"/>
              <w:spacing w:after="0" w:line="155" w:lineRule="exact"/>
              <w:rPr>
                <w:sz w:val="20"/>
                <w:szCs w:val="20"/>
                <w:color w:val="auto"/>
              </w:rPr>
            </w:pPr>
            <w:r>
              <w:rPr>
                <w:rFonts w:ascii="Times New Roman" w:cs="Times New Roman" w:eastAsia="Times New Roman" w:hAnsi="Times New Roman"/>
                <w:sz w:val="16"/>
                <w:szCs w:val="16"/>
                <w:b w:val="1"/>
                <w:bCs w:val="1"/>
                <w:color w:val="auto"/>
              </w:rPr>
              <w:t>Date Filed</w:t>
            </w:r>
          </w:p>
        </w:tc>
        <w:tc>
          <w:tcPr>
            <w:tcW w:w="100" w:type="dxa"/>
            <w:vAlign w:val="bottom"/>
          </w:tcPr>
          <w:p>
            <w:pPr>
              <w:spacing w:after="0"/>
              <w:rPr>
                <w:sz w:val="13"/>
                <w:szCs w:val="13"/>
                <w:color w:val="auto"/>
              </w:rPr>
            </w:pPr>
          </w:p>
        </w:tc>
        <w:tc>
          <w:tcPr>
            <w:tcW w:w="7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7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203"/>
        </w:trPr>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7"/>
                <w:szCs w:val="17"/>
                <w:color w:val="auto"/>
              </w:rPr>
            </w:pPr>
          </w:p>
        </w:tc>
        <w:tc>
          <w:tcPr>
            <w:tcW w:w="4020" w:type="dxa"/>
            <w:vAlign w:val="bottom"/>
            <w:gridSpan w:val="2"/>
          </w:tcPr>
          <w:p>
            <w:pPr>
              <w:ind w:left="11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c>
          <w:tcPr>
            <w:tcW w:w="10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0" w:type="dxa"/>
            <w:vAlign w:val="bottom"/>
          </w:tcPr>
          <w:p>
            <w:pPr>
              <w:spacing w:after="0"/>
              <w:rPr>
                <w:sz w:val="17"/>
                <w:szCs w:val="17"/>
                <w:color w:val="auto"/>
              </w:rPr>
            </w:pPr>
          </w:p>
        </w:tc>
        <w:tc>
          <w:tcPr>
            <w:tcW w:w="168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with the SEC</w:t>
            </w:r>
          </w:p>
        </w:tc>
        <w:tc>
          <w:tcPr>
            <w:tcW w:w="10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200"/>
        </w:trPr>
        <w:tc>
          <w:tcPr>
            <w:tcW w:w="8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7"/>
              </w:rPr>
              <w:t>10.26</w:t>
            </w:r>
          </w:p>
        </w:tc>
        <w:tc>
          <w:tcPr>
            <w:tcW w:w="100" w:type="dxa"/>
            <w:vAlign w:val="bottom"/>
          </w:tcPr>
          <w:p>
            <w:pPr>
              <w:spacing w:after="0"/>
              <w:rPr>
                <w:sz w:val="17"/>
                <w:szCs w:val="17"/>
                <w:color w:val="auto"/>
              </w:rPr>
            </w:pPr>
          </w:p>
        </w:tc>
        <w:tc>
          <w:tcPr>
            <w:tcW w:w="392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rPr>
              <w:t>Agreement and First Amendment to Asset</w:t>
            </w: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Purchase Agreement between the Company,</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BDDI and affiliate of BDDI, dated June 30,</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2015.</w:t>
            </w:r>
          </w:p>
        </w:tc>
        <w:tc>
          <w:tcPr>
            <w:tcW w:w="100" w:type="dxa"/>
            <w:vAlign w:val="bottom"/>
          </w:tcPr>
          <w:p>
            <w:pPr>
              <w:spacing w:after="0"/>
              <w:rPr>
                <w:sz w:val="23"/>
                <w:szCs w:val="23"/>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July 7,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10.27</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Common Stock Purchase Agreement between</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Company and an affiliate of BDDI, dated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June 30, 2015.</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July 7,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10.28</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Registration Rights Agreement between the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and Aspire Capital Fund, LLC, dated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July 24, 2015.</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July 27,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10.29</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Common Stock Purchase Agreement between</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Company and Aspire Capital Fund, LLC,</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dated July 24, 2015.</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July 27,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10.30</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Engagement Letter dated September 17, 2015,</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between Soleno Therapeutics, Inc. and Maxim</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Group, LLC.</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October 15,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1.1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10.31</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Securities Purchase Agreement dated October</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12, 2015.</w:t>
            </w:r>
          </w:p>
        </w:tc>
        <w:tc>
          <w:tcPr>
            <w:tcW w:w="100" w:type="dxa"/>
            <w:vAlign w:val="bottom"/>
          </w:tcPr>
          <w:p>
            <w:pPr>
              <w:spacing w:after="0"/>
              <w:rPr>
                <w:sz w:val="23"/>
                <w:szCs w:val="23"/>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October 15,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10.32</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Registration Rights Agreement.</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October 15,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10.33</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Lock-Up Agreement.</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October 15,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10.34</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No. 1 to Securities Purchase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Agreement dated October 29, 2015.</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December 22, 2015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10.33</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10.35</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Transfer and Distribution Agreement: United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States: by and between Soleno Therapeutics,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 and Bemes, Inc. signed January 26, 2016.</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January 28, 2016</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10.36</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Engagement Letter dated June 26, 2016,</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between Soleno Therapeutics, Inc. and Maxim</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Group, LLC.</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July 6, 2016</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1.1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10.37</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Securities Purchase Agreement dated June 29,</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2016.</w:t>
            </w:r>
          </w:p>
        </w:tc>
        <w:tc>
          <w:tcPr>
            <w:tcW w:w="100" w:type="dxa"/>
            <w:vAlign w:val="bottom"/>
          </w:tcPr>
          <w:p>
            <w:pPr>
              <w:spacing w:after="0"/>
              <w:rPr>
                <w:sz w:val="23"/>
                <w:szCs w:val="23"/>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July 6, 2016</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10.38</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Registration Rights Agreement dated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June 29, 2016.</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July 6, 2016</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10.39</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No. 1 to Securities Purchase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Agreement dated September 20, 2016.</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S-1/A</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September 20, 2016</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10.39</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360"/>
          </w:cols>
          <w:pgMar w:left="1440" w:top="1420" w:right="1440" w:bottom="175" w:gutter="0" w:footer="0" w:header="0"/>
          <w:type w:val="continuous"/>
        </w:sectPr>
      </w:pPr>
    </w:p>
    <w:bookmarkStart w:id="95" w:name="page96"/>
    <w:bookmarkEnd w:id="95"/>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6"/>
                <w:szCs w:val="16"/>
                <w:color w:val="auto"/>
              </w:rPr>
            </w:pPr>
          </w:p>
        </w:tc>
        <w:tc>
          <w:tcPr>
            <w:tcW w:w="3920" w:type="dxa"/>
            <w:vAlign w:val="bottom"/>
          </w:tcPr>
          <w:p>
            <w:pPr>
              <w:spacing w:after="0"/>
              <w:rPr>
                <w:sz w:val="16"/>
                <w:szCs w:val="16"/>
                <w:color w:val="auto"/>
              </w:rPr>
            </w:pPr>
          </w:p>
        </w:tc>
      </w:tr>
      <w:tr>
        <w:trPr>
          <w:trHeight w:val="203"/>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7"/>
                <w:szCs w:val="17"/>
                <w:color w:val="auto"/>
              </w:rPr>
            </w:pPr>
          </w:p>
        </w:tc>
        <w:tc>
          <w:tcPr>
            <w:tcW w:w="39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r>
      <w:tr>
        <w:trPr>
          <w:trHeight w:val="200"/>
        </w:trPr>
        <w:tc>
          <w:tcPr>
            <w:tcW w:w="84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w w:val="97"/>
              </w:rPr>
              <w:t>10.40</w:t>
            </w:r>
          </w:p>
        </w:tc>
        <w:tc>
          <w:tcPr>
            <w:tcW w:w="10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Agreement and Plan of Merger and</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Reorganization, dated as of December 22, 2016,</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by and among Soleno Therapeutics, Inc., a</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Delaware corporation, Essentialis, Inc., a</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Delaware corporation, Company E Merger Sub,</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Inc., a Delaware corporation and a wholly-</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owned subsidiary of Soleno Therapeutics, and</w:t>
            </w: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Neil Cowen as the stockholders’ representative.</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10.41</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Registration Rights Agreement between the</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Company and Aspire Capital Fund, LLC, dated</w:t>
            </w: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January 27, 2017.</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10.42</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Purchase Agreement between</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the Company and Aspire Capital Fund, LLC,</w:t>
            </w: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dated January 27, 2017.</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10.43</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Stock Purchase Agreement made by and</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between the Company and NeoForce Holdings,</w:t>
            </w: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Inc. a Delaware corporation dated July 18, 2017</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10.44</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Joint Venture Agreement dated as of December</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w w:val="99"/>
              </w:rPr>
              <w:t>4, 2017 by and among Soleno Therapeutics, Inc.,</w:t>
            </w: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Capnia, Inc., and OptAsia Healthcare Limited</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10.45</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Securities Purchase Agreement, dated as of</w:t>
            </w: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December 11, 2017</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10.46</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Confidential Consulting Agreement, dated</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September 5, 2017 by and between FLG</w:t>
            </w: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Partners, LLC and the Company</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10.47</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Securities Purchase Agreement, dated as of</w:t>
            </w: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December 19, 2018</w:t>
            </w: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10.48</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with Kristen Yen</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10.49</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Underwriting Agreement, dated as of June 24,</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2020, by and between the Company and</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Guggenheim Securities, LLC dated June 24,</w:t>
            </w: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2020</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10.50</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2020 Inducement Equity Incentive Plan, as</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amended, and form of option agreement</w:t>
            </w: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thereunuder</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10.51</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by and between the</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Company and James Mackaness, dated as of</w:t>
            </w: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November 11, 2020</w:t>
            </w: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10.52</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Amendment to Employment Agreement by and</w:t>
            </w: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between the Company and James Mackaness,</w:t>
            </w: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dated as of January 8, 2021</w:t>
            </w:r>
          </w:p>
        </w:tc>
      </w:tr>
    </w:tbl>
    <w:p>
      <w:pPr>
        <w:spacing w:after="0" w:line="20" w:lineRule="exact"/>
        <w:rPr>
          <w:sz w:val="20"/>
          <w:szCs w:val="20"/>
          <w:color w:val="auto"/>
        </w:rPr>
      </w:pPr>
      <w:r>
        <w:rPr>
          <w:sz w:val="20"/>
          <w:szCs w:val="20"/>
          <w:color w:val="auto"/>
        </w:rPr>
        <w:br w:type="column"/>
      </w:r>
    </w:p>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Incorporated by Reference from</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00" w:type="dxa"/>
            <w:vAlign w:val="bottom"/>
            <w:tcBorders>
              <w:top w:val="single" w:sz="8" w:color="auto"/>
            </w:tcBorders>
          </w:tcPr>
          <w:p>
            <w:pPr>
              <w:jc w:val="center"/>
              <w:ind w:left="20"/>
              <w:spacing w:after="0" w:line="155" w:lineRule="exact"/>
              <w:rPr>
                <w:sz w:val="20"/>
                <w:szCs w:val="20"/>
                <w:color w:val="auto"/>
              </w:rPr>
            </w:pPr>
            <w:r>
              <w:rPr>
                <w:rFonts w:ascii="Times New Roman" w:cs="Times New Roman" w:eastAsia="Times New Roman" w:hAnsi="Times New Roman"/>
                <w:sz w:val="16"/>
                <w:szCs w:val="16"/>
                <w:b w:val="1"/>
                <w:bCs w:val="1"/>
                <w:color w:val="auto"/>
                <w:w w:val="98"/>
              </w:rPr>
              <w:t>Registrant’s</w:t>
            </w:r>
          </w:p>
        </w:tc>
        <w:tc>
          <w:tcPr>
            <w:tcW w:w="10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Date Filed</w:t>
            </w: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Filed</w:t>
            </w:r>
          </w:p>
        </w:tc>
      </w:tr>
      <w:tr>
        <w:trPr>
          <w:trHeight w:val="203"/>
        </w:trPr>
        <w:tc>
          <w:tcPr>
            <w:tcW w:w="100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with the SEC</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100" w:type="dxa"/>
        <w:tblCellMar>
          <w:top w:w="0" w:type="dxa"/>
          <w:left w:w="0" w:type="dxa"/>
          <w:bottom w:w="0" w:type="dxa"/>
          <w:right w:w="0" w:type="dxa"/>
        </w:tblCellMar>
      </w:tblPr>
      <w:tr>
        <w:trPr>
          <w:trHeight w:val="266"/>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20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December 27, 2016</w:t>
            </w:r>
          </w:p>
        </w:tc>
        <w:tc>
          <w:tcPr>
            <w:tcW w:w="58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5"/>
              </w:rPr>
              <w:t>2.1</w:t>
            </w:r>
          </w:p>
        </w:tc>
      </w:tr>
      <w:tr>
        <w:trPr>
          <w:trHeight w:val="92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20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February 1, 2017</w:t>
            </w:r>
          </w:p>
        </w:tc>
        <w:tc>
          <w:tcPr>
            <w:tcW w:w="58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7"/>
              </w:rPr>
              <w:t>10.51</w:t>
            </w:r>
          </w:p>
        </w:tc>
      </w:tr>
      <w:tr>
        <w:trPr>
          <w:trHeight w:val="92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20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February 1, 2017</w:t>
            </w:r>
          </w:p>
        </w:tc>
        <w:tc>
          <w:tcPr>
            <w:tcW w:w="58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7"/>
              </w:rPr>
              <w:t>10.52</w:t>
            </w:r>
          </w:p>
        </w:tc>
      </w:tr>
      <w:tr>
        <w:trPr>
          <w:trHeight w:val="92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20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July 24, 2017</w:t>
            </w:r>
          </w:p>
        </w:tc>
        <w:tc>
          <w:tcPr>
            <w:tcW w:w="58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5"/>
              </w:rPr>
              <w:t>2.1</w:t>
            </w:r>
          </w:p>
        </w:tc>
      </w:tr>
      <w:tr>
        <w:trPr>
          <w:trHeight w:val="92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20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December 8, 2017</w:t>
            </w:r>
          </w:p>
        </w:tc>
        <w:tc>
          <w:tcPr>
            <w:tcW w:w="58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5"/>
              </w:rPr>
              <w:t>2.1</w:t>
            </w:r>
          </w:p>
        </w:tc>
      </w:tr>
      <w:tr>
        <w:trPr>
          <w:trHeight w:val="69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20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December 13, 2017</w:t>
            </w:r>
          </w:p>
        </w:tc>
        <w:tc>
          <w:tcPr>
            <w:tcW w:w="58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r>
      <w:tr>
        <w:trPr>
          <w:trHeight w:val="92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20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June 4, 2018</w:t>
            </w:r>
          </w:p>
        </w:tc>
        <w:tc>
          <w:tcPr>
            <w:tcW w:w="58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r>
      <w:tr>
        <w:trPr>
          <w:trHeight w:val="69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20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December 19, 2018</w:t>
            </w:r>
          </w:p>
        </w:tc>
        <w:tc>
          <w:tcPr>
            <w:tcW w:w="58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r>
      <w:tr>
        <w:trPr>
          <w:trHeight w:val="46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S-1</w:t>
            </w:r>
          </w:p>
        </w:tc>
        <w:tc>
          <w:tcPr>
            <w:tcW w:w="20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March 29, 2019</w:t>
            </w:r>
          </w:p>
        </w:tc>
        <w:tc>
          <w:tcPr>
            <w:tcW w:w="58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7"/>
              </w:rPr>
              <w:t>10.48</w:t>
            </w:r>
          </w:p>
        </w:tc>
      </w:tr>
      <w:tr>
        <w:trPr>
          <w:trHeight w:val="115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20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June 26, 2020</w:t>
            </w:r>
          </w:p>
        </w:tc>
        <w:tc>
          <w:tcPr>
            <w:tcW w:w="58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5"/>
              </w:rPr>
              <w:t>1.1</w:t>
            </w:r>
          </w:p>
        </w:tc>
      </w:tr>
      <w:tr>
        <w:trPr>
          <w:trHeight w:val="92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20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October 2, 2020</w:t>
            </w:r>
          </w:p>
        </w:tc>
        <w:tc>
          <w:tcPr>
            <w:tcW w:w="58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r>
      <w:tr>
        <w:trPr>
          <w:trHeight w:val="92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20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November 13, 2020</w:t>
            </w:r>
          </w:p>
        </w:tc>
        <w:tc>
          <w:tcPr>
            <w:tcW w:w="58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r>
      <w:tr>
        <w:trPr>
          <w:trHeight w:val="92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20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January 13, 2021</w:t>
            </w:r>
          </w:p>
        </w:tc>
        <w:tc>
          <w:tcPr>
            <w:tcW w:w="58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r>
    </w:tbl>
    <w:p>
      <w:pPr>
        <w:spacing w:after="0" w:line="200" w:lineRule="exact"/>
        <w:rPr>
          <w:sz w:val="20"/>
          <w:szCs w:val="20"/>
          <w:color w:val="auto"/>
        </w:rPr>
      </w:pPr>
    </w:p>
    <w:p>
      <w:pPr>
        <w:sectPr>
          <w:pgSz w:w="12240" w:h="15840" w:orient="portrait"/>
          <w:cols w:equalWidth="0" w:num="2">
            <w:col w:w="4860" w:space="100"/>
            <w:col w:w="4400"/>
          </w:cols>
          <w:pgMar w:left="1440" w:top="1420" w:right="1440" w:bottom="175"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360"/>
          </w:cols>
          <w:pgMar w:left="1440" w:top="1420" w:right="1440" w:bottom="175"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03"/>
        </w:trPr>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Incorporated by Reference from</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ind w:left="140"/>
              <w:spacing w:after="0" w:line="155" w:lineRule="exact"/>
              <w:rPr>
                <w:sz w:val="20"/>
                <w:szCs w:val="20"/>
                <w:color w:val="auto"/>
              </w:rPr>
            </w:pPr>
            <w:r>
              <w:rPr>
                <w:rFonts w:ascii="Times New Roman" w:cs="Times New Roman" w:eastAsia="Times New Roman" w:hAnsi="Times New Roman"/>
                <w:sz w:val="16"/>
                <w:szCs w:val="16"/>
                <w:b w:val="1"/>
                <w:bCs w:val="1"/>
                <w:color w:val="auto"/>
              </w:rPr>
              <w:t>Registrant’s</w:t>
            </w:r>
          </w:p>
        </w:tc>
        <w:tc>
          <w:tcPr>
            <w:tcW w:w="100" w:type="dxa"/>
            <w:vAlign w:val="bottom"/>
          </w:tcPr>
          <w:p>
            <w:pPr>
              <w:spacing w:after="0"/>
              <w:rPr>
                <w:sz w:val="13"/>
                <w:szCs w:val="13"/>
                <w:color w:val="auto"/>
              </w:rPr>
            </w:pPr>
          </w:p>
        </w:tc>
        <w:tc>
          <w:tcPr>
            <w:tcW w:w="1680" w:type="dxa"/>
            <w:vAlign w:val="bottom"/>
          </w:tcPr>
          <w:p>
            <w:pPr>
              <w:ind w:left="480"/>
              <w:spacing w:after="0" w:line="155" w:lineRule="exact"/>
              <w:rPr>
                <w:sz w:val="20"/>
                <w:szCs w:val="20"/>
                <w:color w:val="auto"/>
              </w:rPr>
            </w:pPr>
            <w:r>
              <w:rPr>
                <w:rFonts w:ascii="Times New Roman" w:cs="Times New Roman" w:eastAsia="Times New Roman" w:hAnsi="Times New Roman"/>
                <w:sz w:val="16"/>
                <w:szCs w:val="16"/>
                <w:b w:val="1"/>
                <w:bCs w:val="1"/>
                <w:color w:val="auto"/>
              </w:rPr>
              <w:t>Date Filed</w:t>
            </w:r>
          </w:p>
        </w:tc>
        <w:tc>
          <w:tcPr>
            <w:tcW w:w="100" w:type="dxa"/>
            <w:vAlign w:val="bottom"/>
          </w:tcPr>
          <w:p>
            <w:pPr>
              <w:spacing w:after="0"/>
              <w:rPr>
                <w:sz w:val="13"/>
                <w:szCs w:val="13"/>
                <w:color w:val="auto"/>
              </w:rPr>
            </w:pPr>
          </w:p>
        </w:tc>
        <w:tc>
          <w:tcPr>
            <w:tcW w:w="7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780" w:type="dxa"/>
            <w:vAlign w:val="bottom"/>
          </w:tcPr>
          <w:p>
            <w:pPr>
              <w:ind w:left="220"/>
              <w:spacing w:after="0" w:line="155" w:lineRule="exact"/>
              <w:rPr>
                <w:sz w:val="20"/>
                <w:szCs w:val="20"/>
                <w:color w:val="auto"/>
              </w:rPr>
            </w:pPr>
            <w:r>
              <w:rPr>
                <w:rFonts w:ascii="Times New Roman" w:cs="Times New Roman" w:eastAsia="Times New Roman" w:hAnsi="Times New Roman"/>
                <w:sz w:val="16"/>
                <w:szCs w:val="16"/>
                <w:b w:val="1"/>
                <w:bCs w:val="1"/>
                <w:color w:val="auto"/>
              </w:rPr>
              <w:t>Filed</w:t>
            </w:r>
          </w:p>
        </w:tc>
        <w:tc>
          <w:tcPr>
            <w:tcW w:w="0" w:type="dxa"/>
            <w:vAlign w:val="bottom"/>
          </w:tcPr>
          <w:p>
            <w:pPr>
              <w:spacing w:after="0"/>
              <w:rPr>
                <w:sz w:val="1"/>
                <w:szCs w:val="1"/>
                <w:color w:val="auto"/>
              </w:rPr>
            </w:pPr>
          </w:p>
        </w:tc>
      </w:tr>
      <w:tr>
        <w:trPr>
          <w:trHeight w:val="203"/>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7"/>
                <w:szCs w:val="17"/>
                <w:color w:val="auto"/>
              </w:rPr>
            </w:pPr>
          </w:p>
        </w:tc>
        <w:tc>
          <w:tcPr>
            <w:tcW w:w="39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c>
          <w:tcPr>
            <w:tcW w:w="100" w:type="dxa"/>
            <w:vAlign w:val="bottom"/>
          </w:tcPr>
          <w:p>
            <w:pPr>
              <w:spacing w:after="0"/>
              <w:rPr>
                <w:sz w:val="17"/>
                <w:szCs w:val="17"/>
                <w:color w:val="auto"/>
              </w:rPr>
            </w:pPr>
          </w:p>
        </w:tc>
        <w:tc>
          <w:tcPr>
            <w:tcW w:w="1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0" w:type="dxa"/>
            <w:vAlign w:val="bottom"/>
          </w:tcPr>
          <w:p>
            <w:pPr>
              <w:spacing w:after="0"/>
              <w:rPr>
                <w:sz w:val="17"/>
                <w:szCs w:val="17"/>
                <w:color w:val="auto"/>
              </w:rPr>
            </w:pPr>
          </w:p>
        </w:tc>
        <w:tc>
          <w:tcPr>
            <w:tcW w:w="16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with the SEC</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0" w:type="dxa"/>
            <w:vAlign w:val="bottom"/>
          </w:tcPr>
          <w:p>
            <w:pPr>
              <w:spacing w:after="0"/>
              <w:rPr>
                <w:sz w:val="17"/>
                <w:szCs w:val="17"/>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Herewith</w:t>
            </w:r>
          </w:p>
        </w:tc>
        <w:tc>
          <w:tcPr>
            <w:tcW w:w="0" w:type="dxa"/>
            <w:vAlign w:val="bottom"/>
          </w:tcPr>
          <w:p>
            <w:pPr>
              <w:spacing w:after="0"/>
              <w:rPr>
                <w:sz w:val="1"/>
                <w:szCs w:val="1"/>
                <w:color w:val="auto"/>
              </w:rPr>
            </w:pPr>
          </w:p>
        </w:tc>
      </w:tr>
      <w:tr>
        <w:trPr>
          <w:trHeight w:val="43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10.53</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to Employment Agreement by and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between the Company and Kristen Yen, dated as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 January 8, 2021</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January 13, 2021</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10.54</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to Employment Agreement by and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between the Company and Patricia Hirano, dated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of January 8, 2021</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January 13, 2021</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10.55</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Lease agreement between the Company and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Hudson Towers at Shore Center, LLC dated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April 16, 2021</w:t>
            </w: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10-Q</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May 5, 2021</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10.55</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10.56</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Securities Purchase Agreement dated December</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16, 2022</w:t>
            </w:r>
          </w:p>
        </w:tc>
        <w:tc>
          <w:tcPr>
            <w:tcW w:w="100" w:type="dxa"/>
            <w:vAlign w:val="bottom"/>
          </w:tcPr>
          <w:p>
            <w:pPr>
              <w:spacing w:after="0"/>
              <w:rPr>
                <w:sz w:val="23"/>
                <w:szCs w:val="23"/>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8-K</w:t>
            </w:r>
          </w:p>
        </w:tc>
        <w:tc>
          <w:tcPr>
            <w:tcW w:w="100" w:type="dxa"/>
            <w:vAlign w:val="bottom"/>
          </w:tcPr>
          <w:p>
            <w:pPr>
              <w:spacing w:after="0"/>
              <w:rPr>
                <w:sz w:val="23"/>
                <w:szCs w:val="23"/>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December 19, 2022</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21.1</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Subsidiaries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46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23.1</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Consent of Marcum LLP</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31.1</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Principal Executive Officer</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Required Under Rule 13a-14(a) and 15d-14(a)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 the Securities Exchange Act of 1934, as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47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31.2</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Principal Financial and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Accounting Officer Required Under Rule 13a-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14(a) and 15d-14(a) of the Securities Exchange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Act of 1934, as amended</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32.1</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Principal Executive Officer</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Required Under Rule 13a-14(b) of the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Securities Exchange Act of 1934, as amended,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 18 U.S.C. §1350</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32.2</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Principal Financial and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Accounting Officer Required Under Rule 13a-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14(b) of the Securities Exchange Act of 1934, as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 and 18 U.S.C. §1350</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101.INS</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Instance Document – the instance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document does not appear in the Interactive Data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file because XBRL tags are embedded within the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document.</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101.SCH</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Schema</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Document.</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101.CAL</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Linkbase Document.</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101.DEF</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Definition</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Linkbase Document.</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360"/>
          </w:cols>
          <w:pgMar w:left="1440" w:top="1420" w:right="1440" w:bottom="175"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03"/>
        </w:trPr>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Incorporated by Reference from</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left="20"/>
              <w:spacing w:after="0" w:line="155" w:lineRule="exact"/>
              <w:rPr>
                <w:sz w:val="20"/>
                <w:szCs w:val="20"/>
                <w:color w:val="auto"/>
              </w:rPr>
            </w:pPr>
            <w:r>
              <w:rPr>
                <w:rFonts w:ascii="Times New Roman" w:cs="Times New Roman" w:eastAsia="Times New Roman" w:hAnsi="Times New Roman"/>
                <w:sz w:val="16"/>
                <w:szCs w:val="16"/>
                <w:b w:val="1"/>
                <w:bCs w:val="1"/>
                <w:color w:val="auto"/>
                <w:w w:val="98"/>
              </w:rPr>
              <w:t>Registrant’s</w:t>
            </w:r>
          </w:p>
        </w:tc>
        <w:tc>
          <w:tcPr>
            <w:tcW w:w="100" w:type="dxa"/>
            <w:vAlign w:val="bottom"/>
          </w:tcPr>
          <w:p>
            <w:pPr>
              <w:spacing w:after="0"/>
              <w:rPr>
                <w:sz w:val="13"/>
                <w:szCs w:val="13"/>
                <w:color w:val="auto"/>
              </w:rPr>
            </w:pPr>
          </w:p>
        </w:tc>
        <w:tc>
          <w:tcPr>
            <w:tcW w:w="16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Date Filed</w:t>
            </w:r>
          </w:p>
        </w:tc>
        <w:tc>
          <w:tcPr>
            <w:tcW w:w="100" w:type="dxa"/>
            <w:vAlign w:val="bottom"/>
          </w:tcPr>
          <w:p>
            <w:pPr>
              <w:spacing w:after="0"/>
              <w:rPr>
                <w:sz w:val="13"/>
                <w:szCs w:val="13"/>
                <w:color w:val="auto"/>
              </w:rPr>
            </w:pPr>
          </w:p>
        </w:tc>
        <w:tc>
          <w:tcPr>
            <w:tcW w:w="7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7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203"/>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7"/>
                <w:szCs w:val="17"/>
                <w:color w:val="auto"/>
              </w:rPr>
            </w:pPr>
          </w:p>
        </w:tc>
        <w:tc>
          <w:tcPr>
            <w:tcW w:w="39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with the SEC</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43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101.LAB</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Label</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Linkbase Document.</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424"/>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101.PRE</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Linkbase Document.</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940" w:right="4860" w:hanging="669"/>
        <w:spacing w:after="0" w:line="305" w:lineRule="auto"/>
        <w:tabs>
          <w:tab w:leader="none" w:pos="94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Cover Page Interactive Data File (embedded within the Inline XBRL document).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9360"/>
          </w:cols>
          <w:pgMar w:left="1440" w:top="1420" w:right="1440" w:bottom="175"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24"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700" w:type="dxa"/>
            <w:vAlign w:val="bottom"/>
          </w:tcPr>
          <w:p>
            <w:pPr>
              <w:spacing w:after="0"/>
              <w:rPr>
                <w:sz w:val="23"/>
                <w:szCs w:val="23"/>
                <w:color w:val="auto"/>
              </w:rPr>
            </w:pPr>
          </w:p>
        </w:tc>
        <w:tc>
          <w:tcPr>
            <w:tcW w:w="6660" w:type="dxa"/>
            <w:vAlign w:val="bottom"/>
            <w:gridSpan w:val="2"/>
          </w:tcPr>
          <w:p>
            <w:pPr>
              <w:ind w:left="960"/>
              <w:spacing w:after="0"/>
              <w:rPr>
                <w:sz w:val="20"/>
                <w:szCs w:val="20"/>
                <w:color w:val="auto"/>
              </w:rPr>
            </w:pPr>
            <w:r>
              <w:rPr>
                <w:rFonts w:ascii="Times New Roman" w:cs="Times New Roman" w:eastAsia="Times New Roman" w:hAnsi="Times New Roman"/>
                <w:sz w:val="20"/>
                <w:szCs w:val="20"/>
                <w:color w:val="auto"/>
              </w:rPr>
              <w:t>Soleno Therapeutics, Inc.</w:t>
            </w:r>
          </w:p>
        </w:tc>
      </w:tr>
      <w:tr>
        <w:trPr>
          <w:trHeight w:val="443"/>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Date: March 22, 2023</w:t>
            </w:r>
          </w:p>
        </w:tc>
        <w:tc>
          <w:tcPr>
            <w:tcW w:w="6660" w:type="dxa"/>
            <w:vAlign w:val="bottom"/>
            <w:gridSpan w:val="2"/>
          </w:tcPr>
          <w:p>
            <w:pPr>
              <w:ind w:left="1980"/>
              <w:spacing w:after="0"/>
              <w:rPr>
                <w:sz w:val="20"/>
                <w:szCs w:val="20"/>
                <w:color w:val="auto"/>
              </w:rPr>
            </w:pPr>
            <w:r>
              <w:rPr>
                <w:rFonts w:ascii="Times New Roman" w:cs="Times New Roman" w:eastAsia="Times New Roman" w:hAnsi="Times New Roman"/>
                <w:sz w:val="20"/>
                <w:szCs w:val="20"/>
                <w:color w:val="auto"/>
              </w:rPr>
              <w:t>By: /S/ ANISH BHATNAGAR</w:t>
            </w:r>
          </w:p>
        </w:tc>
      </w:tr>
      <w:tr>
        <w:trPr>
          <w:trHeight w:val="261"/>
        </w:trPr>
        <w:tc>
          <w:tcPr>
            <w:tcW w:w="27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4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bl>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2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Each person whose individual signature appears below hereby authorizes and appoints Anish Bhatnagar, with full power of substitution and resubstitution and full power to act,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02"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3460" w:type="dxa"/>
            <w:vAlign w:val="bottom"/>
          </w:tcPr>
          <w:p>
            <w:pPr>
              <w:ind w:left="166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500" w:type="dxa"/>
            <w:vAlign w:val="bottom"/>
          </w:tcPr>
          <w:p>
            <w:pPr>
              <w:ind w:left="780"/>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458"/>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ANISH BHATNAGAR</w:t>
            </w:r>
          </w:p>
        </w:tc>
        <w:tc>
          <w:tcPr>
            <w:tcW w:w="3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President, Chief Executive Officer and</w:t>
            </w:r>
          </w:p>
        </w:tc>
        <w:tc>
          <w:tcPr>
            <w:tcW w:w="150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9"/>
              </w:rPr>
              <w:t>March 22, 2023</w:t>
            </w:r>
          </w:p>
        </w:tc>
      </w:tr>
      <w:tr>
        <w:trPr>
          <w:trHeight w:val="287"/>
        </w:trPr>
        <w:tc>
          <w:tcPr>
            <w:tcW w:w="4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Anish Bhatnagar</w:t>
            </w:r>
          </w:p>
        </w:tc>
        <w:tc>
          <w:tcPr>
            <w:tcW w:w="3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 (Principal Executive Officer)</w:t>
            </w:r>
          </w:p>
        </w:tc>
        <w:tc>
          <w:tcPr>
            <w:tcW w:w="1500" w:type="dxa"/>
            <w:vAlign w:val="bottom"/>
          </w:tcPr>
          <w:p>
            <w:pPr>
              <w:spacing w:after="0"/>
              <w:rPr>
                <w:sz w:val="24"/>
                <w:szCs w:val="24"/>
                <w:color w:val="auto"/>
              </w:rPr>
            </w:pPr>
          </w:p>
        </w:tc>
      </w:tr>
      <w:tr>
        <w:trPr>
          <w:trHeight w:val="351"/>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JAMES MACKANESS</w:t>
            </w:r>
          </w:p>
        </w:tc>
        <w:tc>
          <w:tcPr>
            <w:tcW w:w="3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Chief Financial Officer (Principal</w:t>
            </w:r>
          </w:p>
        </w:tc>
        <w:tc>
          <w:tcPr>
            <w:tcW w:w="150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9"/>
              </w:rPr>
              <w:t>March 22, 2023</w:t>
            </w:r>
          </w:p>
        </w:tc>
      </w:tr>
      <w:tr>
        <w:trPr>
          <w:trHeight w:val="287"/>
        </w:trPr>
        <w:tc>
          <w:tcPr>
            <w:tcW w:w="4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James Mackaness</w:t>
            </w:r>
          </w:p>
        </w:tc>
        <w:tc>
          <w:tcPr>
            <w:tcW w:w="3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Financial and Accounting Officer)</w:t>
            </w:r>
          </w:p>
        </w:tc>
        <w:tc>
          <w:tcPr>
            <w:tcW w:w="1500" w:type="dxa"/>
            <w:vAlign w:val="bottom"/>
          </w:tcPr>
          <w:p>
            <w:pPr>
              <w:spacing w:after="0"/>
              <w:rPr>
                <w:sz w:val="24"/>
                <w:szCs w:val="24"/>
                <w:color w:val="auto"/>
              </w:rPr>
            </w:pPr>
          </w:p>
        </w:tc>
      </w:tr>
      <w:tr>
        <w:trPr>
          <w:trHeight w:val="351"/>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ERNEST MARIO</w:t>
            </w:r>
          </w:p>
        </w:tc>
        <w:tc>
          <w:tcPr>
            <w:tcW w:w="3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Chairman</w:t>
            </w:r>
          </w:p>
        </w:tc>
        <w:tc>
          <w:tcPr>
            <w:tcW w:w="150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9"/>
              </w:rPr>
              <w:t>March 22, 2023</w:t>
            </w:r>
          </w:p>
        </w:tc>
      </w:tr>
      <w:tr>
        <w:trPr>
          <w:trHeight w:val="287"/>
        </w:trPr>
        <w:tc>
          <w:tcPr>
            <w:tcW w:w="4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Ernest Mario</w:t>
            </w:r>
          </w:p>
        </w:tc>
        <w:tc>
          <w:tcPr>
            <w:tcW w:w="34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51"/>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ANDREW SINCLAIR</w:t>
            </w:r>
          </w:p>
        </w:tc>
        <w:tc>
          <w:tcPr>
            <w:tcW w:w="3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150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9"/>
              </w:rPr>
              <w:t>March 22, 2023</w:t>
            </w:r>
          </w:p>
        </w:tc>
      </w:tr>
      <w:tr>
        <w:trPr>
          <w:trHeight w:val="287"/>
        </w:trPr>
        <w:tc>
          <w:tcPr>
            <w:tcW w:w="4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Andrew Sinclair</w:t>
            </w:r>
          </w:p>
        </w:tc>
        <w:tc>
          <w:tcPr>
            <w:tcW w:w="34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51"/>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WILLIAM G. HARRIS</w:t>
            </w:r>
          </w:p>
        </w:tc>
        <w:tc>
          <w:tcPr>
            <w:tcW w:w="3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150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9"/>
              </w:rPr>
              <w:t>March 22, 2023</w:t>
            </w:r>
          </w:p>
        </w:tc>
      </w:tr>
      <w:tr>
        <w:trPr>
          <w:trHeight w:val="287"/>
        </w:trPr>
        <w:tc>
          <w:tcPr>
            <w:tcW w:w="4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William G. Harris</w:t>
            </w:r>
          </w:p>
        </w:tc>
        <w:tc>
          <w:tcPr>
            <w:tcW w:w="34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51"/>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GWEN MELINCOFF</w:t>
            </w:r>
          </w:p>
        </w:tc>
        <w:tc>
          <w:tcPr>
            <w:tcW w:w="3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150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9"/>
              </w:rPr>
              <w:t>March 22, 2023</w:t>
            </w:r>
          </w:p>
        </w:tc>
      </w:tr>
      <w:tr>
        <w:trPr>
          <w:trHeight w:val="287"/>
        </w:trPr>
        <w:tc>
          <w:tcPr>
            <w:tcW w:w="4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Gwen Melincoff</w:t>
            </w:r>
          </w:p>
        </w:tc>
        <w:tc>
          <w:tcPr>
            <w:tcW w:w="34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4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BIRGITTE VOLCK</w:t>
            </w:r>
          </w:p>
        </w:tc>
        <w:tc>
          <w:tcPr>
            <w:tcW w:w="3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150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9"/>
              </w:rPr>
              <w:t>March 22, 2023</w:t>
            </w:r>
          </w:p>
        </w:tc>
      </w:tr>
      <w:tr>
        <w:trPr>
          <w:trHeight w:val="287"/>
        </w:trPr>
        <w:tc>
          <w:tcPr>
            <w:tcW w:w="4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Birgitte Volck</w:t>
            </w:r>
          </w:p>
        </w:tc>
        <w:tc>
          <w:tcPr>
            <w:tcW w:w="346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sectPr>
      <w:pgSz w:w="12240" w:h="15840" w:orient="portrait"/>
      <w:cols w:equalWidth="0" w:num="1">
        <w:col w:w="9360"/>
      </w:cols>
      <w:pgMar w:left="1440" w:top="1416" w:right="1440" w:bottom="1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4000000" w:csb0="00000001" w:csb1="4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1)"/>
      <w:numFmt w:val="lowerRoman"/>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2"/>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2023-04-20T16:40:04Z</dcterms:created>
  <dcterms:modified xsi:type="dcterms:W3CDTF">2023-04-20T16:40:04Z</dcterms:modified>
</cp:coreProperties>
</file>