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2820"/>
        <w:spacing w:after="0"/>
        <w:rPr>
          <w:sz w:val="20"/>
          <w:szCs w:val="20"/>
          <w:color w:val="auto"/>
        </w:rPr>
      </w:pPr>
      <w:r>
        <w:rPr>
          <w:rFonts w:ascii="Arial" w:cs="Arial" w:eastAsia="Arial" w:hAnsi="Arial"/>
          <w:sz w:val="18"/>
          <w:szCs w:val="18"/>
          <w:b w:val="1"/>
          <w:bCs w:val="1"/>
          <w:color w:val="auto"/>
        </w:rPr>
        <w:t>As filed with the Securities and Exchange Commission on January 29,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FORM S-1</w:t>
      </w:r>
    </w:p>
    <w:p>
      <w:pPr>
        <w:spacing w:after="0" w:line="31" w:lineRule="exact"/>
        <w:rPr>
          <w:sz w:val="24"/>
          <w:szCs w:val="24"/>
          <w:color w:val="auto"/>
        </w:rPr>
      </w:pPr>
    </w:p>
    <w:p>
      <w:pPr>
        <w:jc w:val="center"/>
        <w:ind w:right="-459"/>
        <w:spacing w:after="0"/>
        <w:rPr>
          <w:sz w:val="20"/>
          <w:szCs w:val="20"/>
          <w:color w:val="auto"/>
        </w:rPr>
      </w:pPr>
      <w:r>
        <w:rPr>
          <w:rFonts w:ascii="Arial" w:cs="Arial" w:eastAsia="Arial" w:hAnsi="Arial"/>
          <w:sz w:val="32"/>
          <w:szCs w:val="32"/>
          <w:b w:val="1"/>
          <w:bCs w:val="1"/>
          <w:color w:val="auto"/>
        </w:rPr>
        <w:t>REGISTRATION STATEMENT</w:t>
      </w:r>
    </w:p>
    <w:p>
      <w:pPr>
        <w:jc w:val="center"/>
        <w:ind w:right="-45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4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459"/>
        <w:spacing w:after="0"/>
        <w:rPr>
          <w:sz w:val="20"/>
          <w:szCs w:val="20"/>
          <w:color w:val="auto"/>
        </w:rPr>
      </w:pPr>
      <w:r>
        <w:rPr>
          <w:rFonts w:ascii="Arial" w:cs="Arial" w:eastAsia="Arial" w:hAnsi="Arial"/>
          <w:sz w:val="43"/>
          <w:szCs w:val="43"/>
          <w:b w:val="1"/>
          <w:bCs w:val="1"/>
          <w:color w:val="auto"/>
        </w:rPr>
        <w:t>SOLENO THERAPEUTICS, INC.</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8"/>
          <w:szCs w:val="18"/>
          <w:b w:val="1"/>
          <w:bCs w:val="1"/>
          <w:color w:val="auto"/>
        </w:rPr>
        <w:t>(Name of registrant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20" w:type="dxa"/>
        <w:tblCellMar>
          <w:top w:w="0" w:type="dxa"/>
          <w:left w:w="0" w:type="dxa"/>
          <w:bottom w:w="0" w:type="dxa"/>
          <w:right w:w="0" w:type="dxa"/>
        </w:tblCellMar>
      </w:tblPr>
      <w:tr>
        <w:trPr>
          <w:trHeight w:val="212"/>
        </w:trPr>
        <w:tc>
          <w:tcPr>
            <w:tcW w:w="2580" w:type="dxa"/>
            <w:vAlign w:val="bottom"/>
          </w:tcPr>
          <w:p>
            <w:pPr>
              <w:jc w:val="center"/>
              <w:ind w:right="1059"/>
              <w:spacing w:after="0"/>
              <w:rPr>
                <w:sz w:val="20"/>
                <w:szCs w:val="20"/>
                <w:color w:val="auto"/>
              </w:rPr>
            </w:pPr>
            <w:r>
              <w:rPr>
                <w:rFonts w:ascii="Arial" w:cs="Arial" w:eastAsia="Arial" w:hAnsi="Arial"/>
                <w:sz w:val="18"/>
                <w:szCs w:val="18"/>
                <w:b w:val="1"/>
                <w:bCs w:val="1"/>
                <w:color w:val="auto"/>
                <w:w w:val="91"/>
              </w:rPr>
              <w:t>Delaware</w:t>
            </w:r>
          </w:p>
        </w:tc>
        <w:tc>
          <w:tcPr>
            <w:tcW w:w="4020" w:type="dxa"/>
            <w:vAlign w:val="bottom"/>
          </w:tcPr>
          <w:p>
            <w:pPr>
              <w:jc w:val="center"/>
              <w:spacing w:after="0"/>
              <w:rPr>
                <w:sz w:val="20"/>
                <w:szCs w:val="20"/>
                <w:color w:val="auto"/>
              </w:rPr>
            </w:pPr>
            <w:r>
              <w:rPr>
                <w:rFonts w:ascii="Arial" w:cs="Arial" w:eastAsia="Arial" w:hAnsi="Arial"/>
                <w:sz w:val="18"/>
                <w:szCs w:val="18"/>
                <w:b w:val="1"/>
                <w:bCs w:val="1"/>
                <w:color w:val="auto"/>
                <w:w w:val="88"/>
              </w:rPr>
              <w:t>3,841</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77-0523891</w:t>
            </w:r>
          </w:p>
        </w:tc>
      </w:tr>
      <w:tr>
        <w:trPr>
          <w:trHeight w:val="149"/>
        </w:trPr>
        <w:tc>
          <w:tcPr>
            <w:tcW w:w="2580" w:type="dxa"/>
            <w:vAlign w:val="bottom"/>
          </w:tcPr>
          <w:p>
            <w:pPr>
              <w:jc w:val="center"/>
              <w:ind w:right="1039"/>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4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580" w:type="dxa"/>
            <w:vAlign w:val="bottom"/>
          </w:tcPr>
          <w:p>
            <w:pPr>
              <w:spacing w:after="0"/>
              <w:rPr>
                <w:sz w:val="16"/>
                <w:szCs w:val="16"/>
                <w:color w:val="auto"/>
              </w:rPr>
            </w:pPr>
          </w:p>
        </w:tc>
        <w:tc>
          <w:tcPr>
            <w:tcW w:w="4020" w:type="dxa"/>
            <w:vAlign w:val="bottom"/>
          </w:tcPr>
          <w:p>
            <w:pPr>
              <w:jc w:val="center"/>
              <w:ind w:left="2"/>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1235 Radio Road, Suite 110</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(650) 213-8444</w:t>
      </w:r>
    </w:p>
    <w:p>
      <w:pPr>
        <w:spacing w:after="0" w:line="2" w:lineRule="exact"/>
        <w:rPr>
          <w:sz w:val="24"/>
          <w:szCs w:val="24"/>
          <w:color w:val="auto"/>
        </w:rPr>
      </w:pPr>
    </w:p>
    <w:p>
      <w:pPr>
        <w:ind w:left="20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Anish Bhatnagar</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Soleno Therapeutics, Inc.</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1235 Radio Road, Suite 110</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Redwood City, CA 94065</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(650) 213-8444</w:t>
      </w:r>
    </w:p>
    <w:p>
      <w:pPr>
        <w:spacing w:after="0" w:line="2" w:lineRule="exact"/>
        <w:rPr>
          <w:sz w:val="24"/>
          <w:szCs w:val="24"/>
          <w:color w:val="auto"/>
        </w:rPr>
      </w:pPr>
    </w:p>
    <w:p>
      <w:pPr>
        <w:ind w:left="248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Elton Satusky, Esq.</w:t>
      </w:r>
    </w:p>
    <w:p>
      <w:pPr>
        <w:spacing w:after="0" w:line="27"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Eric Hsu, Esq.</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Wilson Sonsini Goodrich &amp; Rosati,</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Professional Corporation</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650 Page Mill Road</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Palo Alto, CA 94304</w:t>
      </w:r>
    </w:p>
    <w:p>
      <w:pPr>
        <w:spacing w:after="0" w:line="9" w:lineRule="exact"/>
        <w:rPr>
          <w:sz w:val="24"/>
          <w:szCs w:val="24"/>
          <w:color w:val="auto"/>
        </w:rPr>
      </w:pPr>
    </w:p>
    <w:p>
      <w:pPr>
        <w:jc w:val="center"/>
        <w:ind w:right="-459"/>
        <w:spacing w:after="0"/>
        <w:rPr>
          <w:sz w:val="20"/>
          <w:szCs w:val="20"/>
          <w:color w:val="auto"/>
        </w:rPr>
      </w:pPr>
      <w:r>
        <w:rPr>
          <w:rFonts w:ascii="Arial" w:cs="Arial" w:eastAsia="Arial" w:hAnsi="Arial"/>
          <w:sz w:val="18"/>
          <w:szCs w:val="18"/>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980"/>
          </w:cols>
          <w:pgMar w:left="240" w:top="230" w:right="6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Approximate date of proposed sale to the public: </w:t>
      </w:r>
      <w:r>
        <w:rPr>
          <w:rFonts w:ascii="Arial" w:cs="Arial" w:eastAsia="Arial" w:hAnsi="Arial"/>
          <w:sz w:val="18"/>
          <w:szCs w:val="18"/>
          <w:color w:val="auto"/>
        </w:rPr>
        <w:t>From time to time after this Registration Statement becomes effective.</w:t>
      </w:r>
    </w:p>
    <w:p>
      <w:pPr>
        <w:spacing w:after="0" w:line="229" w:lineRule="exact"/>
        <w:rPr>
          <w:sz w:val="20"/>
          <w:szCs w:val="20"/>
          <w:color w:val="auto"/>
        </w:rPr>
      </w:pPr>
    </w:p>
    <w:p>
      <w:pPr>
        <w:ind w:right="60" w:firstLine="456"/>
        <w:spacing w:after="0" w:line="233" w:lineRule="exact"/>
        <w:rPr>
          <w:sz w:val="20"/>
          <w:szCs w:val="20"/>
          <w:color w:val="auto"/>
        </w:rPr>
      </w:pPr>
      <w:r>
        <w:rPr>
          <w:rFonts w:ascii="Arial" w:cs="Arial" w:eastAsia="Arial" w:hAnsi="Arial"/>
          <w:sz w:val="18"/>
          <w:szCs w:val="18"/>
          <w:color w:val="auto"/>
        </w:rPr>
        <w:t xml:space="preserve">If any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26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4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definitions of “large accelerated filer,” “accelerated filer,” and “smaller reporting company” in Rule 12b-2 of the Exchange Act. (Check one):</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840" w:type="dxa"/>
            <w:vAlign w:val="bottom"/>
          </w:tcPr>
          <w:p>
            <w:pPr>
              <w:ind w:left="166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504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60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50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600" w:type="dxa"/>
            <w:vAlign w:val="bottom"/>
            <w:tcBorders>
              <w:right w:val="single" w:sz="8" w:color="auto"/>
            </w:tcBorders>
          </w:tcPr>
          <w:p>
            <w:pPr>
              <w:jc w:val="center"/>
              <w:ind w:left="24"/>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Title of Each Class of</w:t>
            </w:r>
          </w:p>
        </w:tc>
        <w:tc>
          <w:tcPr>
            <w:tcW w:w="160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1560" w:type="dxa"/>
            <w:vAlign w:val="bottom"/>
            <w:vMerge w:val="restart"/>
          </w:tcPr>
          <w:p>
            <w:pPr>
              <w:jc w:val="center"/>
              <w:ind w:left="1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40" w:type="dxa"/>
            <w:vAlign w:val="bottom"/>
            <w:tcBorders>
              <w:right w:val="single" w:sz="8" w:color="auto"/>
            </w:tcBorders>
            <w:vMerge w:val="continue"/>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600" w:type="dxa"/>
            <w:vAlign w:val="bottom"/>
            <w:tcBorders>
              <w:right w:val="single" w:sz="8" w:color="auto"/>
            </w:tcBorders>
          </w:tcPr>
          <w:p>
            <w:pPr>
              <w:jc w:val="center"/>
              <w:ind w:left="4"/>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2"/>
              </w:rPr>
              <w:t>Aggregate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5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Registered(1)</w:t>
            </w:r>
          </w:p>
        </w:tc>
        <w:tc>
          <w:tcPr>
            <w:tcW w:w="160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3"/>
              </w:rPr>
              <w:t>Per Security(2)</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4"/>
              </w:rPr>
              <w:t>Offering Price(2)</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$0.001 par value</w:t>
            </w:r>
          </w:p>
        </w:tc>
        <w:tc>
          <w:tcPr>
            <w:tcW w:w="1600" w:type="dxa"/>
            <w:vAlign w:val="bottom"/>
            <w:tcBorders>
              <w:bottom w:val="single" w:sz="8" w:color="auto"/>
              <w:right w:val="single" w:sz="8" w:color="auto"/>
            </w:tcBorders>
          </w:tcPr>
          <w:p>
            <w:pPr>
              <w:jc w:val="center"/>
              <w:ind w:left="1"/>
              <w:spacing w:after="0"/>
              <w:rPr>
                <w:sz w:val="20"/>
                <w:szCs w:val="20"/>
                <w:color w:val="auto"/>
              </w:rPr>
            </w:pPr>
            <w:r>
              <w:rPr>
                <w:rFonts w:ascii="Arial" w:cs="Arial" w:eastAsia="Arial" w:hAnsi="Arial"/>
                <w:sz w:val="18"/>
                <w:szCs w:val="18"/>
                <w:color w:val="auto"/>
                <w:w w:val="89"/>
              </w:rPr>
              <w:t>8,141,116</w:t>
            </w:r>
          </w:p>
        </w:tc>
        <w:tc>
          <w:tcPr>
            <w:tcW w:w="1600" w:type="dxa"/>
            <w:vAlign w:val="bottom"/>
            <w:tcBorders>
              <w:bottom w:val="single" w:sz="8" w:color="auto"/>
              <w:right w:val="single" w:sz="8" w:color="auto"/>
            </w:tcBorders>
          </w:tcPr>
          <w:p>
            <w:pPr>
              <w:jc w:val="right"/>
              <w:ind w:right="484"/>
              <w:spacing w:after="0"/>
              <w:rPr>
                <w:sz w:val="20"/>
                <w:szCs w:val="20"/>
                <w:color w:val="auto"/>
              </w:rPr>
            </w:pPr>
            <w:r>
              <w:rPr>
                <w:rFonts w:ascii="Arial" w:cs="Arial" w:eastAsia="Arial" w:hAnsi="Arial"/>
                <w:sz w:val="18"/>
                <w:szCs w:val="18"/>
                <w:color w:val="auto"/>
              </w:rPr>
              <w:t>$2.01</w:t>
            </w:r>
          </w:p>
        </w:tc>
        <w:tc>
          <w:tcPr>
            <w:tcW w:w="1600" w:type="dxa"/>
            <w:vAlign w:val="bottom"/>
            <w:tcBorders>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89"/>
              </w:rPr>
              <w:t>$16,363,644</w:t>
            </w:r>
          </w:p>
        </w:tc>
        <w:tc>
          <w:tcPr>
            <w:tcW w:w="1560" w:type="dxa"/>
            <w:vAlign w:val="bottom"/>
            <w:tcBorders>
              <w:bottom w:val="single" w:sz="8" w:color="auto"/>
            </w:tcBorders>
          </w:tcPr>
          <w:p>
            <w:pPr>
              <w:jc w:val="center"/>
              <w:ind w:left="17"/>
              <w:spacing w:after="0"/>
              <w:rPr>
                <w:sz w:val="20"/>
                <w:szCs w:val="20"/>
                <w:color w:val="auto"/>
              </w:rPr>
            </w:pPr>
            <w:r>
              <w:rPr>
                <w:rFonts w:ascii="Arial" w:cs="Arial" w:eastAsia="Arial" w:hAnsi="Arial"/>
                <w:sz w:val="18"/>
                <w:szCs w:val="18"/>
                <w:color w:val="auto"/>
                <w:w w:val="90"/>
              </w:rPr>
              <w:t>$2,038</w:t>
            </w:r>
          </w:p>
        </w:tc>
        <w:tc>
          <w:tcPr>
            <w:tcW w:w="0" w:type="dxa"/>
            <w:vAlign w:val="bottom"/>
          </w:tcPr>
          <w:p>
            <w:pPr>
              <w:spacing w:after="0"/>
              <w:rPr>
                <w:sz w:val="1"/>
                <w:szCs w:val="1"/>
                <w:color w:val="auto"/>
              </w:rPr>
            </w:pPr>
          </w:p>
        </w:tc>
      </w:tr>
      <w:tr>
        <w:trPr>
          <w:trHeight w:val="210"/>
        </w:trPr>
        <w:tc>
          <w:tcPr>
            <w:tcW w:w="50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Common Stock, $0.001 par value, underlying the warrants</w:t>
            </w:r>
          </w:p>
        </w:tc>
        <w:tc>
          <w:tcPr>
            <w:tcW w:w="1600" w:type="dxa"/>
            <w:vAlign w:val="bottom"/>
            <w:tcBorders>
              <w:right w:val="single" w:sz="8" w:color="auto"/>
            </w:tcBorders>
          </w:tcPr>
          <w:p>
            <w:pPr>
              <w:jc w:val="center"/>
              <w:ind w:left="1"/>
              <w:spacing w:after="0"/>
              <w:rPr>
                <w:sz w:val="20"/>
                <w:szCs w:val="20"/>
                <w:color w:val="auto"/>
              </w:rPr>
            </w:pPr>
            <w:r>
              <w:rPr>
                <w:rFonts w:ascii="Arial" w:cs="Arial" w:eastAsia="Arial" w:hAnsi="Arial"/>
                <w:sz w:val="18"/>
                <w:szCs w:val="18"/>
                <w:color w:val="auto"/>
                <w:w w:val="89"/>
              </w:rPr>
              <w:t>6,024,425</w:t>
            </w:r>
          </w:p>
        </w:tc>
        <w:tc>
          <w:tcPr>
            <w:tcW w:w="1600" w:type="dxa"/>
            <w:vAlign w:val="bottom"/>
            <w:tcBorders>
              <w:right w:val="single" w:sz="8" w:color="auto"/>
            </w:tcBorders>
          </w:tcPr>
          <w:p>
            <w:pPr>
              <w:jc w:val="right"/>
              <w:ind w:right="364"/>
              <w:spacing w:after="0"/>
              <w:rPr>
                <w:sz w:val="20"/>
                <w:szCs w:val="20"/>
                <w:color w:val="auto"/>
              </w:rPr>
            </w:pPr>
            <w:r>
              <w:rPr>
                <w:rFonts w:ascii="Arial" w:cs="Arial" w:eastAsia="Arial" w:hAnsi="Arial"/>
                <w:sz w:val="18"/>
                <w:szCs w:val="18"/>
                <w:color w:val="auto"/>
              </w:rPr>
              <w:t>$2.00(3)</w:t>
            </w:r>
          </w:p>
        </w:tc>
        <w:tc>
          <w:tcPr>
            <w:tcW w:w="1600" w:type="dxa"/>
            <w:vAlign w:val="bottom"/>
            <w:tcBorders>
              <w:right w:val="single" w:sz="8" w:color="auto"/>
            </w:tcBorders>
          </w:tcPr>
          <w:p>
            <w:pPr>
              <w:jc w:val="center"/>
              <w:ind w:left="22"/>
              <w:spacing w:after="0"/>
              <w:rPr>
                <w:sz w:val="20"/>
                <w:szCs w:val="20"/>
                <w:color w:val="auto"/>
              </w:rPr>
            </w:pPr>
            <w:r>
              <w:rPr>
                <w:rFonts w:ascii="Arial" w:cs="Arial" w:eastAsia="Arial" w:hAnsi="Arial"/>
                <w:sz w:val="18"/>
                <w:szCs w:val="18"/>
                <w:color w:val="auto"/>
                <w:w w:val="89"/>
              </w:rPr>
              <w:t>$12,048,850</w:t>
            </w:r>
          </w:p>
        </w:tc>
        <w:tc>
          <w:tcPr>
            <w:tcW w:w="1560" w:type="dxa"/>
            <w:vAlign w:val="bottom"/>
          </w:tcPr>
          <w:p>
            <w:pPr>
              <w:jc w:val="center"/>
              <w:ind w:left="17"/>
              <w:spacing w:after="0"/>
              <w:rPr>
                <w:sz w:val="20"/>
                <w:szCs w:val="20"/>
                <w:color w:val="auto"/>
              </w:rPr>
            </w:pPr>
            <w:r>
              <w:rPr>
                <w:rFonts w:ascii="Arial" w:cs="Arial" w:eastAsia="Arial" w:hAnsi="Arial"/>
                <w:sz w:val="18"/>
                <w:szCs w:val="18"/>
                <w:color w:val="auto"/>
                <w:w w:val="90"/>
              </w:rPr>
              <w:t>$1,501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spacing w:after="0"/>
              <w:rPr>
                <w:sz w:val="18"/>
                <w:szCs w:val="18"/>
                <w:color w:val="auto"/>
              </w:rPr>
            </w:pPr>
          </w:p>
        </w:tc>
        <w:tc>
          <w:tcPr>
            <w:tcW w:w="1600" w:type="dxa"/>
            <w:vAlign w:val="bottom"/>
            <w:tcBorders>
              <w:top w:val="single" w:sz="8" w:color="auto"/>
              <w:bottom w:val="single" w:sz="8" w:color="auto"/>
              <w:right w:val="single" w:sz="8" w:color="auto"/>
            </w:tcBorders>
          </w:tcPr>
          <w:p>
            <w:pPr>
              <w:jc w:val="center"/>
              <w:ind w:left="22"/>
              <w:spacing w:after="0"/>
              <w:rPr>
                <w:sz w:val="20"/>
                <w:szCs w:val="20"/>
                <w:color w:val="auto"/>
              </w:rPr>
            </w:pPr>
            <w:r>
              <w:rPr>
                <w:rFonts w:ascii="Arial" w:cs="Arial" w:eastAsia="Arial" w:hAnsi="Arial"/>
                <w:sz w:val="18"/>
                <w:szCs w:val="18"/>
                <w:color w:val="auto"/>
                <w:w w:val="89"/>
              </w:rPr>
              <w:t>$28,412,494</w:t>
            </w:r>
          </w:p>
        </w:tc>
        <w:tc>
          <w:tcPr>
            <w:tcW w:w="1560" w:type="dxa"/>
            <w:vAlign w:val="bottom"/>
            <w:tcBorders>
              <w:top w:val="single" w:sz="8" w:color="auto"/>
              <w:bottom w:val="single" w:sz="8" w:color="auto"/>
            </w:tcBorders>
          </w:tcPr>
          <w:p>
            <w:pPr>
              <w:jc w:val="center"/>
              <w:ind w:left="17"/>
              <w:spacing w:after="0"/>
              <w:rPr>
                <w:sz w:val="20"/>
                <w:szCs w:val="20"/>
                <w:color w:val="auto"/>
              </w:rPr>
            </w:pPr>
            <w:r>
              <w:rPr>
                <w:rFonts w:ascii="Arial" w:cs="Arial" w:eastAsia="Arial" w:hAnsi="Arial"/>
                <w:sz w:val="18"/>
                <w:szCs w:val="18"/>
                <w:color w:val="auto"/>
                <w:w w:val="90"/>
              </w:rPr>
              <w:t>$3,539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right="220" w:hanging="452"/>
        <w:spacing w:after="0" w:line="25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offered an indeterminate number of additional securities as may from time to time become issuable by reason of stock splits, stock dividends, recapitalizations or other similar transactions.</w:t>
      </w:r>
    </w:p>
    <w:p>
      <w:pPr>
        <w:ind w:left="460" w:right="40" w:hanging="452"/>
        <w:spacing w:after="0" w:line="250"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457(c), calculated on the basis of the registrant’s Common Stock on the NASDAQ Capital Market on January 23, 2018.</w:t>
      </w:r>
    </w:p>
    <w:p>
      <w:pPr>
        <w:ind w:left="460" w:hanging="452"/>
        <w:spacing w:after="0"/>
        <w:tabs>
          <w:tab w:leader="none" w:pos="46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the calculation of the registration fee pursuant to Rule 457(g), based on the exercise price of the warrants.</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282575</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459" w:right="3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160"/>
        <w:spacing w:after="0" w:line="314" w:lineRule="auto"/>
        <w:rPr>
          <w:sz w:val="20"/>
          <w:szCs w:val="20"/>
          <w:color w:val="auto"/>
        </w:rPr>
      </w:pPr>
      <w:r>
        <w:rPr>
          <w:rFonts w:ascii="Arial" w:cs="Arial" w:eastAsia="Arial" w:hAnsi="Arial"/>
          <w:sz w:val="16"/>
          <w:szCs w:val="16"/>
          <w:b w:val="1"/>
          <w:bCs w:val="1"/>
          <w:color w:val="FF4338"/>
        </w:rPr>
        <w:t>The information in this prospectus is not complete and may be changed. The selling stockholders may not sell these securities until the registration statement filed with the Securities and Exchange Commission is effective. This prospectus is not an offer to sell these securities, and the selling stockholders are not soliciting offers to buy these securities, in any state where the offer or sale of these securities is not permitted.</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FF4338"/>
        </w:rPr>
        <w:t>SUBJECT TO COMPLETION, DATED JANUARY 29,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172085</wp:posOffset>
            </wp:positionV>
            <wp:extent cx="1286510" cy="523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651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SOLENO THERAPEUTICS, INC.</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25"/>
          <w:szCs w:val="25"/>
          <w:b w:val="1"/>
          <w:bCs w:val="1"/>
          <w:color w:val="auto"/>
        </w:rPr>
        <w:t>Up to 14,165,541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prospectus relates to the resale by the selling stockholders identified in this prospectus of up to an aggregate of 14,165,541 shares of our common stock, which consists of:</w:t>
      </w:r>
    </w:p>
    <w:p>
      <w:pPr>
        <w:spacing w:after="0" w:line="76" w:lineRule="exact"/>
        <w:rPr>
          <w:sz w:val="20"/>
          <w:szCs w:val="20"/>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8,141,116 shares of our common stock that are issued and outstanding, or the Shares; and</w:t>
      </w:r>
    </w:p>
    <w:p>
      <w:pPr>
        <w:spacing w:after="0" w:line="130"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up to 6,024,425 shares, or the Warrant Shares, of our common stock that may be purchased upon exercise of issued and outstanding warrants, or the 2017 PIPE Warrants.</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refer to the Shares and the Warrant Shares collectively as the “Resale Shares.” We sold the Shares and the 2017 Pipe Warrants to the selling stockholders in a private placement in December 2017, which we refer to as the 2017 PIPE Offering, pursuant to a Securities purchase agreement, which we refer to as the Unit Purchase Agreement.</w:t>
      </w:r>
    </w:p>
    <w:p>
      <w:pPr>
        <w:spacing w:after="0" w:line="181"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selling stockholders and any participating broker-dealers may be deemed to be “underwriters” within the meaning of the Securities Act of 1933, as amended, or the Securities Act, in connection with such sales. We will pay the expenses of registering these shares, but all selling and other expenses incurred by the selling stockholders will be paid by the selling stockholders.</w:t>
      </w:r>
    </w:p>
    <w:p>
      <w:pPr>
        <w:spacing w:after="0" w:line="18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common stock is listed on the NASDAQ Capital Market under the ticker symbol “SLNO.” On January 23, 2018, the last reported sale price per share of our common stock was $2.03 per share.</w:t>
      </w:r>
    </w:p>
    <w:p>
      <w:pPr>
        <w:spacing w:after="0" w:line="17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You should read this prospectus and any prospectus supplement, together with additional information described under the heading “Where You Can Find More Information,” carefully before you invest in any of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460"/>
        <w:spacing w:after="0"/>
        <w:rPr>
          <w:rFonts w:ascii="Arial" w:cs="Arial" w:eastAsia="Arial" w:hAnsi="Arial"/>
          <w:sz w:val="21"/>
          <w:szCs w:val="21"/>
          <w:b w:val="1"/>
          <w:bCs w:val="1"/>
          <w:color w:val="auto"/>
        </w:rPr>
      </w:pPr>
      <w:r>
        <w:rPr>
          <w:rFonts w:ascii="Arial" w:cs="Arial" w:eastAsia="Arial" w:hAnsi="Arial"/>
          <w:sz w:val="21"/>
          <w:szCs w:val="21"/>
          <w:b w:val="1"/>
          <w:bCs w:val="1"/>
          <w:color w:val="auto"/>
        </w:rPr>
        <w:t>Investing in our securities involves a high degree of risk. See “</w:t>
      </w:r>
      <w:hyperlink w:anchor="page12">
        <w:r>
          <w:rPr>
            <w:rFonts w:ascii="Arial" w:cs="Arial" w:eastAsia="Arial" w:hAnsi="Arial"/>
            <w:sz w:val="21"/>
            <w:szCs w:val="21"/>
            <w:b w:val="1"/>
            <w:bCs w:val="1"/>
            <w:u w:val="single" w:color="auto"/>
            <w:color w:val="0000EE"/>
          </w:rPr>
          <w:t>Risk Factors</w:t>
        </w:r>
      </w:hyperlink>
      <w:r>
        <w:rPr>
          <w:rFonts w:ascii="Arial" w:cs="Arial" w:eastAsia="Arial" w:hAnsi="Arial"/>
          <w:sz w:val="21"/>
          <w:szCs w:val="21"/>
          <w:b w:val="1"/>
          <w:bCs w:val="1"/>
          <w:color w:val="auto"/>
        </w:rPr>
        <w:t>” on page 7 of this prospectus.</w:t>
      </w:r>
    </w:p>
    <w:p>
      <w:pPr>
        <w:spacing w:after="0" w:line="227" w:lineRule="exact"/>
        <w:rPr>
          <w:sz w:val="20"/>
          <w:szCs w:val="20"/>
          <w:color w:val="auto"/>
        </w:rPr>
      </w:pPr>
    </w:p>
    <w:p>
      <w:pPr>
        <w:ind w:right="48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185420</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tbl>
      <w:tblPr>
        <w:tblLayout w:type="fixed"/>
        <w:tblInd w:w="416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r>
              <w:rPr>
                <w:rFonts w:ascii="Arial" w:cs="Arial" w:eastAsia="Arial" w:hAnsi="Arial"/>
                <w:sz w:val="18"/>
                <w:szCs w:val="18"/>
                <w:b w:val="1"/>
                <w:bCs w:val="1"/>
                <w:color w:val="auto"/>
              </w:rPr>
              <w:t>This prospectus is dated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 2018.</w:t>
            </w:r>
          </w:p>
        </w:tc>
      </w:tr>
    </w:tbl>
    <w:p>
      <w:pPr>
        <w:sectPr>
          <w:pgSz w:w="11900" w:h="16838" w:orient="portrait"/>
          <w:cols w:equalWidth="0" w:num="1">
            <w:col w:w="11380"/>
          </w:cols>
          <w:pgMar w:left="240" w:top="45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80" w:type="dxa"/>
            <w:vAlign w:val="bottom"/>
            <w:gridSpan w:val="3"/>
          </w:tcPr>
          <w:p>
            <w:pPr>
              <w:ind w:left="60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40" w:type="dxa"/>
            <w:vAlign w:val="bottom"/>
            <w:gridSpan w:val="10"/>
            <w:vMerge w:val="restart"/>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Summary</w:t>
              </w:r>
            </w:hyperlink>
          </w:p>
        </w:tc>
        <w:tc>
          <w:tcPr>
            <w:tcW w:w="9500" w:type="dxa"/>
            <w:vAlign w:val="bottom"/>
            <w:gridSpan w:val="12"/>
            <w:vMerge w:val="restart"/>
          </w:tcPr>
          <w:p>
            <w:pPr>
              <w:spacing w:after="0"/>
              <w:rPr>
                <w:sz w:val="24"/>
                <w:szCs w:val="24"/>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1540" w:type="dxa"/>
            <w:vAlign w:val="bottom"/>
            <w:tcBorders>
              <w:bottom w:val="single" w:sz="8" w:color="0000EE"/>
            </w:tcBorders>
            <w:gridSpan w:val="10"/>
            <w:vMerge w:val="continue"/>
          </w:tcPr>
          <w:p>
            <w:pPr>
              <w:spacing w:after="0"/>
              <w:rPr>
                <w:sz w:val="13"/>
                <w:szCs w:val="13"/>
                <w:color w:val="auto"/>
              </w:rPr>
            </w:pPr>
          </w:p>
        </w:tc>
        <w:tc>
          <w:tcPr>
            <w:tcW w:w="9500" w:type="dxa"/>
            <w:vAlign w:val="bottom"/>
            <w:gridSpan w:val="12"/>
            <w:vMerge w:val="continue"/>
          </w:tcPr>
          <w:p>
            <w:pPr>
              <w:spacing w:after="0"/>
              <w:rPr>
                <w:sz w:val="13"/>
                <w:szCs w:val="13"/>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12">
              <w:r>
                <w:rPr>
                  <w:rFonts w:ascii="Arial" w:cs="Arial" w:eastAsia="Arial" w:hAnsi="Arial"/>
                  <w:sz w:val="18"/>
                  <w:szCs w:val="18"/>
                  <w:color w:val="0000EE"/>
                  <w:w w:val="89"/>
                </w:rPr>
                <w:t>Risk Factors</w:t>
              </w:r>
            </w:hyperlink>
          </w:p>
        </w:tc>
        <w:tc>
          <w:tcPr>
            <w:tcW w:w="10120" w:type="dxa"/>
            <w:vAlign w:val="bottom"/>
            <w:gridSpan w:val="19"/>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16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Cautionary Note Regarding Forward-Looking Statements</w:t>
              </w:r>
            </w:hyperlink>
          </w:p>
        </w:tc>
        <w:tc>
          <w:tcPr>
            <w:tcW w:w="688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47">
              <w:r>
                <w:rPr>
                  <w:rFonts w:ascii="Arial" w:cs="Arial" w:eastAsia="Arial" w:hAnsi="Arial"/>
                  <w:sz w:val="18"/>
                  <w:szCs w:val="18"/>
                  <w:color w:val="0000EE"/>
                  <w:w w:val="87"/>
                </w:rPr>
                <w:t>Use of Proceeds</w:t>
              </w:r>
            </w:hyperlink>
          </w:p>
        </w:tc>
        <w:tc>
          <w:tcPr>
            <w:tcW w:w="98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37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w:anchor="page47">
              <w:r>
                <w:rPr>
                  <w:rFonts w:ascii="Arial" w:cs="Arial" w:eastAsia="Arial" w:hAnsi="Arial"/>
                  <w:sz w:val="18"/>
                  <w:szCs w:val="18"/>
                  <w:color w:val="0000EE"/>
                  <w:w w:val="91"/>
                </w:rPr>
                <w:t>Price Range of Common Stock and Dividend Policy</w:t>
              </w:r>
            </w:hyperlink>
          </w:p>
        </w:tc>
        <w:tc>
          <w:tcPr>
            <w:tcW w:w="72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64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Business</w:t>
              </w:r>
            </w:hyperlink>
          </w:p>
        </w:tc>
        <w:tc>
          <w:tcPr>
            <w:tcW w:w="45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4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84">
              <w:r>
                <w:rPr>
                  <w:rFonts w:ascii="Arial" w:cs="Arial" w:eastAsia="Arial" w:hAnsi="Arial"/>
                  <w:sz w:val="18"/>
                  <w:szCs w:val="18"/>
                  <w:color w:val="0000EE"/>
                  <w:w w:val="92"/>
                </w:rPr>
                <w:t>Description of Properties</w:t>
              </w:r>
            </w:hyperlink>
          </w:p>
        </w:tc>
        <w:tc>
          <w:tcPr>
            <w:tcW w:w="92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Legal Proceedings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3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Management</w:t>
              </w:r>
            </w:hyperlink>
          </w:p>
        </w:tc>
        <w:tc>
          <w:tcPr>
            <w:tcW w:w="9700" w:type="dxa"/>
            <w:vAlign w:val="bottom"/>
            <w:gridSpan w:val="1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20" w:type="dxa"/>
            <w:vAlign w:val="bottom"/>
            <w:tcBorders>
              <w:bottom w:val="single" w:sz="8" w:color="0000EE"/>
            </w:tcBorders>
            <w:gridSpan w:val="13"/>
          </w:tcPr>
          <w:p>
            <w:pPr>
              <w:spacing w:after="0" w:line="196" w:lineRule="exact"/>
              <w:rPr>
                <w:rFonts w:ascii="Arial" w:cs="Arial" w:eastAsia="Arial" w:hAnsi="Arial"/>
                <w:sz w:val="18"/>
                <w:szCs w:val="18"/>
                <w:color w:val="0000EE"/>
                <w:w w:val="90"/>
              </w:rPr>
            </w:pPr>
            <w:hyperlink w:anchor="page94">
              <w:r>
                <w:rPr>
                  <w:rFonts w:ascii="Arial" w:cs="Arial" w:eastAsia="Arial" w:hAnsi="Arial"/>
                  <w:sz w:val="18"/>
                  <w:szCs w:val="18"/>
                  <w:color w:val="0000EE"/>
                  <w:w w:val="90"/>
                </w:rPr>
                <w:t>Executive Compensation</w:t>
              </w:r>
            </w:hyperlink>
          </w:p>
        </w:tc>
        <w:tc>
          <w:tcPr>
            <w:tcW w:w="922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6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w:anchor="page105">
              <w:r>
                <w:rPr>
                  <w:rFonts w:ascii="Arial" w:cs="Arial" w:eastAsia="Arial" w:hAnsi="Arial"/>
                  <w:sz w:val="18"/>
                  <w:szCs w:val="18"/>
                  <w:color w:val="0000EE"/>
                  <w:w w:val="91"/>
                </w:rPr>
                <w:t>Security Ownership of Certain Beneficial Owners and Management</w:t>
              </w:r>
            </w:hyperlink>
          </w:p>
        </w:tc>
        <w:tc>
          <w:tcPr>
            <w:tcW w:w="614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96"/>
        </w:trPr>
        <w:tc>
          <w:tcPr>
            <w:tcW w:w="180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110">
              <w:r>
                <w:rPr>
                  <w:rFonts w:ascii="Arial" w:cs="Arial" w:eastAsia="Arial" w:hAnsi="Arial"/>
                  <w:sz w:val="18"/>
                  <w:szCs w:val="18"/>
                  <w:color w:val="0000EE"/>
                  <w:w w:val="91"/>
                </w:rPr>
                <w:t>Description of Securities</w:t>
              </w:r>
            </w:hyperlink>
          </w:p>
        </w:tc>
        <w:tc>
          <w:tcPr>
            <w:tcW w:w="924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18">
              <w:r>
                <w:rPr>
                  <w:rFonts w:ascii="Arial" w:cs="Arial" w:eastAsia="Arial" w:hAnsi="Arial"/>
                  <w:sz w:val="18"/>
                  <w:szCs w:val="18"/>
                  <w:color w:val="0000EE"/>
                  <w:w w:val="91"/>
                </w:rPr>
                <w:t>Legal Matters</w:t>
              </w:r>
            </w:hyperlink>
          </w:p>
        </w:tc>
        <w:tc>
          <w:tcPr>
            <w:tcW w:w="1002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118">
              <w:r>
                <w:rPr>
                  <w:rFonts w:ascii="Arial" w:cs="Arial" w:eastAsia="Arial" w:hAnsi="Arial"/>
                  <w:sz w:val="18"/>
                  <w:szCs w:val="18"/>
                  <w:color w:val="0000EE"/>
                  <w:w w:val="88"/>
                </w:rPr>
                <w:t>Experts</w:t>
              </w:r>
            </w:hyperlink>
          </w:p>
        </w:tc>
        <w:tc>
          <w:tcPr>
            <w:tcW w:w="10480" w:type="dxa"/>
            <w:vAlign w:val="bottom"/>
            <w:gridSpan w:val="2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118">
              <w:r>
                <w:rPr>
                  <w:rFonts w:ascii="Arial" w:cs="Arial" w:eastAsia="Arial" w:hAnsi="Arial"/>
                  <w:sz w:val="18"/>
                  <w:szCs w:val="18"/>
                  <w:color w:val="0000EE"/>
                  <w:w w:val="93"/>
                </w:rPr>
                <w:t>Available Information</w:t>
              </w:r>
            </w:hyperlink>
          </w:p>
        </w:tc>
        <w:tc>
          <w:tcPr>
            <w:tcW w:w="944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111</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120">
              <w:r>
                <w:rPr>
                  <w:rFonts w:ascii="Arial" w:cs="Arial" w:eastAsia="Arial" w:hAnsi="Arial"/>
                  <w:sz w:val="18"/>
                  <w:szCs w:val="18"/>
                  <w:color w:val="0000EE"/>
                </w:rPr>
                <w:t>Indemnification for Securities Act Liabilities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113</w:t>
            </w:r>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Plan of Distribution</w:t>
              </w:r>
            </w:hyperlink>
          </w:p>
        </w:tc>
        <w:tc>
          <w:tcPr>
            <w:tcW w:w="1800" w:type="dxa"/>
            <w:vAlign w:val="bottom"/>
            <w:tcBorders>
              <w:top w:val="single" w:sz="8" w:color="0000EE"/>
            </w:tcBorders>
            <w:gridSpan w:val="8"/>
          </w:tcPr>
          <w:p>
            <w:pPr>
              <w:spacing w:after="0"/>
              <w:rPr>
                <w:sz w:val="17"/>
                <w:szCs w:val="17"/>
                <w:color w:val="auto"/>
              </w:rPr>
            </w:pPr>
          </w:p>
        </w:tc>
        <w:tc>
          <w:tcPr>
            <w:tcW w:w="78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11040" w:type="dxa"/>
            <w:vAlign w:val="bottom"/>
            <w:gridSpan w:val="22"/>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Selling Stockholders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115</w:t>
            </w:r>
          </w:p>
        </w:tc>
        <w:tc>
          <w:tcPr>
            <w:tcW w:w="0" w:type="dxa"/>
            <w:vAlign w:val="bottom"/>
          </w:tcPr>
          <w:p>
            <w:pPr>
              <w:spacing w:after="0"/>
              <w:rPr>
                <w:sz w:val="1"/>
                <w:szCs w:val="1"/>
                <w:color w:val="auto"/>
              </w:rPr>
            </w:pPr>
          </w:p>
        </w:tc>
      </w:tr>
      <w:tr>
        <w:trPr>
          <w:trHeight w:val="20"/>
        </w:trPr>
        <w:tc>
          <w:tcPr>
            <w:tcW w:w="1500" w:type="dxa"/>
            <w:vAlign w:val="bottom"/>
            <w:gridSpan w:val="9"/>
            <w:shd w:val="clear" w:color="auto" w:fill="0000EE"/>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88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25">
              <w:r>
                <w:rPr>
                  <w:rFonts w:ascii="Arial" w:cs="Arial" w:eastAsia="Arial" w:hAnsi="Arial"/>
                  <w:sz w:val="18"/>
                  <w:szCs w:val="18"/>
                  <w:color w:val="0000EE"/>
                  <w:w w:val="90"/>
                </w:rPr>
                <w:t>Index to Financial Statements</w:t>
              </w:r>
            </w:hyperlink>
          </w:p>
        </w:tc>
        <w:tc>
          <w:tcPr>
            <w:tcW w:w="888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thereto. We have not authorized anyone to provide you with different information.</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7979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9794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the sections of this prospectus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“Soleno Therapeutics,” “we,” “us”, and “our” refer to Soleno Therapeutics, Inc.</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On December 4, 2017, we, and our wholly-owned subsidiary, Capnia, Inc., a Delaware corporation, or Capnia, entered into a joint venture with OptAsia Healthcare Limited, a Hong Kong company limited by shares, or OAHL, with the purpose of developing and commercializing medical monitors, including the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that measure end-tidal carbon monoxide in breath to assist in the detection of excessive hemolysis in neonates, a condition in which red blood cells degrade rapidly and which can lead to adverse neurological outcomes.</w:t>
      </w:r>
    </w:p>
    <w:p>
      <w:pPr>
        <w:spacing w:after="0" w:line="188"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On October 6, 2017, we effected a one-for-five (1:5) reverse stock split of our then outstanding Common Stock and, accordingly, all common share and per share data are retrospectively restated to give effect of the split for all periods presented herein.</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Prior to our entry into the joint venture with OAHL, we also completed the sale of stock of our 100% wholly-owned subsidiary, NeoForce, Inc., or NFI, primarily related to our portfolio of neonatology resuscitation business on July 18, 2017,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On May 8, 2017, we received stockholder approval to amend the Amended and Restate Certificate of Incorporation of the Company, to change the name of the Company to Soleno Therapeutics, Inc.</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On January 27, 2017, we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We issued Aspire Capital 141,666 shares of Common Stock as commitment shares under the 2017 Aspire Purchase Agreement. The 2017 Aspire Purchase Agreement was terminated upon the closing of the 2017 PIPE Offering.</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in accordance with the Merger Agreement by and between Soleno Therapeutics and Essentialis dated December 22, 2016, or the Merger Agreement. After the Merger, our primary focus is transitioning to the development and commercialization of novel therapeutics for the treatment of rare diseases. Essentialis was a privately held, clinical stage biotechnology company focused on the development of breakthrough medicines for the treatment of rare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United States, or U.S., as well as in the European Union, or E.U.</w:t>
      </w:r>
    </w:p>
    <w:p>
      <w:pPr>
        <w:spacing w:after="0" w:line="167"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Our current research and development efforts are primarily focused on advancing our lead candidate, DCCR tablets for the treatment of PWS into late-stage clinical development, with a secondary emphasis on our joint venture with OAHL for the CoSense technology. CoSense is 510(k) cleared for sale in the U.S. and received CE Mark certification for sale in the E.U. We continue to separately evaluate alternatives for our Serenz portfolio.</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DCCR tablets consist of the active ingredient diazoxide choline, a choline salt of diazoxide, which is a benzothiadiazine. Once solubilized from the formulation, diazoxide choline is rapidly hydrolyzed to diazoxide prior to absorption. Diazoxide is a benzothiadiazine that acts by stimulating ion flux through ATP-sensitive K</w:t>
      </w:r>
      <w:r>
        <w:rPr>
          <w:rFonts w:ascii="Arial" w:cs="Arial" w:eastAsia="Arial" w:hAnsi="Arial"/>
          <w:sz w:val="15"/>
          <w:szCs w:val="15"/>
          <w:color w:val="auto"/>
        </w:rPr>
        <w:t>+</w:t>
      </w:r>
      <w:r>
        <w:rPr>
          <w:rFonts w:ascii="Arial" w:cs="Arial" w:eastAsia="Arial" w:hAnsi="Arial"/>
          <w:sz w:val="18"/>
          <w:szCs w:val="18"/>
          <w:color w:val="auto"/>
        </w:rPr>
        <w:t xml:space="preserve"> channels (K</w:t>
      </w:r>
      <w:r>
        <w:rPr>
          <w:rFonts w:ascii="Arial" w:cs="Arial" w:eastAsia="Arial" w:hAnsi="Arial"/>
          <w:sz w:val="15"/>
          <w:szCs w:val="15"/>
          <w:color w:val="auto"/>
        </w:rPr>
        <w:t>ATP</w:t>
      </w:r>
      <w:r>
        <w:rPr>
          <w:rFonts w:ascii="Arial" w:cs="Arial" w:eastAsia="Arial" w:hAnsi="Arial"/>
          <w:sz w:val="18"/>
          <w:szCs w:val="18"/>
          <w:color w:val="auto"/>
        </w:rPr>
        <w:t>). In the U.S., diazoxide was first approved in 1973 as an intravenous formulation for the emergency treatment of malignant hypertension. In 1976, immediate-release oral formulations were approved, and there has been nearly 40 years of use of the orally-administered drug in the approved indications.</w:t>
      </w:r>
    </w:p>
    <w:p>
      <w:pPr>
        <w:sectPr>
          <w:pgSz w:w="11900" w:h="16838" w:orient="portrait"/>
          <w:cols w:equalWidth="0" w:num="1">
            <w:col w:w="11200"/>
          </w:cols>
          <w:pgMar w:left="24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240" w:top="459"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136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113601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7"/>
          <w:szCs w:val="17"/>
          <w:color w:val="auto"/>
        </w:rPr>
        <w:t>A pilot study was conducted between June 2014 and March 2016 to evaluate the safety and preliminary efficacy of DCCR in the treatment of PWS subjects. This study, PC025, was a single-center, randomized withdrawal study and enrolled 13 overweight and obese subjects with genetically-confirmed PWS who were between the ages of 10 and 22. The study showed a statistically significant improvement in hyperphagia, the most important unmet need in PWS, as well as several other parameters.</w:t>
      </w:r>
    </w:p>
    <w:p>
      <w:pPr>
        <w:spacing w:after="0" w:line="81" w:lineRule="exact"/>
        <w:rPr>
          <w:sz w:val="20"/>
          <w:szCs w:val="20"/>
          <w:color w:val="auto"/>
        </w:rPr>
      </w:pPr>
    </w:p>
    <w:p>
      <w:pPr>
        <w:ind w:left="200" w:firstLine="441"/>
        <w:spacing w:after="0" w:line="306" w:lineRule="auto"/>
        <w:rPr>
          <w:sz w:val="20"/>
          <w:szCs w:val="20"/>
          <w:color w:val="auto"/>
        </w:rPr>
      </w:pPr>
      <w:r>
        <w:rPr>
          <w:rFonts w:ascii="Arial" w:cs="Arial" w:eastAsia="Arial" w:hAnsi="Arial"/>
          <w:sz w:val="16"/>
          <w:szCs w:val="16"/>
          <w:color w:val="auto"/>
        </w:rPr>
        <w:t>DCCR is being developed in the U.S. under a current Investigational New Drug, or IND. We have received scientific advice from the U.S. Food and Drug Administration, or FDA, as well as the European Medicines Agency, or EMA, and expect to initiate a Phase III program in the near future.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279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27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CoSense Joint Venture</w:t>
      </w:r>
    </w:p>
    <w:p>
      <w:pPr>
        <w:spacing w:after="0" w:line="121"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In December 2017, we entered into a joint venture with OAHL with respect to our CoSense product by selling shares of Capnia, our previously wholly owned subsidiary, to OAHL. CoSense was our first Sensalyze Technology Platform product to receive 510(k) clearance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Our entry into the joint venture is part of a comprehensive review of strategic alternatives for our legacy products and product candidates following our transition to a primarily therapeutic drug product company. As part of the joint venture, Anthony Wondka, our former Senior Vice President, Research and Development, transitioned to a full-time employee of Capnia. Going forward, OAHL will be responsible for funding the operations of Capnia.</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business is subject to numerous risks and uncertainties related to the development and commercialization of DCCR, our joint venture involving CoSense, our reliance on third parties for manufacturing, our financial condition and need for additional capital, the operation of our business, our intellectual property, government regulation and ownership of our securities. These risks include those highlighted in the section entitled “Risk Factors” immediately following this prospectus summary, including the following:</w:t>
      </w:r>
    </w:p>
    <w:p>
      <w:pPr>
        <w:spacing w:after="0" w:line="92" w:lineRule="exact"/>
        <w:rPr>
          <w:sz w:val="20"/>
          <w:szCs w:val="20"/>
          <w:color w:val="auto"/>
        </w:rPr>
      </w:pPr>
    </w:p>
    <w:p>
      <w:pPr>
        <w:ind w:left="1060" w:hanging="323"/>
        <w:spacing w:after="0" w:line="264" w:lineRule="auto"/>
        <w:tabs>
          <w:tab w:leader="none" w:pos="1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a limited commercialization history and have incurred significant losses since our inception, and we anticipate that we will continue to incur substantial losses for the foreseeable future, which makes it difficult to evaluate our business and assess our future viability. As of September 30, 2017, we had an accumulated deficit of $109.0 million.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363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53638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20" w:hanging="323"/>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significantly dependent upon the success of DCCR, our sole therapeutic product candidate and if we fail to obtain regulatory approval for DCCR in the U.S. and E.U., our business would be harmed. 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92" w:lineRule="exact"/>
        <w:rPr>
          <w:rFonts w:ascii="Arial" w:cs="Arial" w:eastAsia="Arial" w:hAnsi="Arial"/>
          <w:sz w:val="18"/>
          <w:szCs w:val="18"/>
          <w:color w:val="auto"/>
        </w:rPr>
      </w:pPr>
    </w:p>
    <w:p>
      <w:pPr>
        <w:ind w:left="1060" w:right="4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safety and preliminary efficacy results from the pilot study of DCCR conducted in the treatment of PWS subjects may not be indicative of the outcome of the proposed NDA-enabling clinical trial.</w:t>
      </w:r>
    </w:p>
    <w:p>
      <w:pPr>
        <w:spacing w:after="0" w:line="75" w:lineRule="exact"/>
        <w:rPr>
          <w:rFonts w:ascii="Arial" w:cs="Arial" w:eastAsia="Arial" w:hAnsi="Arial"/>
          <w:sz w:val="18"/>
          <w:szCs w:val="18"/>
          <w:color w:val="auto"/>
        </w:rPr>
      </w:pPr>
    </w:p>
    <w:p>
      <w:pPr>
        <w:ind w:left="1060" w:right="200" w:hanging="323"/>
        <w:spacing w:after="0" w:line="264"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challenges involved in establishing distribution and sales operations may expose us to a higher than usual level of risk with respect to commercializing our products. We may be required to conduct additional clinical trials prior to obtaining additional approval for our products. We may not obtain such approvals for sale on a predictable timeframe, or at all.</w:t>
      </w:r>
    </w:p>
    <w:p>
      <w:pPr>
        <w:spacing w:after="0" w:line="86" w:lineRule="exact"/>
        <w:rPr>
          <w:rFonts w:ascii="Arial" w:cs="Arial" w:eastAsia="Arial" w:hAnsi="Arial"/>
          <w:sz w:val="18"/>
          <w:szCs w:val="18"/>
          <w:color w:val="auto"/>
        </w:rPr>
      </w:pPr>
    </w:p>
    <w:p>
      <w:pPr>
        <w:ind w:left="1060" w:right="180" w:hanging="323"/>
        <w:spacing w:after="0" w:line="286" w:lineRule="auto"/>
        <w:tabs>
          <w:tab w:leader="none" w:pos="10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not manufactured the active drug ingredients contained in DCCR, CoSense or its associated consumables, on a large commercial scale, and there are risks associated with scaling up manufacturing. Our commercial manufacturing partners may not be successful in achieving the levels of production volume, quality, or manufacturing costs necessary to support commercial success.</w:t>
      </w:r>
    </w:p>
    <w:p>
      <w:pPr>
        <w:spacing w:after="0" w:line="70" w:lineRule="exact"/>
        <w:rPr>
          <w:rFonts w:ascii="Arial" w:cs="Arial" w:eastAsia="Arial" w:hAnsi="Arial"/>
          <w:sz w:val="17"/>
          <w:szCs w:val="17"/>
          <w:color w:val="auto"/>
        </w:rPr>
      </w:pPr>
    </w:p>
    <w:p>
      <w:pPr>
        <w:ind w:left="1060" w:right="72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executive officers, directors and principal stockholders may continue to maintain the ability to control all matters submitted to stockholders for approval.</w:t>
      </w:r>
    </w:p>
    <w:p>
      <w:pPr>
        <w:spacing w:after="0" w:line="75" w:lineRule="exact"/>
        <w:rPr>
          <w:rFonts w:ascii="Arial" w:cs="Arial" w:eastAsia="Arial" w:hAnsi="Arial"/>
          <w:sz w:val="18"/>
          <w:szCs w:val="18"/>
          <w:color w:val="auto"/>
        </w:rPr>
      </w:pPr>
    </w:p>
    <w:p>
      <w:pPr>
        <w:ind w:left="1060" w:right="180" w:hanging="323"/>
        <w:spacing w:after="0" w:line="31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and cause dilution to our existing stockholders.</w:t>
      </w:r>
    </w:p>
    <w:p>
      <w:pPr>
        <w:spacing w:after="0" w:line="52" w:lineRule="exact"/>
        <w:rPr>
          <w:rFonts w:ascii="Arial" w:cs="Arial" w:eastAsia="Arial" w:hAnsi="Arial"/>
          <w:sz w:val="16"/>
          <w:szCs w:val="16"/>
          <w:color w:val="auto"/>
        </w:rPr>
      </w:pPr>
    </w:p>
    <w:p>
      <w:pPr>
        <w:ind w:left="1060" w:right="280" w:hanging="323"/>
        <w:spacing w:after="0" w:line="342" w:lineRule="auto"/>
        <w:tabs>
          <w:tab w:leader="none" w:pos="1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 depends on our continuing to satisfy the FDA and any other applicable U.S. and international regulatory requirements with respect to medical diagnostics, devices or therapeutics, including requirements which may change or be created in the future.</w:t>
      </w:r>
    </w:p>
    <w:p>
      <w:pPr>
        <w:spacing w:after="0" w:line="29" w:lineRule="exact"/>
        <w:rPr>
          <w:rFonts w:ascii="Arial" w:cs="Arial" w:eastAsia="Arial" w:hAnsi="Arial"/>
          <w:sz w:val="16"/>
          <w:szCs w:val="16"/>
          <w:color w:val="auto"/>
        </w:rPr>
      </w:pPr>
    </w:p>
    <w:p>
      <w:pPr>
        <w:ind w:left="1060" w:hanging="323"/>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need to obtain or maintain patents or other appropriate protection for the intellectual property utilized in our current and planned product offerings, and we must avoid infringement of third-party intellectual property.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We were incorporated in Delaware in August of 1999. Our principal executive offices are located at 1235 Radio Road, Suite 110, Redwood City, CA 94065, and our telephone number is (650) 213-8444. Our website address is </w:t>
      </w:r>
      <w:r>
        <w:rPr>
          <w:rFonts w:ascii="Arial" w:cs="Arial" w:eastAsia="Arial" w:hAnsi="Arial"/>
          <w:sz w:val="18"/>
          <w:szCs w:val="18"/>
          <w:u w:val="single" w:color="auto"/>
          <w:color w:val="auto"/>
        </w:rPr>
        <w:t>www.soleno.life</w:t>
      </w:r>
      <w:r>
        <w:rPr>
          <w:rFonts w:ascii="Arial" w:cs="Arial" w:eastAsia="Arial" w:hAnsi="Arial"/>
          <w:sz w:val="18"/>
          <w:szCs w:val="18"/>
          <w:color w:val="auto"/>
        </w:rPr>
        <w:t>.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668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1668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following the fifth anniversary of our initial public offering, or IPO, which occurred on November 18, 2014, (2) the last day of the fiscal year in which we have total annual gross revenue of at least $1.7 billion, (3) the date on which we are deemed to be a large accelerated filer, which means the market value of common stock that is held by non-affiliates exceeds $700.0 million as of the prior June 30th, and (4) the date on which we have issued more than $1.0 billion in non-convertible debt securities during the prior three-year period.</w:t>
      </w:r>
    </w:p>
    <w:p>
      <w:pPr>
        <w:spacing w:after="0" w:line="184" w:lineRule="exact"/>
        <w:rPr>
          <w:sz w:val="20"/>
          <w:szCs w:val="20"/>
          <w:color w:val="auto"/>
        </w:rPr>
      </w:pPr>
    </w:p>
    <w:p>
      <w:pPr>
        <w:ind w:left="200"/>
        <w:spacing w:after="0" w:line="261" w:lineRule="auto"/>
        <w:rPr>
          <w:sz w:val="20"/>
          <w:szCs w:val="20"/>
          <w:color w:val="auto"/>
        </w:rPr>
      </w:pPr>
      <w:r>
        <w:rPr>
          <w:rFonts w:ascii="Arial" w:cs="Arial" w:eastAsia="Arial" w:hAnsi="Arial"/>
          <w:sz w:val="18"/>
          <w:szCs w:val="18"/>
          <w:b w:val="1"/>
          <w:bCs w:val="1"/>
          <w:color w:val="auto"/>
        </w:rPr>
        <w:t>“Soleno Therapeutics,” “Serenz,” our logo and our other trade names, trademarks and service marks appearing in this prospectus are our property. “CoSense,” “Sensalyze”, “Capnia”, and other trade names, trademarks and service marks relating to the joint venture and appearing in this prospectus are the property of our joint venture with OAHL. Other trade names, trademarks and service marks, including “NeoForce,” appearing in this prospectus are the property of their respective holders.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878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587883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7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60"/>
          </w:cols>
          <w:pgMar w:left="240" w:top="459" w:right="499" w:bottom="1440" w:gutter="0" w:footer="0" w:header="0"/>
        </w:sectPr>
      </w:pPr>
    </w:p>
    <w:p>
      <w:pPr>
        <w:spacing w:after="0" w:line="275" w:lineRule="exact"/>
        <w:rPr>
          <w:sz w:val="20"/>
          <w:szCs w:val="20"/>
          <w:color w:val="auto"/>
        </w:rPr>
      </w:pPr>
    </w:p>
    <w:p>
      <w:pPr>
        <w:ind w:left="380" w:hanging="179"/>
        <w:spacing w:after="0" w:line="282" w:lineRule="auto"/>
        <w:rPr>
          <w:sz w:val="20"/>
          <w:szCs w:val="20"/>
          <w:color w:val="auto"/>
        </w:rPr>
      </w:pPr>
      <w:r>
        <w:rPr>
          <w:rFonts w:ascii="Arial" w:cs="Arial" w:eastAsia="Arial" w:hAnsi="Arial"/>
          <w:sz w:val="18"/>
          <w:szCs w:val="18"/>
          <w:b w:val="1"/>
          <w:bCs w:val="1"/>
          <w:color w:val="auto"/>
        </w:rPr>
        <w:t>Common stock being offered by the selling stockholders</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14,165,541 shares</w:t>
      </w:r>
    </w:p>
    <w:p>
      <w:pPr>
        <w:spacing w:after="0" w:line="471" w:lineRule="exact"/>
        <w:rPr>
          <w:sz w:val="20"/>
          <w:szCs w:val="20"/>
          <w:color w:val="auto"/>
        </w:rPr>
      </w:pPr>
    </w:p>
    <w:p>
      <w:pPr>
        <w:sectPr>
          <w:pgSz w:w="11900" w:h="16838" w:orient="portrait"/>
          <w:cols w:equalWidth="0" w:num="2">
            <w:col w:w="3460" w:space="380"/>
            <w:col w:w="732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5"/>
          <w:szCs w:val="15"/>
          <w:b w:val="1"/>
          <w:bCs w:val="1"/>
          <w:color w:val="auto"/>
        </w:rPr>
        <w:t>Selling stockholders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Birchview Fund, LLC, Feinberg Family Trust, Oracle Institutional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Oracle Partners LP, Oracle Ten Master Fund LP, Jack W. Schuler Living Trust, Tino Hans Schuler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Tanya Eva Schuler Trust, Therese Heidi Schuler Trust, Schuler Grandchildren LLC, Schuler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Grandchildren 2010 Continuation Trust, 683 Capital Partners, LP, Vivo Ventures Fund V, L.P., Vivo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Ventures V Affiliates Fund, LP., Michael A. Gordon, and Mario 2002 Grandchildren’s Trust</w:t>
      </w:r>
    </w:p>
    <w:p>
      <w:pPr>
        <w:spacing w:after="0" w:line="200" w:lineRule="exact"/>
        <w:rPr>
          <w:sz w:val="20"/>
          <w:szCs w:val="20"/>
          <w:color w:val="auto"/>
        </w:rPr>
      </w:pPr>
    </w:p>
    <w:p>
      <w:pPr>
        <w:sectPr>
          <w:pgSz w:w="11900" w:h="16838" w:orient="portrait"/>
          <w:cols w:equalWidth="0" w:num="2">
            <w:col w:w="3120" w:space="720"/>
            <w:col w:w="7320"/>
          </w:cols>
          <w:pgMar w:left="240" w:top="459" w:right="499" w:bottom="1440" w:gutter="0" w:footer="0" w:header="0"/>
          <w:type w:val="continuous"/>
        </w:sectPr>
      </w:pPr>
    </w:p>
    <w:p>
      <w:pPr>
        <w:spacing w:after="0" w:line="20"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Common stock outstanding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19,238,972 (as of January 23, 2018)</w:t>
      </w:r>
    </w:p>
    <w:p>
      <w:pPr>
        <w:spacing w:after="0" w:line="200" w:lineRule="exact"/>
        <w:rPr>
          <w:sz w:val="20"/>
          <w:szCs w:val="20"/>
          <w:color w:val="auto"/>
        </w:rPr>
      </w:pPr>
    </w:p>
    <w:p>
      <w:pPr>
        <w:sectPr>
          <w:pgSz w:w="11900" w:h="16838" w:orient="portrait"/>
          <w:cols w:equalWidth="0" w:num="2">
            <w:col w:w="3120" w:space="720"/>
            <w:col w:w="7320"/>
          </w:cols>
          <w:pgMar w:left="240" w:top="459" w:right="499" w:bottom="1440" w:gutter="0" w:footer="0" w:header="0"/>
          <w:type w:val="continuous"/>
        </w:sectPr>
      </w:pP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selling stockholders will receive all of the proceeds from the sale of the shares offered for sale by them under this prospectus. We will not receive proceeds from the sale of the shares by the selling stockholders.</w:t>
      </w:r>
    </w:p>
    <w:p>
      <w:pPr>
        <w:spacing w:after="0" w:line="177" w:lineRule="exact"/>
        <w:rPr>
          <w:sz w:val="20"/>
          <w:szCs w:val="20"/>
          <w:color w:val="auto"/>
        </w:rPr>
      </w:pPr>
    </w:p>
    <w:p>
      <w:pPr>
        <w:sectPr>
          <w:pgSz w:w="11900" w:h="16838" w:orient="portrait"/>
          <w:cols w:equalWidth="0" w:num="2">
            <w:col w:w="3120" w:space="720"/>
            <w:col w:w="7320"/>
          </w:cols>
          <w:pgMar w:left="240" w:top="459" w:right="49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NASDAQ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SLNO</w:t>
      </w:r>
    </w:p>
    <w:p>
      <w:pPr>
        <w:spacing w:after="0" w:line="200" w:lineRule="exact"/>
        <w:rPr>
          <w:sz w:val="20"/>
          <w:szCs w:val="20"/>
          <w:color w:val="auto"/>
        </w:rPr>
      </w:pPr>
    </w:p>
    <w:p>
      <w:pPr>
        <w:sectPr>
          <w:pgSz w:w="11900" w:h="16838" w:orient="portrait"/>
          <w:cols w:equalWidth="0" w:num="2">
            <w:col w:w="3120" w:space="720"/>
            <w:col w:w="7320"/>
          </w:cols>
          <w:pgMar w:left="240" w:top="459" w:right="499" w:bottom="1440" w:gutter="0" w:footer="0" w:header="0"/>
          <w:type w:val="continuous"/>
        </w:sectPr>
      </w:pPr>
    </w:p>
    <w:p>
      <w:pPr>
        <w:spacing w:after="0" w:line="33"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Investing in our securities involves a high degree of risk. You should carefully review and consider the “Risk Factors” section of this prospectus for a discussion of factors to consider before deciding to invest in shares of our common stock.</w:t>
      </w:r>
    </w:p>
    <w:p>
      <w:pPr>
        <w:spacing w:after="0" w:line="181" w:lineRule="exact"/>
        <w:rPr>
          <w:sz w:val="20"/>
          <w:szCs w:val="20"/>
          <w:color w:val="auto"/>
        </w:rPr>
      </w:pPr>
    </w:p>
    <w:p>
      <w:pPr>
        <w:sectPr>
          <w:pgSz w:w="11900" w:h="16838" w:orient="portrait"/>
          <w:cols w:equalWidth="0" w:num="2">
            <w:col w:w="3120" w:space="720"/>
            <w:col w:w="7320"/>
          </w:cols>
          <w:pgMar w:left="240" w:top="459" w:right="499" w:bottom="1440" w:gutter="0" w:footer="0" w:header="0"/>
          <w:type w:val="continuous"/>
        </w:sectPr>
      </w:pPr>
    </w:p>
    <w:p>
      <w:pPr>
        <w:ind w:left="200" w:right="20" w:firstLine="441"/>
        <w:spacing w:after="0" w:line="293" w:lineRule="auto"/>
        <w:rPr>
          <w:sz w:val="20"/>
          <w:szCs w:val="20"/>
          <w:color w:val="auto"/>
        </w:rPr>
      </w:pPr>
      <w:r>
        <w:rPr>
          <w:rFonts w:ascii="Arial" w:cs="Arial" w:eastAsia="Arial" w:hAnsi="Arial"/>
          <w:sz w:val="16"/>
          <w:szCs w:val="16"/>
          <w:color w:val="auto"/>
        </w:rPr>
        <w:t>The number of shares of our common stock outstanding excludes 1,072,004 shares of our common stock issuable upon exercise of outstanding stock options, 1,621,585 shares of our common stock available for future issuance under the stock option plans, outstanding warrants exercisable for 120,421 shares of our common stock, 914,200 shares of our common stock issuable upon the conversion of our outstanding Series B Convertible Stock, 485,121 shares of our common stock issuable upon exercise of our outstanding Series A Warrants, 118,083 shares of our common stock issuable upon exercise of our outstanding Series C Warrants, 586,162 shares of our common stock issuable upon exercise of our outstanding Series D Warrants and 6,024,425 outstanding warrants from the 2017 PIPE Offering, each of which securities are outstanding or available for issuance as of January 23, 2018.</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 of the Units to the Selling Stockholders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On December 11, 2017, we entered into a Securities Purchase Agreement, or the Unit Purchase Agreement, with the selling stockholders pursuant</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to which we sold and issued 8,141,116 immediately separable units at a price per unit of $1.84 for aggregate gross proceeds of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$15,000,000 Each unit consisted of one share of our common stock and a warrant to purchase 0.74 of a share of our common stock at an exercise price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$2.00 per share, for an aggregate of 8,141,116 shares of our common stock, or the Shares, and corresponding warrants, or the 2017 PIPE Warrants, to</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5"/>
          <w:szCs w:val="15"/>
          <w:color w:val="auto"/>
        </w:rPr>
        <w:t>purchase 6,024,425 shares of our common stock, or the Warrant Shares. We refer to the Shares and the Warrant Shares collectively as the Resale Shares.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also granted certain registration rights to the selling stockholders pursuant to the Unit Purchase Agreement pursuant to which, among other things,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preparing and filing this registration statement with the SEC to register for resale the Resale Shares.</w:t>
      </w:r>
    </w:p>
    <w:p>
      <w:pPr>
        <w:spacing w:after="0" w:line="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60"/>
          </w:cols>
          <w:pgMar w:left="240" w:top="459" w:right="499" w:bottom="1440" w:gutter="0" w:footer="0" w:header="0"/>
          <w:type w:val="continuous"/>
        </w:sectPr>
      </w:pPr>
    </w:p>
    <w:bookmarkStart w:id="11" w:name="page12"/>
    <w:bookmarkEnd w:id="11"/>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An investment in our securities has a high degree of risk. Before you invest you should carefully consider the risks and uncertainties described below together with all of the other information in our Annual Report on Form 10-K and our Quarterly Report on Form 10-Q, including our consolidated financial statements and related notes. If any of the following risks actually occur, our business, operating results and financial condition could be harmed and the value of our stock could go down. This means you could lose all or a part of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primarily a clinical-stage company with no approved products, which makes assessment of our future viability difficult.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significantly dependent upon the success of DCCR, our sole therapeutic product candidate.</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8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 pipeline activities, thereby adversely affecting our business and our prospects for future growth. Further, the success of DCCR will depend on a number of factors, including the following:</w:t>
      </w:r>
    </w:p>
    <w:p>
      <w:pPr>
        <w:spacing w:after="0" w:line="92"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a sufficiently broad label that would not unduly restrict patient access;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receipt of marketing approvals for DCCR in the U. S. and E. U.;</w:t>
      </w:r>
    </w:p>
    <w:p>
      <w:pPr>
        <w:spacing w:after="0" w:line="130" w:lineRule="exact"/>
        <w:rPr>
          <w:rFonts w:ascii="Arial" w:cs="Arial" w:eastAsia="Arial" w:hAnsi="Arial"/>
          <w:sz w:val="18"/>
          <w:szCs w:val="18"/>
          <w:color w:val="auto"/>
        </w:rPr>
      </w:pPr>
    </w:p>
    <w:p>
      <w:pPr>
        <w:ind w:left="900" w:right="112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building an infrastructure capable of supporting product sales, marketing, and distribution of DCCR in territories where we pursue commercialization directly;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commercial manufacturing arrangements with third party manufacturers;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establishing commercial distribution agreements with third party distributors;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launching commercial sales of DCCR, if and when approved, whether alone or in collaboration with others;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acceptance of DCCR, if and when approved, by patients, the medical community, and third party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regulatory approval pathway that we pursue for DCCR in the United States;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continued acceptable safety profile of DCCR following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 commercially viable price for our products.</w:t>
      </w:r>
    </w:p>
    <w:p>
      <w:pPr>
        <w:spacing w:after="0" w:line="158"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DCCR, which would materially harm our business.</w:t>
      </w:r>
    </w:p>
    <w:p>
      <w:pPr>
        <w:spacing w:after="0" w:line="27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b w:val="1"/>
          <w:bCs w:val="1"/>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5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are a developer of therapeutics and medical devices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 We have incurred significant operating losses in each year since our inception, and expect that we will not be profitable for an indefinite period of time. As of September 30, 2017, we had an accumulated deficit of $109.0 million.</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 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currently have generated limited product revenue and may never become profitable.</w:t>
      </w:r>
    </w:p>
    <w:p>
      <w:pPr>
        <w:spacing w:after="0" w:line="117"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w:t>
      </w:r>
    </w:p>
    <w:p>
      <w:pPr>
        <w:sectPr>
          <w:pgSz w:w="11900" w:h="16935" w:orient="portrait"/>
          <w:cols w:equalWidth="0" w:num="1">
            <w:col w:w="11420"/>
          </w:cols>
          <w:pgMar w:left="240" w:top="459" w:right="239" w:bottom="0" w:gutter="0" w:footer="0" w:header="0"/>
        </w:sectPr>
      </w:pPr>
    </w:p>
    <w:bookmarkStart w:id="12" w:name="page13"/>
    <w:bookmarkEnd w:id="12"/>
    <w:p>
      <w:pPr>
        <w:spacing w:after="0" w:line="277" w:lineRule="auto"/>
        <w:rPr>
          <w:sz w:val="20"/>
          <w:szCs w:val="20"/>
          <w:color w:val="auto"/>
        </w:rPr>
      </w:pPr>
      <w:r>
        <w:rPr>
          <w:rFonts w:ascii="Arial" w:cs="Arial" w:eastAsia="Arial" w:hAnsi="Arial"/>
          <w:sz w:val="18"/>
          <w:szCs w:val="18"/>
          <w:color w:val="auto"/>
        </w:rPr>
        <w:t>acquire in the future. Our ability to generate revenue from product sales from planned products also depends on a number of additional factors, including our ability to:</w:t>
      </w:r>
    </w:p>
    <w:p>
      <w:pPr>
        <w:spacing w:after="0" w:line="76" w:lineRule="exact"/>
        <w:rPr>
          <w:sz w:val="20"/>
          <w:szCs w:val="20"/>
          <w:color w:val="auto"/>
        </w:rPr>
      </w:pPr>
    </w:p>
    <w:p>
      <w:pPr>
        <w:ind w:left="900" w:right="42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 commercial organization capable of sales, marketing and distribution of any products for which we obtain marketing approval in markets where we intend to commercialize independently;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achieve market acceptance of our current and future products, if any;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set a commercially viable price for our current and future products, if any;</w:t>
      </w:r>
    </w:p>
    <w:p>
      <w:pPr>
        <w:spacing w:after="0" w:line="130" w:lineRule="exact"/>
        <w:rPr>
          <w:rFonts w:ascii="Arial" w:cs="Arial" w:eastAsia="Arial" w:hAnsi="Arial"/>
          <w:sz w:val="18"/>
          <w:szCs w:val="18"/>
          <w:color w:val="auto"/>
        </w:rPr>
      </w:pPr>
    </w:p>
    <w:p>
      <w:pPr>
        <w:ind w:left="900" w:right="90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 and maintain supply and manufacturing relationships with reliable third parties, and ensure adequate and legally compliant manufacturing to maintain that supply;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third-party payors, including government and private payors;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find suitable global and U.S. distribution partners to help us market, sell and distribute our products in other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foreign regulatory authorities;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complete development activities successfully and on a timely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establish, maintain and protect our intellectual property rights and avoid third-party patent interference or patent infringement claims;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240" w:top="125"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5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 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75"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risk of initiating sales and marketing activities;</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planned products, which will change from time to time;</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manufacturing our products may vary depending on FDA and other regulatory requirements, the quantity of production and the terms of our agreements with manufacturers;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planned products and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 timing and outcomes of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competitive landscape of our industry, including consolidation among our competitors or potential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delays in regulatory review or approval in the U.S. or globally, of any of our planned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demand for our products may fluctuate significantly and be difficult to predict;</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future products, if approved, and existing and potential future drugs that compete with our planned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existing and potential future offerings that compete with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commercialize our products inside and outside of the U.S., either independently or working with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licensing or other arrangements;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changing and volatile global economic environment.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20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79" w:lineRule="exact"/>
        <w:rPr>
          <w:sz w:val="20"/>
          <w:szCs w:val="20"/>
          <w:color w:val="auto"/>
        </w:rPr>
      </w:pPr>
    </w:p>
    <w:p>
      <w:pPr>
        <w:ind w:right="200" w:firstLine="456"/>
        <w:spacing w:after="0" w:line="297" w:lineRule="auto"/>
        <w:rPr>
          <w:sz w:val="20"/>
          <w:szCs w:val="20"/>
          <w:color w:val="auto"/>
        </w:rPr>
      </w:pPr>
      <w:r>
        <w:rPr>
          <w:rFonts w:ascii="Arial" w:cs="Arial" w:eastAsia="Arial" w:hAnsi="Arial"/>
          <w:sz w:val="16"/>
          <w:szCs w:val="16"/>
          <w:color w:val="auto"/>
        </w:rPr>
        <w:t>The accompanying condensed consolidated financial statements have been prepared on a going concern basis, which contemplates the realization of assets and the satisfaction of liabilities in the normal course of business. As of September 30, 2017, we have incurred significant operating losses since inception and continue to generate losses from operations and has an accumulated deficit of $109.0 million. These matters raise substantial doubt about our ability to continue as a going concern. The condensed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5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Commercial results have been limited and we have not generated significant revenues. We cannot assure our stockholders that our revenues will be sufficient to fund its operations. If adequate funds are not available, we may be required to curtail our operations significantly or to obtain funds through entering into arrangements with collaborative partners or others that may require us to relinquish rights to certain of our technologies or products that we would not otherwise relinquish.</w:t>
      </w:r>
    </w:p>
    <w:p>
      <w:pPr>
        <w:spacing w:after="0" w:line="187"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At September 30, 2017, our cash balance was $5.6 million. We intend to raise additional capital, either through debt or equity financings to achieve its business plan objectives. We believe that we can be successful in obtaining additional capital; however, no assurance can be provided that we will be able to do so. There is no assurance that any funds raised will be sufficient to enable us to attain profitable operations or continue as a going concern. To the extent that we are unsuccessful, we may need to curtail or cease our operations and implement a plan to extend payables or reduce overhead until sufficient additional capital is raised to support further operations. There can be no assurance that such a plan will be successful.</w:t>
      </w:r>
    </w:p>
    <w:p>
      <w:pPr>
        <w:spacing w:after="0" w:line="158"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do not have any material committed external source of funds or other support for our commercialization and development efforts. Until we can generate a sufficient amount of product revenue to finance our cash requirements, which we may never achieve, we expect to finance future cash needs through a combination of public or private equity offerings, debt financings, collaborations, strategic alliances, licensing arrangements and other marketing and distribution arrangements. Additional financing may not be available to us when we need it or it may not be available on favorable terms. If we raise additional capital through marketing and distribution arrangements or other collaborations, strategic alliances or licensing arrangements with third parties, we may have to relinquish certain valuable rights to our current and planned products, technologies, future revenue streams or research programs, or grant licenses on terms that may not be favorable to us. If we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If we are unable to obtain adequate financing when needed, we may have to delay, reduce the scope of, or suspend one or more of our clinical studies or research and development programs or our commercialization efforts.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engage in strategic transactions that could impact our liquidity, increase our expenses and present significant distractions to our management.</w:t>
      </w:r>
    </w:p>
    <w:p>
      <w:pPr>
        <w:spacing w:after="0" w:line="152"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From time to time we may consider strategic transactions, such as acquisitions, asset purchases and sales,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7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unknown and contingent liabilities;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3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likelihood of payment of milestones or royalties;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operating expenditures, including additional research, development and sales and marketing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and cost in combining the operations and personnel of any acquired businesses with our operations and personnel;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w:t>
      </w:r>
    </w:p>
    <w:p>
      <w:pPr>
        <w:spacing w:after="0" w:line="237"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289" w:lineRule="exact"/>
        <w:rPr>
          <w:sz w:val="20"/>
          <w:szCs w:val="20"/>
          <w:color w:val="auto"/>
        </w:rPr>
      </w:pPr>
    </w:p>
    <w:p>
      <w:pPr>
        <w:ind w:right="1340"/>
        <w:spacing w:after="0" w:line="277" w:lineRule="auto"/>
        <w:rPr>
          <w:sz w:val="20"/>
          <w:szCs w:val="20"/>
          <w:color w:val="auto"/>
        </w:rPr>
      </w:pPr>
      <w:r>
        <w:rPr>
          <w:rFonts w:ascii="Arial" w:cs="Arial" w:eastAsia="Arial" w:hAnsi="Arial"/>
          <w:sz w:val="18"/>
          <w:szCs w:val="18"/>
          <w:b w:val="1"/>
          <w:bCs w:val="1"/>
          <w:i w:val="1"/>
          <w:iCs w:val="1"/>
          <w:color w:val="auto"/>
        </w:rPr>
        <w:t>We may not be able to enter into strategic transactions on a timely basis or on acceptable terms, which may impact our development and commercialization plans.</w:t>
      </w:r>
    </w:p>
    <w:p>
      <w:pPr>
        <w:spacing w:after="0" w:line="62"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commercializing our approved products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62"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83" w:lineRule="exact"/>
        <w:rPr>
          <w:sz w:val="20"/>
          <w:szCs w:val="20"/>
          <w:color w:val="auto"/>
        </w:rPr>
      </w:pPr>
    </w:p>
    <w:p>
      <w:pPr>
        <w:ind w:left="900" w:right="2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our distribution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healthcare providers believe such tests provide clinical utility;</w:t>
      </w:r>
    </w:p>
    <w:p>
      <w:pPr>
        <w:spacing w:after="0" w:line="130"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medical community accepts that such tests are sufficiently sensitive and specific to be meaningful in patient care and treatment decisions; and</w:t>
      </w:r>
    </w:p>
    <w:p>
      <w:pPr>
        <w:spacing w:after="0" w:line="75"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hospital administrators, health insurers, government health programs and other payors will cover and pay for such tests and, if so, whether they will adequately reimburse us.</w:t>
      </w:r>
    </w:p>
    <w:p>
      <w:pPr>
        <w:spacing w:after="0" w:line="103"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75" w:lineRule="auto"/>
        <w:rPr>
          <w:sz w:val="20"/>
          <w:szCs w:val="20"/>
          <w:color w:val="auto"/>
        </w:rPr>
      </w:pPr>
      <w:r>
        <w:rPr>
          <w:rFonts w:ascii="Arial" w:cs="Arial" w:eastAsia="Arial" w:hAnsi="Arial"/>
          <w:sz w:val="15"/>
          <w:szCs w:val="15"/>
          <w:b w:val="1"/>
          <w:bCs w:val="1"/>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 w:lineRule="exact"/>
        <w:rPr>
          <w:sz w:val="20"/>
          <w:szCs w:val="20"/>
          <w:color w:val="auto"/>
        </w:rPr>
      </w:pPr>
    </w:p>
    <w:p>
      <w:pPr>
        <w:ind w:right="360" w:firstLine="456"/>
        <w:spacing w:after="0" w:line="308" w:lineRule="auto"/>
        <w:rPr>
          <w:sz w:val="20"/>
          <w:szCs w:val="20"/>
          <w:color w:val="auto"/>
        </w:rPr>
      </w:pPr>
      <w:r>
        <w:rPr>
          <w:rFonts w:ascii="Arial" w:cs="Arial" w:eastAsia="Arial" w:hAnsi="Arial"/>
          <w:sz w:val="17"/>
          <w:szCs w:val="17"/>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4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Factors that may inhibit our efforts to commercialize DCCR on our own include:</w:t>
      </w:r>
    </w:p>
    <w:p>
      <w:pPr>
        <w:spacing w:after="0" w:line="13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or persuade adequate numbers of physicians to prescribe DCCR or any future products;</w:t>
      </w:r>
    </w:p>
    <w:p>
      <w:pPr>
        <w:spacing w:after="0" w:line="142" w:lineRule="exact"/>
        <w:rPr>
          <w:rFonts w:ascii="Arial" w:cs="Arial" w:eastAsia="Arial" w:hAnsi="Arial"/>
          <w:sz w:val="17"/>
          <w:szCs w:val="17"/>
          <w:color w:val="auto"/>
        </w:rPr>
      </w:pPr>
    </w:p>
    <w:p>
      <w:pPr>
        <w:ind w:left="900" w:right="12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by our competitors to commercialize products at or about the time when our product candidates would be coming to market.</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physicians decide not to order our products in significant numbers, we may be unable to generate sufficient revenue to sustain our business.</w:t>
      </w:r>
    </w:p>
    <w:p>
      <w:pPr>
        <w:spacing w:after="0" w:line="140"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products do not continue to perform as expected, our operating results, reputation and business will suffer.</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73"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81"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76" w:lineRule="exact"/>
        <w:rPr>
          <w:sz w:val="20"/>
          <w:szCs w:val="20"/>
          <w:color w:val="auto"/>
        </w:rPr>
      </w:pPr>
    </w:p>
    <w:p>
      <w:pPr>
        <w:ind w:left="900" w:right="3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studies may produce negative or inconclusive results, and we may decide, or regulators may require us, to conduct additional clinical studies or abandon product development programs;</w:t>
      </w:r>
    </w:p>
    <w:p>
      <w:pPr>
        <w:spacing w:after="0" w:line="75"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clinical studies or the manufacturing of our planned products may be greater than we anticipate;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third-party contractors may fail to comply with regulatory requirements or meet their contractual obligations to us in a timely manner, or at all;</w:t>
      </w:r>
    </w:p>
    <w:p>
      <w:pPr>
        <w:spacing w:after="0" w:line="153" w:lineRule="exact"/>
        <w:rPr>
          <w:rFonts w:ascii="Arial" w:cs="Arial" w:eastAsia="Arial" w:hAnsi="Arial"/>
          <w:sz w:val="16"/>
          <w:szCs w:val="16"/>
          <w:color w:val="auto"/>
        </w:rPr>
      </w:pPr>
    </w:p>
    <w:p>
      <w:pPr>
        <w:ind w:left="900" w:right="60" w:hanging="325"/>
        <w:spacing w:after="0" w:line="34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29"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may not approve our proposed clinical development plans;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or independent institutional review boards, or IRBs, may not authorize us or our investigators to commence a clinical study or conduct a clinical study at a prospective study site;</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supply or quality of our planned products or other materials necessary to conduct clinical studies of our planned products may be insufficient or inadequate.</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87"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planned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 approval for indications that are not as broad as intended;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be subject to restrictions on how the product is distributed or used.</w:t>
      </w:r>
    </w:p>
    <w:p>
      <w:pPr>
        <w:spacing w:after="0" w:line="225" w:lineRule="exact"/>
        <w:rPr>
          <w:sz w:val="20"/>
          <w:szCs w:val="20"/>
          <w:color w:val="auto"/>
        </w:rPr>
      </w:pPr>
    </w:p>
    <w:p>
      <w:pPr>
        <w:jc w:val="both"/>
        <w:ind w:right="340" w:firstLine="456"/>
        <w:spacing w:after="0" w:line="302" w:lineRule="auto"/>
        <w:rPr>
          <w:sz w:val="20"/>
          <w:szCs w:val="20"/>
          <w:color w:val="auto"/>
        </w:rPr>
      </w:pPr>
      <w:r>
        <w:rPr>
          <w:rFonts w:ascii="Arial" w:cs="Arial" w:eastAsia="Arial" w:hAnsi="Arial"/>
          <w:sz w:val="16"/>
          <w:szCs w:val="16"/>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obtain regulatory approval for DCCR in the U.S. and E.U., our business would be harmed.</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or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287" w:lineRule="exact"/>
        <w:rPr>
          <w:sz w:val="20"/>
          <w:szCs w:val="20"/>
          <w:color w:val="auto"/>
        </w:rPr>
      </w:pPr>
    </w:p>
    <w:p>
      <w:pPr>
        <w:ind w:right="80"/>
        <w:spacing w:after="0" w:line="375" w:lineRule="auto"/>
        <w:rPr>
          <w:sz w:val="20"/>
          <w:szCs w:val="20"/>
          <w:color w:val="auto"/>
        </w:rPr>
      </w:pPr>
      <w:r>
        <w:rPr>
          <w:rFonts w:ascii="Arial" w:cs="Arial" w:eastAsia="Arial" w:hAnsi="Arial"/>
          <w:sz w:val="15"/>
          <w:szCs w:val="15"/>
          <w:b w:val="1"/>
          <w:bCs w:val="1"/>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178"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87" w:lineRule="exact"/>
        <w:rPr>
          <w:sz w:val="20"/>
          <w:szCs w:val="20"/>
          <w:color w:val="auto"/>
        </w:rPr>
      </w:pPr>
    </w:p>
    <w:p>
      <w:pPr>
        <w:ind w:left="900" w:right="440" w:hanging="325"/>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generate sufficient nonclinical, toxicology, or other in vivo or in vitro data, or clinical safety data to support the initiation or continuation of clinical trials;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or feedback on trial design, to commence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recruit and train suitable clinical investigators;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reach agreement on acceptable terms with prospective contract research organizations, or CROs, and clinical trial sites;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and maintain IRB approval at each clinical trial site;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recruit and enroll suitable patients to participate in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a sufficient number of patients complete a trial and/or return for post-treatment follow-up;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ensure clinical investigators observe trial protocol or continue to participate in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any patient safety concerns that arise during the course of a trial;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any conflicts or compliance with new or existing laws, rule, regulations or guidelines;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a sufficient number of clinical trial sites to conduct the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manufacture sufficient quantities of product candidate suitable for use at the stage of clinical development;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raise sufficient capital to fund a trial.</w:t>
      </w:r>
    </w:p>
    <w:p>
      <w:pPr>
        <w:spacing w:after="0" w:line="22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6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30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16"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70"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satisfactorily demonstrate that the product candidates are safe and effective for the requested indication;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disagreement with our trial protocol or the interpretation of data from preclinical studies or clinical trials;</w:t>
      </w:r>
    </w:p>
    <w:p>
      <w:pPr>
        <w:spacing w:after="0" w:line="130"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assess safety in the full population for which we seek approval;</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demonstrate that clinical or other benefits of our product candidates outweigh any safety or other perceived risks;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determination that additional preclinical or clinical trials are required;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non-approval of the formulation, labeling or the specifications of our product candidates;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FDA’s failure to accept the manufacturing processes or facilities of third-party manufacturers with which we contract; or</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potential for approval policies or regulations of the FDA to significantly change in a manner rendering our clinical data insufficient for approval.</w:t>
      </w:r>
    </w:p>
    <w:p>
      <w:pPr>
        <w:spacing w:after="0" w:line="17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 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92"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their effectiveness and potential advantages compared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we charge for our planned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physicians to change their current treatment practices;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strength or effectiveness of marketing and distribution support or partners;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third-party coverage or reimbursement.</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example, a number of companies offer therapies for treatment of AR patients based on a daily regimen, and physicians, patients or their families may not be willing to change their current treatment practices in favor of Serenz even if it is able to offer additional efficacy or more attractive product attributes. If our products do not achieve an adequate level of acceptance, we may not generate significant product revenue and we may not become profitable on a sustained basis or at all.</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market opportunity for DCCR is smaller than we believe it is, then our revenues may be adversely affected and our business may suffer.</w:t>
      </w:r>
    </w:p>
    <w:p>
      <w:pPr>
        <w:spacing w:after="0" w:line="14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70"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2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We currently have limited sales and distribution personnel, and limited marketing capabilities. If we are unable to develop a sales and marketing and distribution capability on our own or through collaborations or other marketing partners, we will not be successful in commercializing our products, or other planned products.</w:t>
      </w:r>
    </w:p>
    <w:p>
      <w:pPr>
        <w:spacing w:after="0" w:line="7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8"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62"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may form strategic alliances, create joint ventures or collaborations, or enter into licensing agreements with third parties that we believe will more effectively provide resources to develop and commercialize our programs. For example, we currently intend to identify one or more new partners or distributors for the commercialization of our products.</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face significant competition in seeking appropriate strategic partners, and the negotiation process to secure favorable terms is time-consuming and complex. In addition, the termination of our license agreement for Serenz with our former partner, may negatively impact the perception of Serenz held by other potential partners for the program. We may not be successful in our efforts to establish such a strategic partnership for any future products and programs on terms that are acceptable to us, or at all.</w:t>
      </w:r>
    </w:p>
    <w:p>
      <w:pPr>
        <w:spacing w:after="0" w:line="18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219"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b w:val="1"/>
          <w:bCs w:val="1"/>
          <w:i w:val="1"/>
          <w:iCs w:val="1"/>
          <w:color w:val="auto"/>
        </w:rPr>
        <w:t>Our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3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risk of failure of clinical development is high. It is impossible to predict when or if any planned products will prove safe enough to receive regulatory approval. Undesirable side effects caused by any of our products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94"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75" w:lineRule="exact"/>
        <w:rPr>
          <w:rFonts w:ascii="Arial" w:cs="Arial" w:eastAsia="Arial" w:hAnsi="Arial"/>
          <w:sz w:val="18"/>
          <w:szCs w:val="18"/>
          <w:color w:val="auto"/>
        </w:rPr>
      </w:pPr>
    </w:p>
    <w:p>
      <w:pPr>
        <w:ind w:left="900" w:right="140" w:hanging="325"/>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regulatory bodies may issue safety alerts, Dear Healthcare Provider letters, press releases or other communications containing warnings about such product;</w:t>
      </w:r>
    </w:p>
    <w:p>
      <w:pPr>
        <w:spacing w:after="0" w:line="75" w:lineRule="exact"/>
        <w:rPr>
          <w:rFonts w:ascii="Arial" w:cs="Arial" w:eastAsia="Arial" w:hAnsi="Arial"/>
          <w:sz w:val="18"/>
          <w:szCs w:val="18"/>
          <w:color w:val="auto"/>
        </w:rPr>
      </w:pPr>
    </w:p>
    <w:p>
      <w:pPr>
        <w:ind w:left="900" w:right="280" w:hanging="325"/>
        <w:spacing w:after="0" w:line="264"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competition, which may result in others discovering, developing or commercializing products before we do, or more successfully than we do.</w:t>
      </w:r>
    </w:p>
    <w:p>
      <w:pPr>
        <w:spacing w:after="0" w:line="152"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Alternatives exist for our products and we will likely face competition with respect to any planned products that we may seek to develop or commercialize in the future, from major pharmaceutical companies, specialty pharmaceutical companies, medical device companies, and biotechnology companies worldwide. There are several large pharmaceutical and biotechnology companies that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currently market and sell AR therapies to our target patient group. These companies may reduce prices for their competing drugs in an effort to gain or retain market share, and undermine the value our products might otherwise be able to offer to payors.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88" w:lineRule="exact"/>
        <w:rPr>
          <w:sz w:val="20"/>
          <w:szCs w:val="20"/>
          <w:color w:val="auto"/>
        </w:rPr>
      </w:pPr>
    </w:p>
    <w:p>
      <w:pPr>
        <w:ind w:right="280" w:firstLine="456"/>
        <w:spacing w:after="0" w:line="312" w:lineRule="auto"/>
        <w:rPr>
          <w:sz w:val="20"/>
          <w:szCs w:val="20"/>
          <w:color w:val="auto"/>
        </w:rPr>
      </w:pPr>
      <w:r>
        <w:rPr>
          <w:rFonts w:ascii="Arial" w:cs="Arial" w:eastAsia="Arial" w:hAnsi="Arial"/>
          <w:sz w:val="16"/>
          <w:szCs w:val="16"/>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patent rights may prove to be an inadequate barrier to competition.</w:t>
      </w:r>
    </w:p>
    <w:p>
      <w:pPr>
        <w:spacing w:after="0" w:line="117"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22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Even if we are able to maintain our existing partners in commercializing our products, they may become subject to unfavorable pricing regulations, third-party reimbursement practices or healthcare reform initiatives, thereby harming our business.</w:t>
      </w:r>
    </w:p>
    <w:p>
      <w:pPr>
        <w:spacing w:after="0" w:line="62"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6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6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U.S. Third-party payors often rely upon Medicare coverage policy and payment limitations in setting their own reimbursement policies.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Our inability to promptly obtain coverage and profitable payment rates from both government funded and private payors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Product liability lawsuits against us could cause us to incur substantial liabilities and to limit commercialization of any products that we may develop.</w:t>
      </w:r>
    </w:p>
    <w:p>
      <w:pPr>
        <w:spacing w:after="0" w:line="14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77"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25"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loss of key members of our executive management team could adversely affect our business.</w:t>
      </w:r>
    </w:p>
    <w:p>
      <w:pPr>
        <w:spacing w:after="0" w:line="11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Dr. Anish Bhatnagar, our Chief Executive Officer, Neil M. Cowen, our Senior Vice President of Drug Development, and Kristen Yen, our Vice President of Clinical Operations.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have secured a $1,000,000 “key person” life insurance policy on our Chief Executive Officer, Dr. Anish Bhatnagar, but do not otherwise maintain “key person” life insurance on any of our employees.</w:t>
      </w:r>
    </w:p>
    <w:p>
      <w:pPr>
        <w:spacing w:after="0" w:line="129"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turnover creates uncertainties and could harm our business</w:t>
      </w:r>
    </w:p>
    <w:p>
      <w:pPr>
        <w:spacing w:after="0" w:line="117"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We have recently experienced changes in our executive leadership. Specifically, on August 29, 2017, David O’Toole, Senior Vice President and Chief Financial Officer, notified us of his decision to resign from employment effective September 11, 2017. Mr. Jonathan Wolter, a partner at FLG Partners, LLC, was retained as our interim Chief Financial Officer; however, no permanent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replacement has been appointed. In addition, as part of our joint venture with OAHL, Anthony Wondka transitioned from our Senior Vice President, Research &amp; Development to an employee of Capnia. We also expect that we may have other officers leave as we continue to transition our primary focus to our DCCR development program, and away from our legacy businesses. Changes to strategic or operating goals, which can often times occur with the appointment of new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turnover inherently causes some loss of institutional knowledge, which can negatively affect strategy and execution. Until we integrate new personnel, and unless they are able to succeed in their positions, we may be unable to successfully manage and grow our business, and our financial condition and profitability may suffer.</w:t>
      </w:r>
    </w:p>
    <w:p>
      <w:pPr>
        <w:spacing w:after="0" w:line="179" w:lineRule="exact"/>
        <w:rPr>
          <w:sz w:val="20"/>
          <w:szCs w:val="20"/>
          <w:color w:val="auto"/>
        </w:rPr>
      </w:pPr>
    </w:p>
    <w:p>
      <w:pPr>
        <w:ind w:right="660" w:firstLine="456"/>
        <w:spacing w:after="0" w:line="308" w:lineRule="auto"/>
        <w:rPr>
          <w:sz w:val="20"/>
          <w:szCs w:val="20"/>
          <w:color w:val="auto"/>
        </w:rPr>
      </w:pPr>
      <w:r>
        <w:rPr>
          <w:rFonts w:ascii="Arial" w:cs="Arial" w:eastAsia="Arial" w:hAnsi="Arial"/>
          <w:sz w:val="17"/>
          <w:szCs w:val="17"/>
          <w:color w:val="auto"/>
        </w:rPr>
        <w:t>Further, to the extent we experience additional management turnover, competition for top management is high and it may take months to find a candidate that meets our requirements. If we are unable to attract and retain qualified management personnel, our business could suffer.</w:t>
      </w:r>
    </w:p>
    <w:p>
      <w:pPr>
        <w:spacing w:after="0" w:line="25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62"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part of our business strategy, we may pursue acquisitions or licenses of assets or acquisitions of businesses . We also may pursue strategic alliances and joint ventures that leverage our core technology and industry experience to expand our product offerings or sales and distribution resources, including our joint venture with OAHL with respect to CoSense. Our company has limited experience with acquiring other companies, acquiring or licensing assets or forming strategic alliances and joint 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16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2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will expose us to business, regulatory, political, operational, financial and economic risks associated with doing business outside of the U.S.</w:t>
      </w:r>
    </w:p>
    <w:p>
      <w:pPr>
        <w:spacing w:after="0" w:line="62"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76" w:lineRule="exact"/>
        <w:rPr>
          <w:sz w:val="20"/>
          <w:szCs w:val="20"/>
          <w:color w:val="auto"/>
        </w:rPr>
      </w:pPr>
    </w:p>
    <w:p>
      <w:pPr>
        <w:ind w:left="900" w:right="88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failure by us or our distributors to obtain regulatory approvals for the sale or use of our current products and our planned future products in various countries;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foreign operations;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complexities associated with managing government payor systems, multiple payor-reimbursement regimes or self-pay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logistics and regulations associated with shipping products, including infrastructure conditions and transportation delays;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limits on our ability to penetrate international markets if our distributors do not execute successfully;</w:t>
      </w:r>
    </w:p>
    <w:p>
      <w:pPr>
        <w:spacing w:after="0" w:line="130"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enforcing contracts and collecting accounts receivable, and exposure to foreign currency exchange rate fluctuations;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reduced protection for intellectual property rights, or lack of them in certain jurisdictions, forcing more reliance on our trade secrets, if available;</w:t>
      </w:r>
    </w:p>
    <w:p>
      <w:pPr>
        <w:spacing w:after="0" w:line="153" w:lineRule="exact"/>
        <w:rPr>
          <w:rFonts w:ascii="Arial" w:cs="Arial" w:eastAsia="Arial" w:hAnsi="Arial"/>
          <w:sz w:val="16"/>
          <w:szCs w:val="16"/>
          <w:color w:val="auto"/>
        </w:rPr>
      </w:pPr>
    </w:p>
    <w:p>
      <w:pPr>
        <w:ind w:left="900" w:right="24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natural disasters, political and economic instability, including wars, terrorism and political unrest, outbreak of disease, boycotts, curtailment of trade and other business restrictions; and</w:t>
      </w:r>
    </w:p>
    <w:p>
      <w:pPr>
        <w:spacing w:after="0" w:line="75" w:lineRule="exact"/>
        <w:rPr>
          <w:rFonts w:ascii="Arial" w:cs="Arial" w:eastAsia="Arial" w:hAnsi="Arial"/>
          <w:sz w:val="18"/>
          <w:szCs w:val="18"/>
          <w:color w:val="auto"/>
        </w:rPr>
      </w:pPr>
    </w:p>
    <w:p>
      <w:pPr>
        <w:ind w:left="900" w:right="80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17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Intrusions into our computer systems could result in compromise of confidential information.</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Any software we develop or use for any of our products may be potentially subject to malfunction or vulnerable to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8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81"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With respect to our joint venture, the accuracy of CoSense depends, in part, on the function of proprietary software run by the microprocessors embedded in the device, and despite our efforts to test the software extensively, it is potentially subject to malfunction, physical break-ins, hackers, improper employee or contractor access, computer viruses, programming errors, or similar problems. Any of these might result in confidential medical, business or other information of other persons or of ourselves being revealed to unauthorized persons.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6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Collaborations involving our products are subject to numerous risks, which may include the following:</w:t>
      </w:r>
    </w:p>
    <w:p>
      <w:pPr>
        <w:spacing w:after="0" w:line="131"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any such collaborations;</w:t>
      </w:r>
    </w:p>
    <w:p>
      <w:pPr>
        <w:spacing w:after="0" w:line="130" w:lineRule="exact"/>
        <w:rPr>
          <w:rFonts w:ascii="Arial" w:cs="Arial" w:eastAsia="Arial" w:hAnsi="Arial"/>
          <w:sz w:val="18"/>
          <w:szCs w:val="18"/>
          <w:color w:val="auto"/>
        </w:rPr>
      </w:pPr>
    </w:p>
    <w:p>
      <w:pPr>
        <w:jc w:val="both"/>
        <w:ind w:left="900" w:right="2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delay clinical studies, provide insufficient funding for a clinical study program, stop a clinical study, abandon a product, repeat or conduct new clinical studies or require a new engineering iterations of a product for clinical testing;</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collaborators could independently develop, or develop with third parties, products that compete directly or indirectly with our products;</w:t>
      </w:r>
    </w:p>
    <w:p>
      <w:pPr>
        <w:spacing w:after="0" w:line="142" w:lineRule="exact"/>
        <w:rPr>
          <w:rFonts w:ascii="Arial" w:cs="Arial" w:eastAsia="Arial" w:hAnsi="Arial"/>
          <w:sz w:val="17"/>
          <w:szCs w:val="17"/>
          <w:color w:val="auto"/>
        </w:rPr>
      </w:pPr>
    </w:p>
    <w:p>
      <w:pPr>
        <w:ind w:left="900" w:right="64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75" w:lineRule="exact"/>
        <w:rPr>
          <w:rFonts w:ascii="Arial" w:cs="Arial" w:eastAsia="Arial" w:hAnsi="Arial"/>
          <w:sz w:val="18"/>
          <w:szCs w:val="18"/>
          <w:color w:val="auto"/>
        </w:rPr>
      </w:pPr>
    </w:p>
    <w:p>
      <w:pPr>
        <w:jc w:val="both"/>
        <w:ind w:left="900" w:right="60" w:hanging="325"/>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6" w:lineRule="exact"/>
        <w:rPr>
          <w:rFonts w:ascii="Arial" w:cs="Arial" w:eastAsia="Arial" w:hAnsi="Arial"/>
          <w:sz w:val="18"/>
          <w:szCs w:val="18"/>
          <w:color w:val="auto"/>
        </w:rPr>
      </w:pPr>
    </w:p>
    <w:p>
      <w:pPr>
        <w:ind w:left="900" w:right="180" w:hanging="325"/>
        <w:spacing w:after="0" w:line="308" w:lineRule="auto"/>
        <w:tabs>
          <w:tab w:leader="none" w:pos="9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51" w:lineRule="exact"/>
        <w:rPr>
          <w:rFonts w:ascii="Arial" w:cs="Arial" w:eastAsia="Arial" w:hAnsi="Arial"/>
          <w:sz w:val="17"/>
          <w:szCs w:val="17"/>
          <w:color w:val="auto"/>
        </w:rPr>
      </w:pPr>
    </w:p>
    <w:p>
      <w:pPr>
        <w:ind w:left="900" w:right="126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products; and</w:t>
      </w:r>
    </w:p>
    <w:p>
      <w:pPr>
        <w:spacing w:after="0" w:line="75"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30"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regulatory and sales and marketing capabilities, and as a result, we may encounter difficulties in managing our growth, which could disrupt our operations.</w:t>
      </w:r>
    </w:p>
    <w:p>
      <w:pPr>
        <w:spacing w:after="0" w:line="62"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As of December 31, 2017, we had twelve employees and six full-time or part-time consultants. Over the next several years, we expect to experience significant growth in the number of our employees and the scope of our 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84" w:lineRule="exact"/>
        <w:rPr>
          <w:sz w:val="20"/>
          <w:szCs w:val="20"/>
          <w:color w:val="auto"/>
        </w:rPr>
      </w:pPr>
    </w:p>
    <w:p>
      <w:pPr>
        <w:ind w:left="5620" w:right="3020" w:hanging="5045"/>
        <w:spacing w:after="0" w:line="449" w:lineRule="auto"/>
        <w:tabs>
          <w:tab w:leader="none" w:pos="896"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our clinical trials effectively, which we anticipate being conducted at numerous clinical sites; 22</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identifying, recruiting, maintaining, motivating and integrating additional employees with the expertise and experience we will require;</w:t>
      </w:r>
    </w:p>
    <w:p>
      <w:pPr>
        <w:spacing w:after="0" w:line="142" w:lineRule="exact"/>
        <w:rPr>
          <w:rFonts w:ascii="Arial" w:cs="Arial" w:eastAsia="Arial" w:hAnsi="Arial"/>
          <w:sz w:val="17"/>
          <w:szCs w:val="17"/>
          <w:color w:val="auto"/>
        </w:rPr>
      </w:pPr>
    </w:p>
    <w:p>
      <w:pPr>
        <w:ind w:left="900" w:right="22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contractors and other third parties;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managing additional relationships with various strategic partners, suppliers and other third parties;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reporting systems and procedures;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Our failure to accomplish any of these tasks could prevent us from successfully growing. Any inability to manage growth could delay the execution of our business plans or disrupt our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intend to commercialize our products outside the U.S., we will be subject to additional risks.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variety of risks associated with international operations could materially adversely affect our business, including:</w:t>
      </w:r>
    </w:p>
    <w:p>
      <w:pPr>
        <w:spacing w:after="0" w:line="13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30" w:lineRule="exact"/>
        <w:rPr>
          <w:rFonts w:ascii="Arial" w:cs="Arial" w:eastAsia="Arial" w:hAnsi="Arial"/>
          <w:sz w:val="18"/>
          <w:szCs w:val="18"/>
          <w:color w:val="auto"/>
        </w:rPr>
      </w:pPr>
    </w:p>
    <w:p>
      <w:pPr>
        <w:ind w:left="900" w:right="26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2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62"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We rely on third parties, such as contract research organizations, or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 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or GCP,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use biological and hazardous materials in a manner that causes injury, we could be liable for damages.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applicable insurance coverage we may have. Additionally, we are subject to, on an ongoing basis, federal, state and local laws and regulations governing the use, storage, handling and disposal of these materials and specified waste products. These are particularly stringent in California, including for purposes of our joint venture with OAHL, where our Cosense manufacturing facility and several suppliers are located.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Patent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97"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6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27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fail to comply with our obligations in our intellectual property agreements, we could lose intellectual property rights that are important to our business.</w:t>
      </w:r>
    </w:p>
    <w:p>
      <w:pPr>
        <w:spacing w:after="0" w:line="62"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We are a party to intellectual property arrangements and expect that our future license agreements will impose, various diligence, milestone payment, royalty, insurance and other obligations on us. If we fail to comply with these obligations, any licensor may have the right to terminate such agreements, in which event we may not be able to develop and market any product that is covered by such agreements.</w:t>
      </w:r>
    </w:p>
    <w:p>
      <w:pPr>
        <w:spacing w:after="0" w:line="18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The risks described elsewhere pertaining to our intellectual property rights also apply to any intellectual property rights that we may license, and any failure by us or any future licensor to obtain, maintain, defend and enforce these rights could have a material adverse effect on our business.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b w:val="1"/>
          <w:bCs w:val="1"/>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7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2"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2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may become involved in legal proceedings to protect or enforce our intellectual property rights, which could be expensive, time-consuming, or unsuccessful.</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Competitors may infringe or otherwise violate the patents we rely on, or our other intellectual property rights. To counter infringement or unauthorized use, we may be required to file infringement 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7"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Interference or derivation proceedings provoked by third parties or brought by the U.S. Patent and Trademark Office, or USPTO, or any foreign patent authority may be necessary to determine the priority of inventions or other matters of inventorship with respect to patents and patent applications. We may become involved in proceedings, including oppositions, interferences, derivation proceedings inter partes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273"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harming our business and competitive position.</w:t>
      </w:r>
    </w:p>
    <w:p>
      <w:pPr>
        <w:spacing w:after="0" w:line="62"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 third parties, we may not be able to establish or maintain a competitive advantage in our market, which would harm our ability to protect our rights and have a material adverse effect on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or enforce our intellectual property rights throughout the world.</w:t>
      </w:r>
    </w:p>
    <w:p>
      <w:pPr>
        <w:spacing w:after="0" w:line="11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Filing, prosecuting and defending patents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2"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our current and planned products, but that are not covered by claims in our patents;</w:t>
      </w:r>
    </w:p>
    <w:p>
      <w:pPr>
        <w:spacing w:after="0" w:line="142" w:lineRule="exact"/>
        <w:rPr>
          <w:rFonts w:ascii="Arial" w:cs="Arial" w:eastAsia="Arial" w:hAnsi="Arial"/>
          <w:sz w:val="17"/>
          <w:szCs w:val="17"/>
          <w:color w:val="auto"/>
        </w:rPr>
      </w:pPr>
    </w:p>
    <w:p>
      <w:pPr>
        <w:ind w:left="900" w:right="46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original filers of our patents that we developed or purchased might not have been the first to make the inventions covered by the claims contained in such patents;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might not have been the first to file patent applications covering an invention;</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Pending patent applications may not lead to issued patents;</w:t>
      </w:r>
    </w:p>
    <w:p>
      <w:pPr>
        <w:spacing w:after="0" w:line="130" w:lineRule="exact"/>
        <w:rPr>
          <w:rFonts w:ascii="Arial" w:cs="Arial" w:eastAsia="Arial" w:hAnsi="Arial"/>
          <w:sz w:val="18"/>
          <w:szCs w:val="18"/>
          <w:color w:val="auto"/>
        </w:rPr>
      </w:pPr>
    </w:p>
    <w:p>
      <w:pPr>
        <w:ind w:left="900" w:right="24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Issued patents may not provide us with any competitive advantages, or may be held invalid or unenforceable, as a result of legal challenges by our competitors;</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333"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or applications will be due to be paid by us to the USPTO and various governmental patent agencies outside of the 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28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patent applications and the enforcement or defense of our issued patents.</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March 2013, under the America Invents Act, or AIA, the U.S. moved to a first-to-file system and made certain other changes to its patent laws. The effects of these changes are currently unclear as the USPTO must still implement various regulations, the courts have yet to address these provisions and the applicability of the act and new regulations on specific patents discussed herein have not been determined and would need to be reviewed. Accordingly, it is not yet clear what, if any, impact the AIA will have on the operation of our business. However, the AIA and its implementation could increase the uncertainties and costs surrounding the prosecution of patent applications and the enforcement or defense of issued patents, all of which could have a material adverse effect on our business and financial condition.</w:t>
      </w:r>
    </w:p>
    <w:p>
      <w:pPr>
        <w:spacing w:after="0" w:line="301" w:lineRule="exact"/>
        <w:rPr>
          <w:sz w:val="20"/>
          <w:szCs w:val="20"/>
          <w:color w:val="auto"/>
        </w:rPr>
      </w:pPr>
    </w:p>
    <w:p>
      <w:pPr>
        <w:ind w:right="760"/>
        <w:spacing w:after="0" w:line="342" w:lineRule="auto"/>
        <w:rPr>
          <w:sz w:val="20"/>
          <w:szCs w:val="20"/>
          <w:color w:val="auto"/>
        </w:rPr>
      </w:pPr>
      <w:r>
        <w:rPr>
          <w:rFonts w:ascii="Arial" w:cs="Arial" w:eastAsia="Arial" w:hAnsi="Arial"/>
          <w:sz w:val="16"/>
          <w:szCs w:val="16"/>
          <w:b w:val="1"/>
          <w:bCs w:val="1"/>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regulatory approval process is expensive, time consuming and uncertain, and may prevent us from obtaining approvals for our planned products.</w:t>
      </w:r>
    </w:p>
    <w:p>
      <w:pPr>
        <w:spacing w:after="0" w:line="152"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 U.S. and foreign regulatory requirements may subject us to administrative or judicially imposed sanctions, including the following:</w:t>
      </w:r>
    </w:p>
    <w:p>
      <w:pPr>
        <w:spacing w:after="0" w:line="99"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civil or criminal penalties and fines;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or withdrawal of regulatory approval;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suspension of any ongoing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voluntary or mandatory product recalls and publicity requirements;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refusal to accept or approve applications for marketing approval of new drugs or biologics or supplements to approved applications filed by us;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operations, including costly new manufacturing requirements;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seizure or detention of our products or import bans.</w:t>
      </w:r>
    </w:p>
    <w:p>
      <w:pPr>
        <w:spacing w:after="0" w:line="22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99"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planned product may not be deemed safe or effective;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FDA officials may not find the data from preclinical studies and clinical studies sufficient;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might not approve our or our third-party manufacturer’s processes or facilities;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change its approval policies or adopt new regulations.</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jc w:val="both"/>
        <w:ind w:right="240" w:firstLine="913"/>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Carcinogencity studies in 2 species are generally required for products intended for long-term use.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76" w:lineRule="exact"/>
        <w:rPr>
          <w:sz w:val="20"/>
          <w:szCs w:val="20"/>
          <w:color w:val="auto"/>
        </w:rPr>
      </w:pPr>
    </w:p>
    <w:p>
      <w:pPr>
        <w:ind w:left="900" w:right="80" w:hanging="325"/>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75" w:lineRule="exact"/>
        <w:rPr>
          <w:rFonts w:ascii="Arial" w:cs="Arial" w:eastAsia="Arial" w:hAnsi="Arial"/>
          <w:sz w:val="18"/>
          <w:szCs w:val="18"/>
          <w:color w:val="auto"/>
        </w:rPr>
      </w:pPr>
    </w:p>
    <w:p>
      <w:pPr>
        <w:ind w:left="900" w:right="160" w:hanging="325"/>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86" w:lineRule="exact"/>
        <w:rPr>
          <w:rFonts w:ascii="Arial" w:cs="Arial" w:eastAsia="Arial" w:hAnsi="Arial"/>
          <w:sz w:val="18"/>
          <w:szCs w:val="18"/>
          <w:color w:val="auto"/>
        </w:rPr>
      </w:pPr>
    </w:p>
    <w:p>
      <w:pPr>
        <w:ind w:left="900" w:right="360" w:hanging="325"/>
        <w:spacing w:after="0" w:line="25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188"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5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7"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 to FDA that is not binding but is generally followed by FDA. If FDA agrees that the compound has met the required level of safety and efficacy for a particular use, it will allow the drug candidate in the United States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173" w:lineRule="exact"/>
        <w:rPr>
          <w:sz w:val="20"/>
          <w:szCs w:val="20"/>
          <w:color w:val="auto"/>
        </w:rPr>
      </w:pPr>
    </w:p>
    <w:p>
      <w:pPr>
        <w:ind w:right="140" w:firstLine="913"/>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80" w:firstLine="913"/>
        <w:spacing w:after="0" w:line="271"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28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6"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Once marketing approval has been obtained, the approved product and its manufacturer are subject to continual review by the FDA or non-U.S. regulatory authorities. With respect to our joint venture, the current clearance for CoSense, as well as any additional regulatory approval that we receive for any of our other planned products may be subject to limitations on the indicated uses for which the product may be marketed.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17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 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Once an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193"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60"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71"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Drugs that treat serious or life 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18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incidence of &lt;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88"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obtain marketing approvals in foreign jurisdictions will prevent us from marketing our products internationally.</w:t>
      </w:r>
    </w:p>
    <w:p>
      <w:pPr>
        <w:spacing w:after="0" w:line="117" w:lineRule="exact"/>
        <w:rPr>
          <w:sz w:val="20"/>
          <w:szCs w:val="20"/>
          <w:color w:val="auto"/>
        </w:rPr>
      </w:pPr>
    </w:p>
    <w:p>
      <w:pPr>
        <w:ind w:right="240" w:firstLine="456"/>
        <w:spacing w:after="0" w:line="312" w:lineRule="auto"/>
        <w:rPr>
          <w:sz w:val="20"/>
          <w:szCs w:val="20"/>
          <w:color w:val="auto"/>
        </w:rPr>
      </w:pPr>
      <w:r>
        <w:rPr>
          <w:rFonts w:ascii="Arial" w:cs="Arial" w:eastAsia="Arial" w:hAnsi="Arial"/>
          <w:sz w:val="16"/>
          <w:szCs w:val="16"/>
          <w:color w:val="auto"/>
        </w:rPr>
        <w:t>We intend to seek distribution and marketing partners for our current products outside the U.S. and may market planned products in international markets. Our joint venture has obtained a CE Mark certification for CoSense and Serenz and they are therefore authorized for sale in the E.U.; however, in order to market these products in Asia, Latin America and other foreign jurisdictions, we must obtain separate regulatory approvals.</w:t>
      </w:r>
    </w:p>
    <w:p>
      <w:pPr>
        <w:spacing w:after="0" w:line="14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and CE Mark certification does not ensure approval by regulatory authorities in other countries,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 measures could hinder or prevent our planned products’ commercial success.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or PPACA, was enacted in 2010. The PPACA contains a number of provisions, including those governing enrollment in federal healthcare programs, reimbursement changes and fraud and abuse measures, all of which will impact existing government healthcare programs and will result in the development of new programs. The PPACA, among other things:</w:t>
      </w:r>
    </w:p>
    <w:p>
      <w:pPr>
        <w:spacing w:after="0" w:line="83"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imposes a tax of 2.3% on the retail sales price of medical devices sold after December 31, 2012;</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could result in the imposition of injunctions;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requires collection of rebates for drugs paid by Medicaid managed care organizations;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requires manufacturers to participate in a coverage gap discount program, under which they must agree to offer</w:t>
      </w:r>
    </w:p>
    <w:p>
      <w:pPr>
        <w:spacing w:after="0" w:line="130" w:lineRule="exact"/>
        <w:rPr>
          <w:rFonts w:ascii="Arial" w:cs="Arial" w:eastAsia="Arial" w:hAnsi="Arial"/>
          <w:sz w:val="18"/>
          <w:szCs w:val="18"/>
          <w:color w:val="auto"/>
        </w:rPr>
      </w:pPr>
    </w:p>
    <w:p>
      <w:pPr>
        <w:ind w:left="900" w:right="400" w:hanging="325"/>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50% point-of-sale discounts off negotiated prices of applicable branded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While the U.S. Supreme Court upheld the constitutionality of most elements of the PPACA in June 2012, other legal challenges are still pending final adjudication in several jurisdictions. In addition, Congress has also proposed a number of legislative initiatives, including possible repeal of the PPACA. In December of 2015, Congress passed a two-year suspension of the 2.3% medical device tax. If after two years, the suspension is not extended, at this time we believe the 2.3% tax on sales of medical devices will be applicable to sales of our medical device products, including CoSense devices and may be applicable to CoSense consumables sold under our joint venture and also Serenz devices. We cannot assure you that after the two-year suspension, the reinstatement of the 2.3% medical device tax would not adversely affect our business and financial results and we cannot predict how future federal or state legislative or administrative changes relating to healthcare reform will affect our business.</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or the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payors of healthcare services to contain or reduce costs of health care may adversely affect:</w:t>
      </w:r>
    </w:p>
    <w:p>
      <w:pPr>
        <w:spacing w:after="0" w:line="52"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25"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7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29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regulations, we could face substantial penalties and our business, operations and financial condition could be adversely affected.</w:t>
      </w:r>
    </w:p>
    <w:p>
      <w:pPr>
        <w:spacing w:after="0" w:line="62" w:lineRule="exact"/>
        <w:rPr>
          <w:sz w:val="20"/>
          <w:szCs w:val="20"/>
          <w:color w:val="auto"/>
        </w:rPr>
      </w:pPr>
    </w:p>
    <w:p>
      <w:pPr>
        <w:jc w:val="both"/>
        <w:ind w:right="280" w:firstLine="456"/>
        <w:spacing w:after="0" w:line="279" w:lineRule="auto"/>
        <w:rPr>
          <w:sz w:val="20"/>
          <w:szCs w:val="20"/>
          <w:color w:val="auto"/>
        </w:rPr>
      </w:pPr>
      <w:r>
        <w:rPr>
          <w:rFonts w:ascii="Arial" w:cs="Arial" w:eastAsia="Arial" w:hAnsi="Arial"/>
          <w:sz w:val="17"/>
          <w:szCs w:val="17"/>
          <w:color w:val="auto"/>
        </w:rPr>
        <w:t>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77" w:lineRule="exact"/>
        <w:rPr>
          <w:sz w:val="20"/>
          <w:szCs w:val="20"/>
          <w:color w:val="auto"/>
        </w:rPr>
      </w:pPr>
    </w:p>
    <w:p>
      <w:pPr>
        <w:ind w:left="900" w:right="22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92" w:lineRule="exact"/>
        <w:rPr>
          <w:rFonts w:ascii="Arial" w:cs="Arial" w:eastAsia="Arial" w:hAnsi="Arial"/>
          <w:sz w:val="18"/>
          <w:szCs w:val="18"/>
          <w:color w:val="auto"/>
        </w:rPr>
      </w:pPr>
    </w:p>
    <w:p>
      <w:pPr>
        <w:ind w:left="900" w:right="56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75" w:lineRule="exact"/>
        <w:rPr>
          <w:rFonts w:ascii="Arial" w:cs="Arial" w:eastAsia="Arial" w:hAnsi="Arial"/>
          <w:sz w:val="18"/>
          <w:szCs w:val="18"/>
          <w:color w:val="auto"/>
        </w:rPr>
      </w:pPr>
    </w:p>
    <w:p>
      <w:pPr>
        <w:jc w:val="both"/>
        <w:ind w:left="900" w:right="8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86"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federal criminal laws that prohibit executing a scheme to defraud any healthcare benefit program or making false statements relating to healthcare matters;</w:t>
      </w:r>
    </w:p>
    <w:p>
      <w:pPr>
        <w:spacing w:after="0" w:line="75" w:lineRule="exact"/>
        <w:rPr>
          <w:rFonts w:ascii="Arial" w:cs="Arial" w:eastAsia="Arial" w:hAnsi="Arial"/>
          <w:sz w:val="18"/>
          <w:szCs w:val="18"/>
          <w:color w:val="auto"/>
        </w:rPr>
      </w:pPr>
    </w:p>
    <w:p>
      <w:pPr>
        <w:ind w:left="900" w:right="320" w:hanging="325"/>
        <w:spacing w:after="0" w:line="264"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86" w:lineRule="exact"/>
        <w:rPr>
          <w:rFonts w:ascii="Arial" w:cs="Arial" w:eastAsia="Arial" w:hAnsi="Arial"/>
          <w:sz w:val="18"/>
          <w:szCs w:val="18"/>
          <w:color w:val="auto"/>
        </w:rPr>
      </w:pPr>
    </w:p>
    <w:p>
      <w:pPr>
        <w:ind w:left="900" w:right="680" w:hanging="325"/>
        <w:spacing w:after="0" w:line="308"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600" w:hanging="325"/>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payor, including commercial insurers.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securities could incur substantial losses.</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2017, through December 31, 2017, the reported high and low prices of our common stock ranged from $4.55 to $1.32. As a result of this volatility, investors may not be able to sell their common stock at or above the purchase price. The market price for our common stock may be influenced by many factors, including the following:</w:t>
      </w:r>
    </w:p>
    <w:p>
      <w:pPr>
        <w:spacing w:after="0" w:line="94"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commercialize, and realize significant revenues from sales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 results of clinical studies of our products or those of our competitors;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42" w:lineRule="exact"/>
        <w:rPr>
          <w:rFonts w:ascii="Arial" w:cs="Arial" w:eastAsia="Arial" w:hAnsi="Arial"/>
          <w:sz w:val="17"/>
          <w:szCs w:val="17"/>
          <w:color w:val="auto"/>
        </w:rPr>
      </w:pPr>
    </w:p>
    <w:p>
      <w:pPr>
        <w:ind w:left="900" w:right="90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commercialization partners, or our competitors, and the timing of these introductions or announcements;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products or planned products;</w:t>
      </w:r>
    </w:p>
    <w:p>
      <w:pPr>
        <w:spacing w:after="0" w:line="130" w:lineRule="exact"/>
        <w:rPr>
          <w:rFonts w:ascii="Arial" w:cs="Arial" w:eastAsia="Arial" w:hAnsi="Arial"/>
          <w:sz w:val="18"/>
          <w:szCs w:val="18"/>
          <w:color w:val="auto"/>
        </w:rPr>
      </w:pPr>
    </w:p>
    <w:p>
      <w:pPr>
        <w:ind w:left="900" w:right="114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our collaborations, including but not limited to those with our sources of manufacturing supply and our commercialization partners;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our ability to bring our manufacturing processes to scale in a costeffective manner;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or capital commitments;</w:t>
      </w:r>
    </w:p>
    <w:p>
      <w:pPr>
        <w:spacing w:after="0" w:line="130" w:lineRule="exact"/>
        <w:rPr>
          <w:rFonts w:ascii="Arial" w:cs="Arial" w:eastAsia="Arial" w:hAnsi="Arial"/>
          <w:sz w:val="18"/>
          <w:szCs w:val="18"/>
          <w:color w:val="auto"/>
        </w:rPr>
      </w:pPr>
    </w:p>
    <w:p>
      <w:pPr>
        <w:ind w:left="900" w:right="42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900" w:right="380" w:hanging="325"/>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other risks described in this “Risk Factors” section.</w:t>
      </w:r>
    </w:p>
    <w:p>
      <w:pPr>
        <w:spacing w:after="0" w:line="19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These broad market and industry factors may seriously harm the market price of our common stock, regardless of our operating performance. In the past, following periods of volatility in the market, securities class-action 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21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or the perception that future sales may occur, may cause the market price of our common stock to decline, even if our business is doing well.</w:t>
      </w:r>
    </w:p>
    <w:p>
      <w:pPr>
        <w:spacing w:after="0" w:line="62"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1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have issued 13,780 shares of Series B Convertible Preferred Stock, of which 8,209 shares were converted into 1,641,800 shares of the Company’s Common Stock in 2017. As of December 31, 2017, there are 4,571 shares of Series B Convertible Preferred Stock outstanding which are convertible into 914,200 shares of Common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addition, on March 7, 2017, we issued 1,666,666 shares of common stock for an investment of $8 million from the completion of the concurrent financing, and issued 416,666 shares of common stock for an investment of $2 million from Aspire Capital pursuant to the 2017 Aspire Purchase Agreement. All the shares issued under the 2017 Aspire Purchase Agreement are eligible for future resale under a registration statement on Form S-1 on February 1, 2017 that was declared effective by the SEC on February 15, 2017. We terminated the 2017 Aspire Purchase Agreement on December 15, 2017 in connection with the closing of the 2017 PIPE Offering.</w:t>
      </w:r>
    </w:p>
    <w:p>
      <w:pPr>
        <w:spacing w:after="0" w:line="10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In connection with this offering, subject to certain exceptions, all of our directors and executive officers agreed not to offer, sell or agree to sell, directly or indirectly, any shares without the permission of Piper Jaffray &amp; Co., the placement agent in the 2017 PIPE Offering, for a period of 30 days after the date of this prospectus.</w:t>
      </w:r>
    </w:p>
    <w:p>
      <w:pPr>
        <w:spacing w:after="0" w:line="114"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2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an “emerging growth company,” as defined in the Jumpstart Our Business Startups Act, or the JOBS Act, which was enacted in April 2012.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as long as we continue to be an emerging growth company, we may take advantage of exemptions from various reporting requirements that are applicable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public companies that are not emerging growth companies, including not being required to comply with the auditor attestation requirements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404 of the Sarbanes-Oxley Act of 2002, or the Sarbanes-Oxley Act, reduced disclosure obligations regarding executive compensation in our periodic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and proxy statements and exemptions from the requirements of holding a nonbinding advisory vote on executive compensation and stockholder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approval of any golden parachute payments not previously approved. We could be an emerging growth company for up to five years, although circumstances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could cause us to lose that status earlier. We will remain an emerging growth company until the earlier of (1) the last day of the fiscal year following the fifth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anniversary of the completion of our initial public offering, or IPO, (2) the last day of the fiscal year in which we have total annual gross revenue of at least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$1.7 billion, (3) the date on which we are deemed to be a large accelerated filer, which means the market value of our common stock that is held by</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non-affiliates exceeds $700.0 million as of the prior June 30th, and (4) the date on which we have issued more than $1.0 billion in non-convertible debt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during the prior three-year period. We cannot predict if investors will find our common stock less attractive because we may rely on these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exemptions. If some investors find our common stock less attractive as a result, there may be a less active trading market for our common stock and our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price may suffer or be more volatile.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Under the JOBS Act, emerging growth companies can delay adopting new or revised accounting standards issued subsequent to the enactment of the JOBS Act until such time as those standards apply to private companies. We have elected to use the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under the JOBS Act.</w:t>
      </w:r>
    </w:p>
    <w:p>
      <w:pPr>
        <w:spacing w:after="0" w:line="28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may continue to maintain the ability to control or significantly influence all matters submitted to stockholders for approval and under certain circumstances Vivo Ventures, Technology Partners, Forward Ventures and its affiliates may have control over key decision making.</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executive officers, directors and principal stockholders own a majority of our outstanding common stock. Entities associated with Vivo Ventures, Oracle Investment Management, Birchview Fund, Jack W. Schuler, 683 Capital Partners, Forward Ventures and Technology Partners, as of December 31, 2017, beneficially own approximately 77.6% of our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3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62"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have incurred and will continue to incur significant legal, accounting and other expenses as a public company. We are subject to the reporting requirements of the Securities Exchange Act of 1934, as amended, the other rules and regulations of the SEC, and the rules and regulations of The NASDAQ Capital Market, or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our board committees, or as executive officers.</w:t>
      </w:r>
    </w:p>
    <w:p>
      <w:pPr>
        <w:spacing w:after="0" w:line="16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or Section 404, beginning with our Annual Report on Form 10-K for the fiscal year ended December 31, 2014, which was filed March 13, 2015. In addition, we will be required to have our independent registered public accounting firm attest to the effectiveness of our internal control over financial reporting beginning with our annual report on Form 10-K following the date on which we are no longer an emerging growth company. Our compliance with Section 404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w:t>
      </w:r>
    </w:p>
    <w:p>
      <w:pPr>
        <w:spacing w:after="0" w:line="166"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we are not able to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This, in turn, could have an adverse impact on trading prices for our common stock, and could adversely affect our ability to access the capital markets.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 forwards and certain other tax attributes will be limited.</w:t>
      </w:r>
    </w:p>
    <w:p>
      <w:pPr>
        <w:spacing w:after="0" w:line="117"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ability to utilize our federal net operating loss, carryforwards and federal tax credit will be limited under Sections 382 and 383 of the Internal Revenue Code of 1986, as amended, or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which will limit our ability to utilize our existing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our warrant holders exercise their warrants into shares of our common stock, our stockholders will be diluted.</w:t>
      </w:r>
    </w:p>
    <w:p>
      <w:pPr>
        <w:spacing w:after="0" w:line="117"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exercise of some or all of our warrants results in issuance of common stock that dilute the ownership interests of existing stockholders. Any sales of the common stock issuable upon exercise of the warrants could adversely affect prevailing market prices of our common stock.</w:t>
      </w:r>
    </w:p>
    <w:p>
      <w:pPr>
        <w:spacing w:after="0" w:line="25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73"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 certain circumstances we may be required to settle the value of the Series A Warrants and Series C Warrants in cash.</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at any time while the Series A Warrants and Series C Warrants are outstanding, we enter into a “Fundamental Transaction” (as defined in the Series A Warrant and Series C Warrant Agreements),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Series A Warrants and Series C Warrants as at any time prior to the consummation of the Fundamental Transaction, may elect and require us to purchase the Series A and Series C Warrants held by such person immediately prior to the consummation of such Fundamental Transaction by making a cash payment in an amount equal to the Black Scholes Value of the remaining unexercised portion of such registered holder’s Series A Warrants and Series C Warrants.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be able to maintain the listing of our securities on The NASDAQ Capital Market.</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We have listed our common stock and Series A Warrants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the NASDAQ listing requirements on an ongoing basis, which in turn could cause our common stock to cease to trade on the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the NASDAQ market.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Due to the speculative nature of warrants, there is no guarantee that it will ever be profitable for holders of the warrants to exercise the warrants.</w:t>
      </w:r>
    </w:p>
    <w:p>
      <w:pPr>
        <w:spacing w:after="0" w:line="11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Specifically, holders of Series A Warrants may exercise their right to acquire the common stock and pay an exercise price of $32.50 per share prior to the expiration of the five-year term on November 12, 2019, after which date any unexercised Series A Warrants will expire and have no further value. Holders of Series C Warrants may exercise their right to acquire common stock and pay an exercise price of $31.25 per share prior to the expiration of the five-year term on March 4, 2020. Following amendment of the Series D Common Stock Purchase Warrants, the holders may exercise their right to acquire common stock and pay an amended exercise price of $8.75 per share prior to the expiration of the five-year term on October 15, 2020. In certain circumstances, the Series A Warrants, Series C Warrants, and Series D Warrants may be exercisable on a cashless basis. There can be no assurance that the market price of the common stock will ever equal or exceed the exercise price of the warrants, and, consequently, whether it will ever be profitable for holders of the warrants to exercise the warrants.</w:t>
      </w:r>
    </w:p>
    <w:p>
      <w:pPr>
        <w:spacing w:after="0" w:line="12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22"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common stock could decrease, which might cause our stock price and trading volume to decline.</w:t>
      </w:r>
    </w:p>
    <w:p>
      <w:pPr>
        <w:spacing w:after="0" w:line="16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22" w:lineRule="exact"/>
        <w:rPr>
          <w:sz w:val="20"/>
          <w:szCs w:val="20"/>
          <w:color w:val="auto"/>
        </w:rPr>
      </w:pPr>
    </w:p>
    <w:p>
      <w:pPr>
        <w:ind w:right="400" w:firstLine="456"/>
        <w:spacing w:after="0" w:line="272" w:lineRule="auto"/>
        <w:rPr>
          <w:sz w:val="20"/>
          <w:szCs w:val="20"/>
          <w:color w:val="auto"/>
        </w:rPr>
      </w:pPr>
      <w:r>
        <w:rPr>
          <w:rFonts w:ascii="Arial" w:cs="Arial" w:eastAsia="Arial" w:hAnsi="Arial"/>
          <w:sz w:val="17"/>
          <w:szCs w:val="17"/>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43" w:lineRule="exact"/>
        <w:rPr>
          <w:sz w:val="20"/>
          <w:szCs w:val="20"/>
          <w:color w:val="auto"/>
        </w:rPr>
      </w:pPr>
    </w:p>
    <w:p>
      <w:pPr>
        <w:ind w:left="900" w:right="2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Board of Directors is divided into three classes with staggered three-year terms which may delay or prevent a change of our management or a change in control;</w:t>
      </w:r>
    </w:p>
    <w:p>
      <w:pPr>
        <w:spacing w:after="0" w:line="35" w:lineRule="exact"/>
        <w:rPr>
          <w:rFonts w:ascii="Arial" w:cs="Arial" w:eastAsia="Arial" w:hAnsi="Arial"/>
          <w:sz w:val="18"/>
          <w:szCs w:val="18"/>
          <w:color w:val="auto"/>
        </w:rPr>
      </w:pPr>
    </w:p>
    <w:p>
      <w:pPr>
        <w:ind w:left="900" w:hanging="325"/>
        <w:spacing w:after="0" w:line="308"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Board of Directors has the right to elect directors to fill a vacancy created by the expansion of our Board of Directors or the resignation, death or removal of a director, which will prevent stockholders from being able to fill vacancies on our Board of Directors;</w:t>
      </w:r>
    </w:p>
    <w:p>
      <w:pPr>
        <w:spacing w:after="0" w:line="11" w:lineRule="exact"/>
        <w:rPr>
          <w:rFonts w:ascii="Arial" w:cs="Arial" w:eastAsia="Arial" w:hAnsi="Arial"/>
          <w:sz w:val="17"/>
          <w:szCs w:val="17"/>
          <w:color w:val="auto"/>
        </w:rPr>
      </w:pPr>
    </w:p>
    <w:p>
      <w:pPr>
        <w:ind w:left="900" w:right="180" w:hanging="325"/>
        <w:spacing w:after="0" w:line="264"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of Directors, the chairman of our board, the chief executive officer or the president;</w:t>
      </w:r>
    </w:p>
    <w:p>
      <w:pPr>
        <w:spacing w:after="0" w:line="46"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certificate of incorporation prohibits cumulative voting in the election of directors, which limits the ability of minority stockholders to elect director candidates;</w:t>
      </w:r>
    </w:p>
    <w:p>
      <w:pPr>
        <w:spacing w:after="0" w:line="35" w:lineRule="exact"/>
        <w:rPr>
          <w:rFonts w:ascii="Arial" w:cs="Arial" w:eastAsia="Arial" w:hAnsi="Arial"/>
          <w:sz w:val="18"/>
          <w:szCs w:val="18"/>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amendments of our certificate of incorporation and bylaws require the approval of 66 2/3% of our outstanding voting securities;</w:t>
      </w:r>
    </w:p>
    <w:p>
      <w:pPr>
        <w:spacing w:after="0" w:line="90" w:lineRule="exact"/>
        <w:rPr>
          <w:rFonts w:ascii="Arial" w:cs="Arial" w:eastAsia="Arial" w:hAnsi="Arial"/>
          <w:sz w:val="18"/>
          <w:szCs w:val="18"/>
          <w:color w:val="auto"/>
        </w:rPr>
      </w:pPr>
    </w:p>
    <w:p>
      <w:pPr>
        <w:ind w:left="900" w:right="200" w:hanging="325"/>
        <w:spacing w:after="0" w:line="31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stockholders are required to provide advance notice and additional disclosures in order to nominate individuals for election to our Board of Directors or to propose matters that can be acted upon at a stockholders’ meeting, which may discourage or deter a potential acquiror from conducting a solicitation of proxies to elect the acquiror’s own slate of directors or otherwise attempting to obtain control of our company; and</w:t>
      </w:r>
    </w:p>
    <w:p>
      <w:pPr>
        <w:spacing w:after="0" w:line="11" w:lineRule="exact"/>
        <w:rPr>
          <w:rFonts w:ascii="Arial" w:cs="Arial" w:eastAsia="Arial" w:hAnsi="Arial"/>
          <w:sz w:val="16"/>
          <w:szCs w:val="16"/>
          <w:color w:val="auto"/>
        </w:rPr>
      </w:pPr>
    </w:p>
    <w:p>
      <w:pPr>
        <w:ind w:left="900" w:right="140" w:hanging="325"/>
        <w:spacing w:after="0" w:line="34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our Board of Directors are able to issue, without stockholder approval, shares of undesignated preferred stock, which makes it possible for our Board of Directors to issue preferred stock with voting or other rights or preferences that could impede the success of any attempt to acquire us.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295"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62"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281"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our stockholders’ sole source of gain.</w:t>
      </w:r>
    </w:p>
    <w:p>
      <w:pPr>
        <w:spacing w:after="0" w:line="62"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We have never declared or paid cash dividends on our common stock. We currently intend to retain all of our future earnings, if any, to finance the growth and development of our business. In addition, the terms of existing or any future debt agreements may preclude us from paying dividends. As a result, capital appreciation, if any, of our common stock will be our stockholders’ sole source of gain for the foreseeable future.</w:t>
      </w:r>
    </w:p>
    <w:p>
      <w:pPr>
        <w:spacing w:after="0" w:line="274"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b w:val="1"/>
          <w:bCs w:val="1"/>
          <w:i w:val="1"/>
          <w:iCs w:val="1"/>
          <w:color w:val="auto"/>
        </w:rPr>
        <w:t>The sale of our common stock to the selling stockholders under the Unit Purchase Agreement may cause substantial dilution to our existing stockholders and the sale of common stock by the selling stockholders could cause the price of our common stock to decline.</w:t>
      </w:r>
    </w:p>
    <w:p>
      <w:pPr>
        <w:spacing w:after="0" w:line="3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December 11, 2017, we entered into the Unit Purchase Agreement with the selling stockholders, pursuant to which we sold and issued in the 2017 Pipe Offering 8,141,116 immediately separable units at a price per unit of $1.84, for aggregate gross proceeds of approximately $15,000,000. Each unit consisted of one share of our common stock and a warrant to purchase 0.74 shares of our common stock at an exercise price of $2.00 per share, for an aggregate of 8,141,116 Shares and corresponding warrants to purchase an aggregate of 6,024,425 Warrant Shares, together referred to as the Resale Shares. We also granted certain registration rights to the selling stockholders, pursuant to which, among other things, we are preparing and filing this registration statement with the SEC to register for resale the Resale Shares.</w:t>
      </w:r>
    </w:p>
    <w:p>
      <w:pPr>
        <w:spacing w:after="0" w:line="30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The sale of our common stock to Sabby under the 2016 Sabby Purchase Agreement may cause substantial dilution to our existing stockholders and the sale of common stock by Sabby could cause the price of our common stock to decline.</w:t>
      </w:r>
    </w:p>
    <w:p>
      <w:pPr>
        <w:spacing w:after="0" w:line="6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also registered for sale the shares of common stock underlying the Series B Convertible Preferred Stock sold and issued, or available for sale and issuance, to Sabby pursuant to the 2016 Sabby Purchase Agreement. Sabby may sell all, some or none of our shares that it holds under the 2016 Sabby Purchase Agreement. The issuance of of the shares of common stock underlying the Series B Convertible Preferred Stock and the amended Series D Common Stock Purchase Warrants to Sabby may cause substantial dilution to our existing stockholders, and the sale of the underlying shares of common stock by Sabby could cause the price of our common stock to decline. The sale of a substantial number of shares of our common stock by Sabby, or anticipation of such sales, could make it more difficult for us to sell equity or equity-related securities in the future at a time and at a price that we might otherwise wish to effect sales. The 2016 Sabby Purchase Agreement also provides Sabby a right to participate in any future sale of our equity securities.</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prospectus and the documents incorporated by reference herein, contain forward-looking statements regarding management’s expectations, beliefs, strategies, goals, outlook and other non-historical matters. In some cases you can identify these statements by forward-looking words, such as “believe,” “may,” “will,” “estimate,” “continue,” “anticipate,” “intend,” “could,”“would,” “project,” “plan,” “potential,” “seek,” “expect,” “goal,” or the negative or plural of these words or similar expressions.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131" w:lineRule="exact"/>
        <w:rPr>
          <w:sz w:val="20"/>
          <w:szCs w:val="20"/>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timing and the success of additional approvals of any of our products pursuant to our clinical and regulatory efforts;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build a distribution network and commercial infrastructure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whether the results of the trials will be sufficient to support domestic or global regulatory approvals for any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and/or maintain regulatory approval of our products;</w:t>
      </w:r>
    </w:p>
    <w:p>
      <w:pPr>
        <w:spacing w:after="0" w:line="130" w:lineRule="exact"/>
        <w:rPr>
          <w:rFonts w:ascii="Arial" w:cs="Arial" w:eastAsia="Arial" w:hAnsi="Arial"/>
          <w:sz w:val="18"/>
          <w:szCs w:val="18"/>
          <w:color w:val="auto"/>
        </w:rPr>
      </w:pPr>
    </w:p>
    <w:p>
      <w:pPr>
        <w:ind w:left="900" w:right="54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 that our existing capital resources will be sufficient to enable us to successfully meet the capital requirements for all of our current and future products;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benefits of the use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projected dollar amounts of future sales of established and novel diagnostics for neonatal hemolysis;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commercialize any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government and third-party payor coverage and reimbursement;</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manufacture our products in conformity with the applicable regulatory requirements and to scale up manufacturing of our products to commercial scale;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compete with companies that may enter the market with products that compete with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reliance on third parties to conduct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reliance on third-party contract manufacturers to manufacture and supply our products for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reliance on our collaboration partners’ performance over which we do not have control;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retain and recruit key personnel, including development of a sales and marketing function;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estimates of our expenses, ongoing losses, future revenue, capital requirements and our needs for or ability to obtain additional financing;</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develop, acquire and in-license additional products;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our ability to successfully establish and successfully maintain appropriate collaborations and derive significant revenue from those collaborations;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or our industry.</w:t>
      </w:r>
    </w:p>
    <w:p>
      <w:pPr>
        <w:spacing w:after="0" w:line="225"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These forward-looking statements are subject to a number of risks, uncertainties and assumptions, including those described in “Risk Factors” herein.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7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proceeds upon the sale of the Resale Shares by the selling stockholders.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RANGE OF COMMON STOCK AND DIVIDEND POLICY</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Our common stock is currently listed on the NASDAQ Capital Market under the symbol “SLNO” and our Series A Warrants are quoted on the NASDAQ Capital Market under the symbol “SLNOW.” Our Series B Warrants, Series C Warrants, Series D Warrants, 2015 Placement Agent Warrants and 2017 PIPE Warrants are not and will not be traded on a national securities exchange.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contains, for the periods indicated, the intraday high and low sale prices per share of our common stock.</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6"/>
              </w:rPr>
              <w:t>High</w:t>
            </w:r>
          </w:p>
        </w:tc>
        <w:tc>
          <w:tcPr>
            <w:tcW w:w="460" w:type="dxa"/>
            <w:vAlign w:val="bottom"/>
          </w:tcPr>
          <w:p>
            <w:pPr>
              <w:spacing w:after="0"/>
              <w:rPr>
                <w:sz w:val="14"/>
                <w:szCs w:val="14"/>
                <w:color w:val="auto"/>
              </w:rPr>
            </w:pPr>
          </w:p>
        </w:tc>
        <w:tc>
          <w:tcPr>
            <w:tcW w:w="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5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2016</w:t>
            </w:r>
          </w:p>
        </w:tc>
        <w:tc>
          <w:tcPr>
            <w:tcW w:w="2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First Quarter</w:t>
            </w:r>
          </w:p>
        </w:tc>
        <w:tc>
          <w:tcPr>
            <w:tcW w:w="262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$9.25</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$5.70</w:t>
            </w: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62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$6.80</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$5.45</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Third Quarter</w:t>
            </w:r>
          </w:p>
        </w:tc>
        <w:tc>
          <w:tcPr>
            <w:tcW w:w="262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$5.90</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$4.50</w:t>
            </w: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62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$5.15</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$3.65</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2017</w:t>
            </w:r>
          </w:p>
        </w:tc>
        <w:tc>
          <w:tcPr>
            <w:tcW w:w="2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62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$4.55</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$2.75</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Second Quarter</w:t>
            </w:r>
          </w:p>
        </w:tc>
        <w:tc>
          <w:tcPr>
            <w:tcW w:w="262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$3.75</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$2.35</w:t>
            </w: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2620" w:type="dxa"/>
            <w:vAlign w:val="bottom"/>
            <w:gridSpan w:val="2"/>
            <w:shd w:val="clear" w:color="auto" w:fill="CCEEFF"/>
          </w:tcPr>
          <w:p>
            <w:pPr>
              <w:jc w:val="center"/>
              <w:ind w:left="2070"/>
              <w:spacing w:after="0"/>
              <w:rPr>
                <w:sz w:val="20"/>
                <w:szCs w:val="20"/>
                <w:color w:val="auto"/>
              </w:rPr>
            </w:pPr>
            <w:r>
              <w:rPr>
                <w:rFonts w:ascii="Arial" w:cs="Arial" w:eastAsia="Arial" w:hAnsi="Arial"/>
                <w:sz w:val="18"/>
                <w:szCs w:val="18"/>
                <w:color w:val="auto"/>
                <w:w w:val="93"/>
              </w:rPr>
              <w:t>$3.75</w:t>
            </w:r>
          </w:p>
        </w:tc>
        <w:tc>
          <w:tcPr>
            <w:tcW w:w="880" w:type="dxa"/>
            <w:vAlign w:val="bottom"/>
            <w:gridSpan w:val="2"/>
            <w:shd w:val="clear" w:color="auto" w:fill="CCEEFF"/>
          </w:tcPr>
          <w:p>
            <w:pPr>
              <w:jc w:val="center"/>
              <w:ind w:left="370"/>
              <w:spacing w:after="0"/>
              <w:rPr>
                <w:sz w:val="20"/>
                <w:szCs w:val="20"/>
                <w:color w:val="auto"/>
              </w:rPr>
            </w:pPr>
            <w:r>
              <w:rPr>
                <w:rFonts w:ascii="Arial" w:cs="Arial" w:eastAsia="Arial" w:hAnsi="Arial"/>
                <w:sz w:val="18"/>
                <w:szCs w:val="18"/>
                <w:color w:val="auto"/>
                <w:w w:val="93"/>
              </w:rPr>
              <w:t>$1.48</w:t>
            </w:r>
          </w:p>
        </w:tc>
        <w:tc>
          <w:tcPr>
            <w:tcW w:w="6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Fourth Quarter</w:t>
            </w:r>
          </w:p>
        </w:tc>
        <w:tc>
          <w:tcPr>
            <w:tcW w:w="262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$3.06</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$1.32</w:t>
            </w:r>
          </w:p>
        </w:tc>
        <w:tc>
          <w:tcPr>
            <w:tcW w:w="6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2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18"/>
                <w:szCs w:val="18"/>
                <w:color w:val="auto"/>
              </w:rPr>
              <w:t>First Quarter (through January 23, 2018)</w:t>
            </w:r>
          </w:p>
        </w:tc>
        <w:tc>
          <w:tcPr>
            <w:tcW w:w="2620" w:type="dxa"/>
            <w:vAlign w:val="bottom"/>
            <w:gridSpan w:val="2"/>
          </w:tcPr>
          <w:p>
            <w:pPr>
              <w:jc w:val="center"/>
              <w:ind w:left="2070"/>
              <w:spacing w:after="0"/>
              <w:rPr>
                <w:sz w:val="20"/>
                <w:szCs w:val="20"/>
                <w:color w:val="auto"/>
              </w:rPr>
            </w:pPr>
            <w:r>
              <w:rPr>
                <w:rFonts w:ascii="Arial" w:cs="Arial" w:eastAsia="Arial" w:hAnsi="Arial"/>
                <w:sz w:val="18"/>
                <w:szCs w:val="18"/>
                <w:color w:val="auto"/>
                <w:w w:val="93"/>
              </w:rPr>
              <w:t>$2.05</w:t>
            </w:r>
          </w:p>
        </w:tc>
        <w:tc>
          <w:tcPr>
            <w:tcW w:w="88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$1.96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January 23, 2018, the last reported sale price of our common stock on the NASDAQ Capital Market was $2.03.</w:t>
      </w:r>
    </w:p>
    <w:p>
      <w:pPr>
        <w:spacing w:after="0" w:line="225"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As of January 23, 2018, there were approximately 81 shareholders of record for our common stock. A substantially greater number of stockholders may be “street name” or beneficial holders, whose shares are held of record by banks, brokers and other financial institutions. We have never declared or paid, and do not anticipate declaring or paying, any cash dividends on any of our capital stock. We currently intend to retain all available funds and any future earnings for use in the operation of our business and do not anticipate paying any dividends in the foreseeable future. Future determination as to the declaration and payment of dividends, if any, will be at the discretion of our board of directors and will depend on then existing conditions, including our operating results, financial conditions, contractual restrictions, capital requirements, business prospects and other factors our board of directors may deem relevant.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selected consolidated financial data should be read together with our consolidated financial statements and accompanying notes and “Management’s Discussion and Analysis of Financial Condition and Results of Operations” appearing elsewhere in this prospectus. The selected consolidated financial data in this section is not intended to replace our consolidated financial statements and the accompanying notes. Our historical results are not necessarily indicative of our future results.</w:t>
      </w:r>
    </w:p>
    <w:p>
      <w:pPr>
        <w:spacing w:after="0" w:line="187"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We derived the statements of operations data for the fiscal years ended December 31, 2016, and 2015, and the balance sheets data as of December 31, 2016, and 2015, from our audited financial statements appearing elsewhere in this filing. We derived the consolidated statements of operations data for the nine months ended September 30, 2016 and 2017 and the consolidated balance sheet data as of September 30, 2017 from unaudited interim consolidated financial statements included elsewhere in this filing. In the opinion of management, the unaudited consolidated financial statements reflect all adjustments, which include normal recurring adjustments, necessary to state fairly our results of operations and financial position. The data should be read in conjunction with the financial statements, related notes, and other financial information included herein.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100" w:type="dxa"/>
            <w:vAlign w:val="bottom"/>
          </w:tcPr>
          <w:p>
            <w:pPr>
              <w:spacing w:after="0"/>
              <w:rPr>
                <w:sz w:val="14"/>
                <w:szCs w:val="14"/>
                <w:color w:val="auto"/>
              </w:rPr>
            </w:pPr>
          </w:p>
        </w:tc>
        <w:tc>
          <w:tcPr>
            <w:tcW w:w="21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expenses</w:t>
            </w:r>
          </w:p>
        </w:tc>
        <w:tc>
          <w:tcPr>
            <w:tcW w:w="4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2,247,141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2,045,961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1,958,771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ind w:left="700"/>
              <w:spacing w:after="0"/>
              <w:rPr>
                <w:sz w:val="20"/>
                <w:szCs w:val="20"/>
                <w:color w:val="auto"/>
              </w:rPr>
            </w:pPr>
            <w:r>
              <w:rPr>
                <w:rFonts w:ascii="Arial" w:cs="Arial" w:eastAsia="Arial" w:hAnsi="Arial"/>
                <w:sz w:val="18"/>
                <w:szCs w:val="18"/>
                <w:color w:val="auto"/>
              </w:rPr>
              <w:t>Sales and marketing</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25,731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6,076,976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5,991,266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4,900,292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4,532,312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8,324,117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5,991,266</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6,971,984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6,491,083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(8,324,117)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(5,991,266)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(6,971,984)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(6,491,083)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interest and other income (expense), net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1,586,497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(3,748,800)</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(620,854)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1,174,769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(6,737,620)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(9,740,066)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(7,592,838)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(5,316,314)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Loss from discontinued operations, net of tax effect</w:t>
            </w:r>
          </w:p>
        </w:tc>
        <w:tc>
          <w:tcPr>
            <w:tcW w:w="1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(5,327,594)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(6,168,480)</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(3,048,821)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(4,135,804)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(12,065,214)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(15,908,546)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(10,641,659)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(9,452,117)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Loss on extinguishment of convertible preferred stock</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3,651,172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(15,716,386)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(15,908,546)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(10,641,659)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(9,452,117)</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3,101,496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1,885,176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8,936,255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3,072,729</w:t>
            </w:r>
          </w:p>
        </w:tc>
        <w:tc>
          <w:tcPr>
            <w:tcW w:w="0" w:type="dxa"/>
            <w:vAlign w:val="bottom"/>
          </w:tcPr>
          <w:p>
            <w:pPr>
              <w:spacing w:after="0"/>
              <w:rPr>
                <w:sz w:val="1"/>
                <w:szCs w:val="1"/>
                <w:color w:val="auto"/>
              </w:rPr>
            </w:pPr>
          </w:p>
        </w:tc>
      </w:tr>
      <w:tr>
        <w:trPr>
          <w:trHeight w:val="20"/>
        </w:trPr>
        <w:tc>
          <w:tcPr>
            <w:tcW w:w="6540" w:type="dxa"/>
            <w:vAlign w:val="bottom"/>
            <w:gridSpan w:val="3"/>
            <w:vMerge w:val="restart"/>
          </w:tcPr>
          <w:p>
            <w:pPr>
              <w:spacing w:after="0"/>
              <w:rPr>
                <w:sz w:val="20"/>
                <w:szCs w:val="20"/>
                <w:color w:val="auto"/>
              </w:rPr>
            </w:pPr>
            <w:r>
              <w:rPr>
                <w:rFonts w:ascii="Arial" w:cs="Arial" w:eastAsia="Arial" w:hAnsi="Arial"/>
                <w:sz w:val="18"/>
                <w:szCs w:val="18"/>
                <w:color w:val="auto"/>
              </w:rPr>
              <w:t>Net loss per common share from continuing operations,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per common share from discontinued operations,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gridSpan w:val="2"/>
            <w:vMerge w:val="restart"/>
          </w:tcPr>
          <w:p>
            <w:pPr>
              <w:ind w:left="340"/>
              <w:spacing w:after="0"/>
              <w:rPr>
                <w:sz w:val="20"/>
                <w:szCs w:val="20"/>
                <w:color w:val="auto"/>
              </w:rPr>
            </w:pPr>
            <w:r>
              <w:rPr>
                <w:rFonts w:ascii="Arial" w:cs="Arial" w:eastAsia="Arial" w:hAnsi="Arial"/>
                <w:sz w:val="18"/>
                <w:szCs w:val="18"/>
                <w:color w:val="auto"/>
              </w:rPr>
              <w:t>Net loss per common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21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2,725,996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5,494,523</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5,647,039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5,414,963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2,093,916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3,211,565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4,658,886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4,730,805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5,564,852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8,201,195</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26,381,996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8,309,310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3,435,197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3,223,816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23,210,162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5,712,442</w:t>
            </w:r>
          </w:p>
        </w:tc>
        <w:tc>
          <w:tcPr>
            <w:tcW w:w="0" w:type="dxa"/>
            <w:vAlign w:val="bottom"/>
          </w:tcPr>
          <w:p>
            <w:pPr>
              <w:spacing w:after="0"/>
              <w:rPr>
                <w:sz w:val="1"/>
                <w:szCs w:val="1"/>
                <w:color w:val="auto"/>
              </w:rPr>
            </w:pPr>
          </w:p>
        </w:tc>
      </w:tr>
      <w:tr>
        <w:trPr>
          <w:trHeight w:val="365"/>
        </w:trPr>
        <w:tc>
          <w:tcPr>
            <w:tcW w:w="6540" w:type="dxa"/>
            <w:vAlign w:val="bottom"/>
            <w:gridSpan w:val="3"/>
          </w:tcPr>
          <w:p>
            <w:pPr>
              <w:jc w:val="right"/>
              <w:ind w:right="74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2016 AND 2015</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i w:val="1"/>
          <w:iCs w:val="1"/>
          <w:color w:val="auto"/>
        </w:rPr>
        <w:t>The following discussion and analysis should be read in conjunction with our audited consolidated financial statements and the related notes that appear elsewhere in this prospectus. This prospectus contains “forward-looking statements” within the meaning of Section 21E of the Securities Exchange Act of 1934, as amended, or the Exchange Act. These statements are often identified by the use of words such as “may,” “will,” “expect,” “believe,” “anticipate,” “intend,” “could,” “should,” “estimate,” “plan,”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prospectus and elsewhere in this prospectus. The forward-looking statements in this prospectus represent our views as of the date of this prospectus.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prospectus.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right="240" w:firstLine="456"/>
        <w:spacing w:after="0" w:line="272" w:lineRule="auto"/>
        <w:rPr>
          <w:sz w:val="20"/>
          <w:szCs w:val="20"/>
          <w:color w:val="auto"/>
        </w:rPr>
      </w:pPr>
      <w:r>
        <w:rPr>
          <w:rFonts w:ascii="Arial" w:cs="Arial" w:eastAsia="Arial" w:hAnsi="Arial"/>
          <w:sz w:val="17"/>
          <w:szCs w:val="17"/>
          <w:color w:val="auto"/>
        </w:rPr>
        <w:t>Soleno Therapeutics, Inc. (formerly known as Capnia, Inc.) (the “Company”) was incorporated in the State of Delaware on August 25, 1999, and is located in Redwood City, California. On May 8, 2017, the Company received stockholder approval to amend the Amended and Restate Certificate of Incorporation of the Company, to change the name of the Company to Soleno Therapeutics, Inc. The Company was initially established as a diversified healthcare company that developed and commercialized innovative diagnostics, devices and therapeutics addressing unmet medical needs, which consisted of: precision metering of gas flow technology marketed as Serenz</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w:t>
      </w:r>
    </w:p>
    <w:p>
      <w:pPr>
        <w:spacing w:after="0" w:line="178"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 (” NeoForce”). NFI marketed innovative pulmonary resuscitation solutions for the inpatient and ambulatory neonatal markets.</w:t>
      </w:r>
    </w:p>
    <w:p>
      <w:pPr>
        <w:spacing w:after="0" w:line="18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On December 22, 2016, we entered into the Merger Agreement with Essentialis, Inc. Essentialis’s efforts prior to the merger were focused primarily on developing and testing product candidates that target the ATP-sensitive potassium channel, a metabolically regulated membrane protein whose modulation has the potential to impact a wide range of rare metabolic, cardiovascular, and CNS diseases. Essentialis has tested Diazoxide Choline Controlled Release Tablet, or DCCR, as a treatment for Prader-Willi Syndrome, or PWS, a complex metabolic/neurobehavioral disorder. DCCR has orphan designation for the treatment of PWS in the U.S. as well as in the E.U.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we received on March 6, 2017.</w:t>
      </w:r>
    </w:p>
    <w:p>
      <w:pPr>
        <w:spacing w:after="0" w:line="167"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During the evaluation and negotiation of the merger with Essentialis, the Company commenced to explore opportunities to divest, sell or otherwise dispose of the CoSense, NFI and Serenz businesses. Accordingly, and pursuant to ASC 205-20-45-10, the assets and liabilities related to the discontinued operations of CoSense, NFI and Serenz are presented separately in the Balance Sheet as held for sale items, and the related operations reported herein for the CoSense, NFI and Serenz businesses are reported as discontinued operations in the Statement of Operations.</w:t>
      </w:r>
    </w:p>
    <w:p>
      <w:pPr>
        <w:spacing w:after="0" w:line="17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Company determined to divest, sell or otherwise dispose of the CoSense, NFI and Serenz businesses in order to focus on the development and commercialization of novel therapeutics for the treatment of rare diseases. Our current research and development efforts are primarily focused on advancing our lead candidate, DCCR tablets for the treatment of PWS, into late-stage clinical development.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Company sold NFI in a stock transaction that was completed on July 18, 2017, pursuant to a Stock Purchase Agreement with Neoforce Holdings, Inc. a wholly-owned subsidiary of Flexicare Medical Limited, a privately-held United Kingdom company (see Note 5).</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July 24, 2015, we entered into a Common Stock Purchase Agreement with Aspire Capital, or the 2015 Aspire Purchase Agreement, which provides that, upon the terms and subject to the conditions and limitations set forth therein, Aspire is committed to purchase up to an aggregate of $10.0 million in value of shares of our Common Stock over the 24-month term of the 2015 Aspire Purchase Agreement. Since July 24, 2015, we issued an aggregate of 101,317 shares of Common Stock to Aspire in exchange for approximately $1.4 million.</w:t>
      </w:r>
    </w:p>
    <w:p>
      <w:pPr>
        <w:spacing w:after="0" w:line="187"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On October 12, 2015, we entered into the 2015 Sabby Purchase Agreement with Sabby to purchase up to $10 million of Series A Convertible Preferred Stock together with related Series D Warrants to purchase shares of our Common Stock. The sale of the Series Convertible A Preferred Stock occurred in two separate closings. On October 15, 2015, the date of the first closing under the 2015 Sabby Purchase Agreement, we received proceeds of approximately $4.1 million, net of $0.4 million in estimated expenses. On January 8, 2016, the date of the second closing under the 2015 Sabby Purchase Agreement, we received proceeds of approximately $5 million, net of $0.5 million in estimated expenses.</w:t>
      </w:r>
    </w:p>
    <w:p>
      <w:pPr>
        <w:spacing w:after="0" w:line="17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2,756,000 shares of our Common Stock, based on a fixed conversion price of $5.00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 the 2015 Sabby Purchase Agreement and which shares represent 841,081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repurchase of the Series A Convertible Preferred Stock and estimated transaction expenses, the Company received approximately $5.6 million of net proceeds.</w:t>
      </w:r>
    </w:p>
    <w:p>
      <w:pPr>
        <w:spacing w:after="0" w:line="169"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During the years ended December 31, 2016 and December 31, 2015, we received $70,000 and $294,000, respectively, from the exercise of stock options.</w:t>
      </w:r>
    </w:p>
    <w:p>
      <w:pPr>
        <w:spacing w:after="0" w:line="170"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During the year ended December 31, 2016, we implemented plans to reduce our operating expenses, including reducing our workforce, eliminating outside consultants, reducing legal fees and implementing a plan to allow Board members to receive common stock, in lieu of cash payments.</w:t>
      </w:r>
    </w:p>
    <w:p>
      <w:pPr>
        <w:spacing w:after="0" w:line="12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of December 31, 2016, we had an accumulated deficit of $98.3 million, primarily as a result of research and development and general and administrative expenses. While we may in the future generate revenue from a variety of sources, potentially including sales of our neonatology products, therapeutic products, other diagnostic products, license fees, milestone payments, and research and development payments in connection with potential future strategic partnerships, we have, to date, generated revenue only from the 2013 license agreement pertaining to Serenz, $1.9 million in revenue from our neonatology products and $0.2 million in government grants. We may never be successful in commercializing our novel therapeutic and in divesting, selling or otherwise disposing of our existing neonatology products or related therapeutic products. Accordingly, we expect to incur significant losses from operations for the foreseeable future, and there can be no assurance that we will ever generate significant revenue or profits.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141,666 shares of Common Stock as commitment shares under the 2017 Aspire Purchase Agreement. The 2017 Aspire Purchase Agreement was terminated upon the closing of the 2017 PIPE.</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On May 8, 2017, the Company received stockholder approval to amend the Amended and Restate Certificate of Incorporation of the Company, to change the name of the Company to Soleno Therapeutics, Inc.</w:t>
      </w:r>
    </w:p>
    <w:p>
      <w:pPr>
        <w:spacing w:after="0" w:line="170"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 The Company sold NFI in a stock transaction that was completed on July 18, 2017, pursuant to a Stock Purchase Agreement with Neoforce Holdings, Inc. a wholly-owned subsidiary of Flexicare Medical Limited, a privately-held United Kingdom company.</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On October 6, 2017, the Company effected a one-for-five (1:5) reverse stock split of its then outstanding Common Stock and, accordingly, all common share and per share data are retrospectively restated to give effect of the split for all periods presented herein.</w:t>
      </w:r>
    </w:p>
    <w:p>
      <w:pPr>
        <w:spacing w:after="0" w:line="170" w:lineRule="exact"/>
        <w:rPr>
          <w:sz w:val="20"/>
          <w:szCs w:val="20"/>
          <w:color w:val="auto"/>
        </w:rPr>
      </w:pPr>
    </w:p>
    <w:p>
      <w:pPr>
        <w:ind w:right="320" w:firstLine="456"/>
        <w:spacing w:after="0" w:line="302" w:lineRule="auto"/>
        <w:rPr>
          <w:sz w:val="20"/>
          <w:szCs w:val="20"/>
          <w:color w:val="auto"/>
        </w:rPr>
      </w:pPr>
      <w:r>
        <w:rPr>
          <w:rFonts w:ascii="Arial" w:cs="Arial" w:eastAsia="Arial" w:hAnsi="Arial"/>
          <w:sz w:val="16"/>
          <w:szCs w:val="16"/>
          <w:color w:val="auto"/>
        </w:rPr>
        <w:t>On December 4, 2017, we, and our wholly-owned subsidiary, Capnia, Inc., a Delaware corporation, or Capnia, entered into a joint venture with OptAsia Healthcare Limited, a Hong Kong company limited by shares, or OAHL, with the purpose of developing and commercializing medical monitors, including the CoSense</w:t>
      </w:r>
      <w:r>
        <w:rPr>
          <w:rFonts w:ascii="Arial" w:cs="Arial" w:eastAsia="Arial" w:hAnsi="Arial"/>
          <w:sz w:val="13"/>
          <w:szCs w:val="13"/>
          <w:color w:val="auto"/>
        </w:rPr>
        <w:t>®</w:t>
      </w:r>
      <w:r>
        <w:rPr>
          <w:rFonts w:ascii="Arial" w:cs="Arial" w:eastAsia="Arial" w:hAnsi="Arial"/>
          <w:sz w:val="16"/>
          <w:szCs w:val="16"/>
          <w:color w:val="auto"/>
        </w:rPr>
        <w:t xml:space="preserve"> End-Tidal Carbon Monoxide (ETCO) Monitor, or CoSense, that measure end-tidal carbon monoxide in breath to assist in the detection of excessive hemolysis in neonates, a condition in which red blood cells degrade rapidly and which can lead to adverse neurological outcomes.</w:t>
      </w:r>
    </w:p>
    <w:p>
      <w:pPr>
        <w:spacing w:after="0" w:line="154"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Prior to our entry into the joint venture with OAHL, we also completed the sale of stock of our 100% wholly-owned subsidiary, NeoForce, Inc., or NFI, primarily related to our portfolio of neonatology resuscitation business on July 18, 2017,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w:t>
      </w:r>
    </w:p>
    <w:p>
      <w:pPr>
        <w:sectPr>
          <w:pgSz w:w="11900" w:h="16838" w:orient="portrait"/>
          <w:cols w:equalWidth="0" w:num="1">
            <w:col w:w="11420"/>
          </w:cols>
          <w:pgMar w:left="240" w:top="459" w:right="239" w:bottom="0" w:gutter="0" w:footer="0" w:header="0"/>
        </w:sectPr>
      </w:pP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459" w:right="239" w:bottom="0" w:gutter="0" w:footer="0" w:header="0"/>
          <w:type w:val="continuous"/>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We have not generated net income from operations to date, and, at December 31, 2016 and December 31, 2015, we had an accumulated deficit of approximately $98.3 million and $86.2 million, respectively, primarily as a result of research and development and general and administrative expenses. We may never be successful in commercializing our novel therapeutics products for the treatment of rare diseases. Accordingly, we expect to incur significant losses from operations for the foreseeable future, and there can be no assurance that we will ever generate significant revenue or profits.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We apply the provisions of Financial Accounting Standards Board, or FASB, Accounting Standards Codification, or ASC, Topic 605, </w:t>
      </w:r>
      <w:r>
        <w:rPr>
          <w:rFonts w:ascii="Arial" w:cs="Arial" w:eastAsia="Arial" w:hAnsi="Arial"/>
          <w:sz w:val="16"/>
          <w:szCs w:val="16"/>
          <w:i w:val="1"/>
          <w:iCs w:val="1"/>
          <w:color w:val="auto"/>
        </w:rPr>
        <w:t>Revenue</w:t>
      </w:r>
      <w:r>
        <w:rPr>
          <w:rFonts w:ascii="Arial" w:cs="Arial" w:eastAsia="Arial" w:hAnsi="Arial"/>
          <w:sz w:val="16"/>
          <w:szCs w:val="16"/>
          <w:color w:val="auto"/>
        </w:rPr>
        <w:t xml:space="preserve"> </w:t>
      </w:r>
      <w:r>
        <w:rPr>
          <w:rFonts w:ascii="Arial" w:cs="Arial" w:eastAsia="Arial" w:hAnsi="Arial"/>
          <w:sz w:val="16"/>
          <w:szCs w:val="16"/>
          <w:i w:val="1"/>
          <w:iCs w:val="1"/>
          <w:color w:val="auto"/>
        </w:rPr>
        <w:t>Recognition</w:t>
      </w:r>
      <w:r>
        <w:rPr>
          <w:rFonts w:ascii="Arial" w:cs="Arial" w:eastAsia="Arial" w:hAnsi="Arial"/>
          <w:sz w:val="16"/>
          <w:szCs w:val="16"/>
          <w:color w:val="auto"/>
        </w:rPr>
        <w:t>, to recognize revenue. We begin recognizing revenue when persuasive evidence of an arrangement exists, such as a contract or purchase order,</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has occurred, no significant obligations with regard to implementation or integration exist, the fee is fixed or determinable, and collectability is reasonably assured. To date, the Company has earned no revenue from the commercial development and sale of novel therapeutic products and the revenue resulting from commercialization and sale of the CoSense, Neo Force, Inc. and Serenz products is reported in discontinued operations.</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costs consist primarily of salaries and benefits, consultant fees, prototype expenses, certain facility costs and other costs associated with clinical trials, net of reimbursed amounts. Costs to acquire technologies to be used in research and development that have not reached technological feasibility, and have no alternative future use, are expensed to research and development costs when incurred. Research and development expenses resulting from the development of novel therapeutic products is reported in continuing operations, and research and development expenses resulting from the development of the CoSense, Neo Force, Inc. and Serenz products is reported in discontinued operations.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Sales and marketing expenses consist principally of personnel-related costs, professional fees for consulting expenses, and other expenses associated with commercial activities. We anticipate these expenses will increase significantly in future periods, reflecting the increased level of sales and marketing activity necessary for the commercial launch of CoSense. The Company has to date incurred no sales and marketing expenses related to the sale and commercialization of novel therapeutic products, and the sales and marketing expenses related to the CoSense, Neo Force, Inc. and Serenz products is reported in discontinued operations.</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General and administrative expenses consist principally of personnel-related costs, professional fees for legal, consulting, audit and tax services, insurance, rent, and other general operating expenses not otherwise included in research and development. We anticipate general and administrative expenses will increase in future periods, reflecting an expanding infrastructure, other administrative expenses and increased professional fees associated with being a public reporting company. General and administrative expenses incurred in operating all components of the Company’s business are classified as continuing operations and are not allocated to specific research and development nor sales and marketing activities that have been discontinued. General and administrative expense, such as rent, which are incurred specifically to directly support research and development and sales and marketing activities for the CoSense, Neo Force, Inc. and Serenz products is reported in discontinued operations.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 income (expense), net is primarily comprised of changes in the fair value of the Series A, Series B and Series C stock warrant liabilities.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management’s discussion and analysis of financial condition and results of operations are based upon our audited financial statements, which have been prepared in accordance with GAAP. The preparation of these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to our audited financial statements contained herein.</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40"/>
          </w:cols>
          <w:pgMar w:left="240" w:top="459" w:right="3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and Series C Warrants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We account for the Series A and Series C in accordance with the guidance in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The Series A and Series C Warrants contain standard anti-dilution provisions for stock dividends, stock splits, subdivisions, combinations and similar types of recapitalization events.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Valuation Model.</w:t>
      </w:r>
    </w:p>
    <w:p>
      <w:pPr>
        <w:spacing w:after="0" w:line="178"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We classified the Series A and Series C Warrants as liabilities at their fair value and will re-measure the warrants at each balance sheet date until they are exercised or expire. Any change in the fair value is recognized as other income (expense) in the Statement of Operations.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account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We are required to comply with certain requirements to cause or maintain the effectiveness of a registration statement for the offer and sale of these securities. Such change in control events include tender offers or hostile takeovers, which are not within our sole control as the issuer of these warrants. However, the Series D Warrant agreement specifically provides that under no circumstances will we be required to settle any Series D Warrant exercise for cash, whether by net settlement or otherwise. Accordingly, we have classified the value of the Series D Warrants as permanent equity.</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Series A and Series B Convertible Preferred Stock</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classified our Series A and Series B Convertible Stock as permanent equity on our balance sheet in accordance with authoritative guidance for the classification and measurement of hybrid securities and distinguishing liability from equity instruments. The preferred stock is not redeemable at the option of the holder.</w:t>
      </w:r>
    </w:p>
    <w:p>
      <w:pPr>
        <w:spacing w:after="0" w:line="18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Further, we evaluated our Series A and Series B Convertible Preferred Stock and determined that it is considered an equity host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 making this determination, we followed the whole instrument approach which compares an individual feature against the entire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instrument which includes that feature. Our analysis was based on a consideration of the economic characteristics and risks of each series of preferred stock. More specifically, we evaluated all of the stated and implied substantive terms and features, including (i) whether the preferred stock included redemption features, (ii) how and when any redemption features could be exercised, (iii) whether the holders of preferred stock were entitled to dividends,</w:t>
      </w:r>
    </w:p>
    <w:p>
      <w:pPr>
        <w:spacing w:after="0" w:line="2" w:lineRule="exact"/>
        <w:rPr>
          <w:sz w:val="20"/>
          <w:szCs w:val="20"/>
          <w:color w:val="auto"/>
        </w:rPr>
      </w:pPr>
    </w:p>
    <w:p>
      <w:pPr>
        <w:ind w:right="40" w:firstLine="8"/>
        <w:spacing w:after="0" w:line="302" w:lineRule="auto"/>
        <w:tabs>
          <w:tab w:leader="none" w:pos="30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voting rights of the preferred stock and (v) the existence and nature of any conversion rights. As a result, we concluded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26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expense includes payroll and personnel expenses; consulting costs; and, external contract research and development expenses. Nonrefundable advance payments for goods or services that will be used or rendered for future research and development activities are deferred and capitalized and recognized as an expense as the goods are delivered or the related services are performed.</w:t>
      </w:r>
    </w:p>
    <w:p>
      <w:pPr>
        <w:spacing w:after="0" w:line="18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As part of the process of preparing our financial statements, we are required to estimate our accrued research and development expenses. This process involves reviewing contracts and purchase orders, reviewing the terms of our intellectual property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The majority of our service providers invoice us monthly in arrears for services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performed. We make estimates of our accrued expenses as of each balance sheet date in our financial statements based on facts and circumstances known to us at that time. We periodically confirm the accuracy of our estimates with the service providers and make adjustments if necessary. Examples of estimated accrued research and development expenses include fees to:</w:t>
      </w:r>
    </w:p>
    <w:p>
      <w:pPr>
        <w:spacing w:after="0" w:line="87" w:lineRule="exact"/>
        <w:rPr>
          <w:sz w:val="20"/>
          <w:szCs w:val="20"/>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contract manufacturers in connection with the production of clinical trial materials;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contract research organizations and other service providers in connection with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investigative sites in connection with clinical studies;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vendors in connection with preclinical development activities;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professional service fees for consulting and related services.</w:t>
      </w:r>
    </w:p>
    <w:p>
      <w:pPr>
        <w:spacing w:after="0" w:line="22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base our expenses related to clinical studies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Our understanding of the status and timing of services performed relative to the actual status and timing of services performed may vary and may result in our reporting changes in estimates in any particular period. To date, there have been no material differences from our estimates to the amounts actually incurred. However, due to the nature of these estimates, we cannot assure you that we will not make changes to our estimates in the future as we become aware of additional information about the status or conduct of our clinical studies or other research activity.</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For the years ended December 31, 2016 and December 31, 2015 stock-based compensation expense was $871,270 and $942,369, respectively of which, stock compensation expense of approximately $132,000 and $211,000 was classified in discontinued operations, in 2016 and 2015, respectively. As of December 31, 2016, we had $1,553,427 of total unrecognized compensation expense, which we expect to recognize over a period of approximately 2.7 years. The intrinsic value of all outstanding stock options as of December 31, 2016, was approximately zero. We expect to continue to grant equity incentive awards in the future as we continue to expand our number of employees and seek to retain our existing employees, and to the extent that we do, our actual stock-based compensation expense recognized in future periods will likely increase.</w:t>
      </w:r>
    </w:p>
    <w:p>
      <w:pPr>
        <w:spacing w:after="0" w:line="178"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Stock-based compensation costs related to stock options granted to employees are measured at the date of grant based on the estimated fair value of the award, net of estimated forfeitures. We estimate the grant date fair value, and the resulting stock-based compensation expense, using the Black-Scholes option-pricing model. The grant date fair value of stock-based awards is recognized on a straight-line basis over the requisite service period, which is generally the vesting period of the award. Stock options we grant to employees generally vest over four years.</w:t>
      </w:r>
    </w:p>
    <w:p>
      <w:pPr>
        <w:spacing w:after="0" w:line="17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In June 2016, we granted 11,000 NSOs to sales representatives of Bemes, Inc. Of the 11,000 options granted, 5,499 options with a fair value of $26,355 vested immediately upon grant. Accelerated vesting of the remaining options were contingent on the satisfaction of certain performance requirements, that were not met. Regardless of not achieving accelerated vesting, the remaining options have a one year cliff vesting. As a result, we recognized $13,502 in expense for the remaining options during 2016, which will vest during the first quarter of 2017. Total expense for the two groups of options reflects the fair value of our common stock on the applicable vesting commencement dates.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If we had made different assumptions, our stock-based compensation expense, net loss and net loss per share of common stock could have been significantly different. These assumptions include:</w:t>
      </w:r>
    </w:p>
    <w:p>
      <w:pPr>
        <w:spacing w:after="0" w:line="87"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We calculate the estimated volatility rate based on a peer index of common stock of comparable companies.</w:t>
      </w:r>
    </w:p>
    <w:p>
      <w:pPr>
        <w:spacing w:after="0" w:line="130" w:lineRule="exact"/>
        <w:rPr>
          <w:rFonts w:ascii="Arial" w:cs="Arial" w:eastAsia="Arial" w:hAnsi="Arial"/>
          <w:sz w:val="18"/>
          <w:szCs w:val="18"/>
          <w:color w:val="auto"/>
        </w:rPr>
      </w:pPr>
    </w:p>
    <w:p>
      <w:pPr>
        <w:ind w:left="900" w:right="120" w:hanging="325"/>
        <w:spacing w:after="0" w:line="264"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We do not believe we are able to rely on our historical exercise and post-vesting termination activity to provide accurate data for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estimating the expected term for use in estimating the fair value-based measurement of our options. Therefore, we have opted to use the “simplified method” for estimating the expected term of options.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Risk-free rate: </w:t>
      </w:r>
      <w:r>
        <w:rPr>
          <w:rFonts w:ascii="Arial" w:cs="Arial" w:eastAsia="Arial" w:hAnsi="Arial"/>
          <w:sz w:val="16"/>
          <w:szCs w:val="16"/>
          <w:color w:val="auto"/>
        </w:rPr>
        <w:t>The risk-free interest rate is based on the yields of U.S. Treasury securities with maturities similar to the expected time to liquidity.</w:t>
      </w:r>
    </w:p>
    <w:p>
      <w:pPr>
        <w:spacing w:after="0" w:line="153" w:lineRule="exact"/>
        <w:rPr>
          <w:rFonts w:ascii="Arial" w:cs="Arial" w:eastAsia="Arial" w:hAnsi="Arial"/>
          <w:sz w:val="16"/>
          <w:szCs w:val="16"/>
          <w:color w:val="auto"/>
        </w:rPr>
      </w:pPr>
    </w:p>
    <w:p>
      <w:pPr>
        <w:ind w:left="900" w:right="220" w:hanging="325"/>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 foreseeable</w:t>
      </w:r>
      <w:r>
        <w:rPr>
          <w:rFonts w:ascii="Arial" w:cs="Arial" w:eastAsia="Arial" w:hAnsi="Arial"/>
          <w:sz w:val="18"/>
          <w:szCs w:val="18"/>
          <w:i w:val="1"/>
          <w:iCs w:val="1"/>
          <w:color w:val="auto"/>
        </w:rPr>
        <w:t xml:space="preserve"> </w:t>
      </w:r>
      <w:r>
        <w:rPr>
          <w:rFonts w:ascii="Arial" w:cs="Arial" w:eastAsia="Arial" w:hAnsi="Arial"/>
          <w:sz w:val="18"/>
          <w:szCs w:val="18"/>
          <w:color w:val="auto"/>
        </w:rPr>
        <w:t>future. Consequently, we used an expected dividend yield of zero.</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There were 267,851 options granted in the year ended December 31, 2016, and there were 191,142 options granted in the year ended December 31, 2015. In addition to the assumptions used in the Black-Scholes option-pricing model, we must also estimate a forfeiture rate to calculate the stock-based compensation expense for our awards. We will continue to use judgment in evaluating the expected volatility, expected terms, and forfeiture rates utilized for our stock-based compensation expense calculations on a prospective basis.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Goodwill represents the excess of the purchase price of an acquired enterprise or assets over the fair value of the identifiable assets acquired and liabilities assumed. Goodwill is presumed to have an indefinite life and is not subject to amortization. We test for impairment of goodwill on an annual basis in the fourth quarter and at any other time when events occur or circumstances indicate that the carrying amount of goodwill may not be recoverable.</w:t>
      </w:r>
    </w:p>
    <w:p>
      <w:pPr>
        <w:spacing w:after="0" w:line="14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Circumstances that could trigger an impairment test include, but are not limited to: a significant adverse change in the business climate or legal factors, an adverse action or assessment by a regulator, change in customer, target market and strategy, unanticipated competition, loss of key personnel, or the likelihood that a reporting unit or significant portion of a reporting unit will be sold or otherwise disposed.</w:t>
      </w:r>
    </w:p>
    <w:p>
      <w:pPr>
        <w:spacing w:after="0" w:line="18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 assessment of qualitative factors may be performed to determine whether it is necessary to perform the two-step quantitative goodwill impairment test. If the result of the qualitative assessment is that it is more likely than not (i.e. greater than 50% likelihood) that the fair value of a reporting unit, is less than its carrying amount, then the quantitative test is required. Otherwise, no further testing is required. At our testing date, we did not perform the qualitative assessment.</w:t>
      </w:r>
    </w:p>
    <w:p>
      <w:pPr>
        <w:spacing w:after="0" w:line="18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Under the quantitative test, if the carrying amount of a reporting unit’s goodwill exceeds the implied fair value of that goodwill, an impairment loss is recorded in the Consolidated Statements of Operations as “Impairment of goodwill.” Measurement of the fair value of a reporting unit is based on one or more of the following fair value measures: amounts at which the unit as a whole could be bought or sold in a current transaction between willing parties, using present value techniques of estimated future cash flows, or using valuation techniques based on multiples of earnings or revenue, or a similar performance measure.</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Based on our organizational structure and our financial information during 2016 and 2015, we determined we operate in one segment and two reporting units. The only reporting unit with goodwill was the NeoForce (“NFI”) unit.</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During the fourth quarter of 2016, we tested the NFI reporting unit’s goodwill for impairment under the two-step quantitative goodwill impairment test in accordance with authoritative guidance. There were no triggering events during the interim periods of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Under the first step of the authoritative guidance for impairment testing, the fair value of the NFI reporting unit was determined based on the income approach, which estimates fair value based on the future discounted cash flows. We assumed a cash flow period of 5 years, annual revenue growth rates of 38.2% to 63.9%, a discount rate of 20.5%, and a terminal value equivalent to one times final year sales. While projected revenue growth is above average, beginning revenue is quite low and the acquisition of new customers, mainly hospitals and health plans, is expected to result in relatively large increments of growth. We also performed sensitivity analyses to estimate the effect of significantly lower revenue growth on estimated fair value. We believe the assumptions and rates used in the impairment test are reasonable, but they are judgmental, and variations in any of the assumptions or rates could result in a materially different calculation of impairment. The determination of estimated fair value of goodwill required the use of significant unobservable inputs which are considered Level 3 fair value measurements. Based on the first step of the authoritative guidance on impairment testing, we concluded that the fair value of the NFI reporting unit was in excess of its carrying value.</w:t>
      </w:r>
    </w:p>
    <w:p>
      <w:pPr>
        <w:spacing w:after="0" w:line="182"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NFI reporting unit was acquired during the fourth quarter of 2015. We had no other goodwill during 2015 or 2016. Goodwill is classified with long-term assets held for sale in the Balance Sheet.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use the liability method of accounting for income taxes, whereby deferred tax assets or liability account balances are calculated at the balance sheet date using current tax laws and rates in effect for the year in which the differences are expected to affect taxable income. Valuation allowances are provided when necessary to reduce deferred tax assets to the amount that will more likely than not be realized.</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make certain estimates and judgments in determining income tax expense for financial statement purposes. These estimates and judgments occur in the calculation of tax credits, benefits and deductions and in the calculation of certain tax assets and liabilities, which arise from differences in the timing of recognition of revenues and expenses for tax and financial statement purposes. Significant changes to these estimates may result in an increase or decrease to our tax provision in a subsequent period.</w:t>
      </w:r>
    </w:p>
    <w:p>
      <w:pPr>
        <w:spacing w:after="0" w:line="18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assessing the realizability of deferred tax assets, we consider whether it is more likely than not that some portion or all of the deferred tax assets will be realized on a jurisdiction by jurisdiction basis. The ultimate realization of deferred tax assets is dependent upon the generation of taxable income in the future. We have recorded a deferred tax asset in jurisdictions where ultimate realization of deferred tax assets is more likely than not to occur.</w:t>
      </w:r>
    </w:p>
    <w:p>
      <w:pPr>
        <w:spacing w:after="0" w:line="147"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We make estimates and judgments about our future taxable income that are based on assumptions that are consistent with our plans and estimates. Should the actual amounts differ from our estimates, the amount of our valuation allowance could be materially impacted. Any adjustment to the deferred tax asset valuation allowance would be recorded in the income statement for the periods in which the adjustment is determined to be required.</w:t>
      </w:r>
    </w:p>
    <w:p>
      <w:pPr>
        <w:spacing w:after="0" w:line="14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We account for uncertainty in income taxes as required by the provisions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clarifies the accounting for uncertainty in income taxes recognized in an enterprise’s financial statements.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is to estimate and measure the tax benefit as the largest amount that is more than 50% likely of being realized upon ultimate settlement. It is inherently difficult and subjective to estimate such amounts, as this requires us to determine the probability of various possible outcomes. We consider many factors when evaluating and estimating our tax positions and tax benefits, which may require periodic adjustments and may not accurately anticipate actual outcomes.</w:t>
      </w:r>
    </w:p>
    <w:p>
      <w:pPr>
        <w:spacing w:after="0" w:line="18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In addition, the use of net operating loss and tax credit carryforwards may be limited under Section 382 of the Internal Revenue Code in certain situations where changes occur in the stock ownership of a company. In the event that we have had a change in ownership, utilization of the carryforwards could be restricted.</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Continuing operations are reported net of the related tax effects and discontinued operations are reported net of related tax effects in the Statement of Operations.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40" w:type="dxa"/>
            <w:vAlign w:val="bottom"/>
            <w:gridSpan w:val="5"/>
          </w:tcPr>
          <w:p>
            <w:pPr>
              <w:jc w:val="right"/>
              <w:ind w:right="1260"/>
              <w:spacing w:after="0"/>
              <w:rPr>
                <w:sz w:val="20"/>
                <w:szCs w:val="20"/>
                <w:color w:val="auto"/>
              </w:rPr>
            </w:pPr>
            <w:r>
              <w:rPr>
                <w:rFonts w:ascii="Arial" w:cs="Arial" w:eastAsia="Arial" w:hAnsi="Arial"/>
                <w:sz w:val="14"/>
                <w:szCs w:val="14"/>
                <w:b w:val="1"/>
                <w:bCs w:val="1"/>
                <w:color w:val="auto"/>
              </w:rPr>
              <w:t>Year Ended</w:t>
            </w:r>
          </w:p>
        </w:tc>
        <w:tc>
          <w:tcPr>
            <w:tcW w:w="8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740" w:type="dxa"/>
            <w:vAlign w:val="bottom"/>
            <w:gridSpan w:val="5"/>
          </w:tcPr>
          <w:p>
            <w:pPr>
              <w:jc w:val="right"/>
              <w:ind w:right="1200"/>
              <w:spacing w:after="0"/>
              <w:rPr>
                <w:sz w:val="20"/>
                <w:szCs w:val="20"/>
                <w:color w:val="auto"/>
              </w:rPr>
            </w:pPr>
            <w:r>
              <w:rPr>
                <w:rFonts w:ascii="Arial" w:cs="Arial" w:eastAsia="Arial" w:hAnsi="Arial"/>
                <w:sz w:val="14"/>
                <w:szCs w:val="14"/>
                <w:b w:val="1"/>
                <w:bCs w:val="1"/>
                <w:color w:val="auto"/>
              </w:rPr>
              <w:t>December 31,</w:t>
            </w:r>
          </w:p>
        </w:tc>
        <w:tc>
          <w:tcPr>
            <w:tcW w:w="23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8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14"/>
                <w:szCs w:val="14"/>
                <w:color w:val="auto"/>
              </w:rPr>
            </w:pPr>
          </w:p>
        </w:tc>
        <w:tc>
          <w:tcPr>
            <w:tcW w:w="136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w w:val="90"/>
              </w:rPr>
              <w:t>$ 2,247,141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88"/>
              </w:rPr>
              <w:t>$ 2,247,141</w:t>
            </w:r>
          </w:p>
        </w:tc>
        <w:tc>
          <w:tcPr>
            <w:tcW w:w="5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6,076,976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5,991,266</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85,710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vMerge w:val="restart"/>
          </w:tcPr>
          <w:p>
            <w:pPr>
              <w:ind w:left="700"/>
              <w:spacing w:after="0"/>
              <w:rPr>
                <w:sz w:val="20"/>
                <w:szCs w:val="20"/>
                <w:color w:val="auto"/>
              </w:rPr>
            </w:pPr>
            <w:r>
              <w:rPr>
                <w:rFonts w:ascii="Arial" w:cs="Arial" w:eastAsia="Arial" w:hAnsi="Arial"/>
                <w:sz w:val="18"/>
                <w:szCs w:val="18"/>
                <w:color w:val="auto"/>
              </w:rPr>
              <w:t>Total operating expenses</w:t>
            </w:r>
          </w:p>
        </w:tc>
        <w:tc>
          <w:tcPr>
            <w:tcW w:w="880" w:type="dxa"/>
            <w:vAlign w:val="bottom"/>
            <w:shd w:val="clear" w:color="auto" w:fill="000000"/>
          </w:tcPr>
          <w:p>
            <w:pPr>
              <w:spacing w:after="0" w:line="20" w:lineRule="exact"/>
              <w:rPr>
                <w:sz w:val="1"/>
                <w:szCs w:val="1"/>
                <w:color w:val="auto"/>
              </w:rPr>
            </w:pPr>
          </w:p>
        </w:tc>
        <w:tc>
          <w:tcPr>
            <w:tcW w:w="4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8,324,117</w:t>
            </w:r>
          </w:p>
        </w:tc>
        <w:tc>
          <w:tcPr>
            <w:tcW w:w="4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5,991,266</w:t>
            </w:r>
          </w:p>
        </w:tc>
        <w:tc>
          <w:tcPr>
            <w:tcW w:w="50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2,332,851</w:t>
            </w:r>
          </w:p>
        </w:tc>
        <w:tc>
          <w:tcPr>
            <w:tcW w:w="50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(8,324,117)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(5,991,266)</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(2,332,851)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1,586,497</w:t>
            </w:r>
          </w:p>
        </w:tc>
        <w:tc>
          <w:tcPr>
            <w:tcW w:w="10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(3,748,800)</w:t>
            </w:r>
          </w:p>
        </w:tc>
        <w:tc>
          <w:tcPr>
            <w:tcW w:w="860" w:type="dxa"/>
            <w:vAlign w:val="bottom"/>
          </w:tcPr>
          <w:p>
            <w:pPr>
              <w:jc w:val="right"/>
              <w:spacing w:after="0"/>
              <w:rPr>
                <w:sz w:val="20"/>
                <w:szCs w:val="20"/>
                <w:color w:val="auto"/>
              </w:rPr>
            </w:pPr>
            <w:r>
              <w:rPr>
                <w:rFonts w:ascii="Arial" w:cs="Arial" w:eastAsia="Arial" w:hAnsi="Arial"/>
                <w:sz w:val="18"/>
                <w:szCs w:val="18"/>
                <w:color w:val="auto"/>
              </w:rPr>
              <w:t>5,335,297</w:t>
            </w:r>
          </w:p>
        </w:tc>
        <w:tc>
          <w:tcPr>
            <w:tcW w:w="5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(6,737,620)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(9,740,066)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$ 3,002,446</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has not commenced commercialization of DCCR, its current sole novel therapeutic product, and accordingly, through December 31, 2016, has generated no revenue in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Research and development expense devoted to continuing operations in the year ended December 31, 2016, consists of approximately $950,000 of salaries and related benefit expenses for employees not directly committed to discontinued research and development efforts, together with indirect expenses of rent, facilities, and consultants that indirectly support the Company’s general research and development efforts. The Company’s research and development expenses incurred during the year ended December 31, 2015, were all directly incurred in discontinued operations and no research and development expense was incurred for continuing operations.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company has not commenced commercialization of DCCR, its current sole novel therapeutic product, and accordingly, through December 31, 2016, has incurred no sales and marketing activities in continuing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General and administrative expense for the year ended December 31, 2016, increased $86,000 compared to the year ended December 31, 2015, due primarily to increases in legal and facilities related expenses of $283,000 and $71,000, respectively, which were partially offset by a reduction in consulting related services and salaries of $240,000 and $45,000,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Of the $3.7 million expense in 2015, $0.2 million was due to the value of the commitment shares of Common Stock issued to Aspire Capital,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$3.1 million was due to the issuance of the Series C Warrants which were treated as an inducement and the change in the fair value of the warrants by $0.5.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income in 2016 primarily represented the decrease in warrants by $1.7 million, offset by $0.1 million of Cease-use expense (see Note 4).</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40"/>
          </w:cols>
          <w:pgMar w:left="240" w:top="459" w:right="3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Discontinued Operations</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Discontinued operations consist of the Company’s activities previously dedicated to the development and commercialization of innovative diagnostics, devices and therapeutics addressing unmet medical needs, which consisted of: precision metering of gas flow technology marketed as Serenz</w:t>
      </w:r>
      <w:r>
        <w:rPr>
          <w:rFonts w:ascii="Arial" w:cs="Arial" w:eastAsia="Arial" w:hAnsi="Arial"/>
          <w:sz w:val="14"/>
          <w:szCs w:val="14"/>
          <w:color w:val="auto"/>
        </w:rPr>
        <w:t>®</w:t>
      </w:r>
      <w:r>
        <w:rPr>
          <w:rFonts w:ascii="Arial" w:cs="Arial" w:eastAsia="Arial" w:hAnsi="Arial"/>
          <w:sz w:val="17"/>
          <w:szCs w:val="17"/>
          <w:color w:val="auto"/>
        </w:rPr>
        <w:t xml:space="preserve"> Allergy Relief, or Serenz; CoSense</w:t>
      </w:r>
      <w:r>
        <w:rPr>
          <w:rFonts w:ascii="Arial" w:cs="Arial" w:eastAsia="Arial" w:hAnsi="Arial"/>
          <w:sz w:val="14"/>
          <w:szCs w:val="14"/>
          <w:color w:val="auto"/>
        </w:rPr>
        <w:t>®</w:t>
      </w:r>
      <w:r>
        <w:rPr>
          <w:rFonts w:ascii="Arial" w:cs="Arial" w:eastAsia="Arial" w:hAnsi="Arial"/>
          <w:sz w:val="17"/>
          <w:szCs w:val="17"/>
          <w:color w:val="auto"/>
        </w:rPr>
        <w:t xml:space="preserve"> End-Tidal Carbon Monoxide (ETCO) Monitor, or CoSense, which measures ETCO and aids in the detection of excessive hemolysis, a condition in which red blood cells degrade rapidly; and, products that included temperature probes, scales, surgical tables and patient surfaces. In March 2017, the Company determined to divest, sell or otherwise dispose of the CoSense, Neo Force, Inc., and Serenz businesses in order to focus on the development and commercialization of novel therapeutics for the treatment of rare diseases. The discontinued operations for the development and commercialization of innovative diagnostic devices and therapeutics are summarized below.</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vMerge w:val="restart"/>
          </w:tcPr>
          <w:p>
            <w:pPr>
              <w:jc w:val="right"/>
              <w:ind w:right="6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5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Percentage</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$ 1,450,788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607,472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843,316</w:t>
            </w: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Cost of goods sold</w:t>
            </w:r>
          </w:p>
        </w:tc>
        <w:tc>
          <w:tcPr>
            <w:tcW w:w="8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1,509,306</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352,683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1,156,623</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(58,518)</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254,789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(313,307)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2,937,662</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4,536,244</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(1,598,582)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1,630,591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1,737,470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(106,879)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659,227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509,672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vMerge w:val="restart"/>
          </w:tcPr>
          <w:p>
            <w:pPr>
              <w:ind w:left="1060"/>
              <w:spacing w:after="0"/>
              <w:rPr>
                <w:sz w:val="20"/>
                <w:szCs w:val="20"/>
                <w:color w:val="auto"/>
              </w:rPr>
            </w:pPr>
            <w:r>
              <w:rPr>
                <w:rFonts w:ascii="Arial" w:cs="Arial" w:eastAsia="Arial" w:hAnsi="Arial"/>
                <w:sz w:val="18"/>
                <w:szCs w:val="18"/>
                <w:color w:val="auto"/>
              </w:rPr>
              <w:t>Total operating expenses</w:t>
            </w:r>
          </w:p>
        </w:tc>
        <w:tc>
          <w:tcPr>
            <w:tcW w:w="8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80" w:type="dxa"/>
            <w:vAlign w:val="bottom"/>
            <w:vMerge w:val="restart"/>
          </w:tcPr>
          <w:p>
            <w:pPr>
              <w:jc w:val="right"/>
              <w:ind w:right="340"/>
              <w:spacing w:after="0"/>
              <w:rPr>
                <w:sz w:val="20"/>
                <w:szCs w:val="20"/>
                <w:color w:val="auto"/>
              </w:rPr>
            </w:pPr>
            <w:r>
              <w:rPr>
                <w:rFonts w:ascii="Arial" w:cs="Arial" w:eastAsia="Arial" w:hAnsi="Arial"/>
                <w:sz w:val="16"/>
                <w:szCs w:val="16"/>
                <w:color w:val="auto"/>
                <w:w w:val="74"/>
              </w:rPr>
              <w:t>)</w:t>
            </w: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5,227,480</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6,423,269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8"/>
              </w:rPr>
              <w:t>(1,195,789</w:t>
            </w:r>
          </w:p>
        </w:tc>
        <w:tc>
          <w:tcPr>
            <w:tcW w:w="480" w:type="dxa"/>
            <w:vAlign w:val="bottom"/>
            <w:vMerge w:val="continue"/>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(Loss) from operations</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(5,285,998)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(6,168,480)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(882,482)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8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(19,896)</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19,896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 from discontinued operations</w:t>
            </w:r>
          </w:p>
        </w:tc>
        <w:tc>
          <w:tcPr>
            <w:tcW w:w="8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9"/>
              </w:rPr>
              <w:t>(5,305,894)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(6,168,480)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862,586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Provision for deferred taxes</w:t>
            </w:r>
          </w:p>
        </w:tc>
        <w:tc>
          <w:tcPr>
            <w:tcW w:w="88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color w:val="auto"/>
              </w:rPr>
              <w:t>21,700</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color w:val="auto"/>
              </w:rPr>
              <w:t>21,700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 effect</w:t>
            </w:r>
          </w:p>
        </w:tc>
        <w:tc>
          <w:tcPr>
            <w:tcW w:w="8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(5,327,594)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(6,168,480)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840,886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During the year ended December 31, 2015, we recognized $220,000 of government grant revenue from a new grant awarded during the second quarter of 2015, and $388,000 of product revenue from sales of CoSense, Precision Sampling Sets and NFI products, of which $279,000 related to NFI products subsequent to the acquisition of NeoForce’s assets in September 2015. During the year ended December 31, 2016, we recognized $1.5 million of product revenue from sales of CoSense, Precision Sampling Sets and NFI products. Revenue increased by $843,000 primarily due to the inclusion of a full year of revenue related to NFI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Research and development expense for the year ended December 31, 2016 decreased by $1.6 million compared to the year ended December 31, 2015, which was primarily due a redirection of research and development toward the continuing operations for the development and commercialization of novel therapeutics for the treatment of rare diseases.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Sales and marketing expense for the year ended December 31, 2016 decreased $107,000 over the year ended December 31, 2015, due to the decrease of direct sales personnel concurrent with signing a distributor agreement with Bemes.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General and administrative expense for the year ended December 31, 2016, increased $509,000 compared to the year ended December 31, 2015, due primarily to increases in salaries together with related benefits and legal expenses of approximately $359,000 and $177,000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Other expense of approximately $20,000 in the year ended December 31, 2016, reflects the change in the fair value of the contingent royalty related to assets acquired in the purchase of NFI.</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On July 24, 2015, we entered into the 2015 Aspire Purchase Agreement with Aspire Capital, which provides that, upon the terms and subject to the conditions and limitations set forth therein, Aspire Capital is committed to purchase up to an aggregate of $10.0 million in value of shares of our Common Stock over the 24-month term of the purchase agreement. During the quarter ended September 30, 2015, we issued an aggregate of 101,317 shares of Common Stock to Aspire Capital in exchange for approximately $1.4 million.</w:t>
      </w:r>
    </w:p>
    <w:p>
      <w:pPr>
        <w:spacing w:after="0" w:line="18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On October 12, 2015, we entered into the 2015 Sabby Purchase Agreement with Sabby to purchase up to $10 million of Series A Convertible Preferred Stock together with related Series D Warrants to purchase shares of our Common Stock. The sale of the Series A Convertible Preferred Stock took place in two separate closings. On October 15, 2015, the date of the first closing, we received proceeds of approximately $4.1 million, net of $0.4 million in estimated expenses. On January 8, 2016, the date of the second closing, we received proceeds of approximately $5 million, net of $0.5 million in estimated expenses.</w:t>
      </w:r>
    </w:p>
    <w:p>
      <w:pPr>
        <w:spacing w:after="0" w:line="15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June 29, 2016, we entered into the 2016 Sabby Purchase Agreement with Sabby, pursuant to which we agreed to sell to Sabby, in a private placement, an aggregate of up to 13,780 shares of our Series B Convertible Preferred Stock at an aggregate purchase price of $13,780,000, which shares are convertible into 2,756,000 shares of our Common Stock, based on a fixed conversion price of $5.00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 2016 Sabby Purchase Agreement, we also repurchased an aggregate of 7,780 shares of Series A Convertible Preferred Stock held by Sabby for an aggregate amount of $7,780,000, which shares were originally purchased by Sabby under the 2015 Sabby Purchase Agreement and which shares represent 841,081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 $0.1 million in estimated expenses. On September 29, 2016, the date of the second closing under the 2016 Sabby Purchase Agreement, the Company received proceeds of approximately $4.4 million, net of $0.3 million in estimated expenses. After the repurchase of the Series A Convertible Preferred Stock and estimated transaction expenses, the Company received approximately $5.6 million of net proceeds.</w:t>
      </w:r>
    </w:p>
    <w:p>
      <w:pPr>
        <w:spacing w:after="0" w:line="16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On December 22, 2016, we entered into the Merger Agreement with Essentialis, Inc.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we held on March 6, 2017, at which we received stockholder approval (see Note 14).</w:t>
      </w:r>
    </w:p>
    <w:p>
      <w:pPr>
        <w:spacing w:after="0" w:line="18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January 27, 2017, we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purchase agreement. Further, on the date of the closing of the financing, as defined in the Merger Agreement, the Company sold to Aspire Capital, and Aspire Capital shall purchase from the Company an aggregate of $2.0 million of the Company’s common stock. On March 7, 2017, we received the $2.0 million from Aspire Capital (see Note 14). The 2017 Aspire Purchase Agreement was terminated upon the closing of the 2017 PIPE.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342" w:lineRule="auto"/>
        <w:rPr>
          <w:sz w:val="20"/>
          <w:szCs w:val="20"/>
          <w:color w:val="auto"/>
        </w:rPr>
      </w:pPr>
      <w:r>
        <w:rPr>
          <w:rFonts w:ascii="Arial" w:cs="Arial" w:eastAsia="Arial" w:hAnsi="Arial"/>
          <w:sz w:val="16"/>
          <w:szCs w:val="16"/>
          <w:color w:val="auto"/>
        </w:rPr>
        <w:t>During the year ended December 31, 2016, the Company implemented plans to reduce its expenses, including reducing its workforce, eliminating outside consultants, reducing legal fees and implementing a plan to allow Board members to receive common stock, in lieu of cash payments.</w:t>
      </w:r>
    </w:p>
    <w:p>
      <w:pPr>
        <w:spacing w:after="0" w:line="124"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At December 31, 2016, we had cash and cash equivalents of $2.7 million, of which $2.3 million is invested in a money market fund at an AAA-rated financial institution.</w:t>
      </w:r>
    </w:p>
    <w:p>
      <w:pPr>
        <w:spacing w:after="0" w:line="17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believe that, based on our current level of operations, our existing cash resources, including the $10 million in financing that we received on March 7, 2017 (see Note 14), will provide adequate funds for ongoing operations, planned capital expenditures and working capital requirements for at least the next 12 months.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expect to incur substantial expenditures in the foreseeable future for the clinical trial, development and potential commercialization of the DCCR product. We may continue to require additional financing to develop our future products and fund operations for the foreseeable future. We will continue to seek funds through equity or debt financings, collaborative or other arrangements with corporate sources, or through other sources of financing. We anticipate that we may need to raise substantial additional capital, the requirements of which will depend on many factors, including:</w:t>
      </w:r>
    </w:p>
    <w:p>
      <w:pPr>
        <w:spacing w:after="0" w:line="77" w:lineRule="exact"/>
        <w:rPr>
          <w:sz w:val="20"/>
          <w:szCs w:val="20"/>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rate of progress in the commercialization of our products and the generation of revenue from product sales;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degree and rate of market acceptance of any products launched by us or future partners;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commercializing our products, including the costs of sales, marketing, and distribution;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developing our anticipated internal sales and marketing capabilities;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preparing to manufacture our products on a larger scale;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30" w:lineRule="exact"/>
        <w:rPr>
          <w:rFonts w:ascii="Arial" w:cs="Arial" w:eastAsia="Arial" w:hAnsi="Arial"/>
          <w:sz w:val="18"/>
          <w:szCs w:val="18"/>
          <w:color w:val="auto"/>
        </w:rPr>
      </w:pPr>
    </w:p>
    <w:p>
      <w:pPr>
        <w:ind w:left="900" w:right="860" w:hanging="325"/>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enter into additional collaboration, licensing, commercialization or other arrangements and the terms and timing of such arrangements;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emergence of competing technologies or other adverse market developments;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cost of clinical trials for DCCR.</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unable to raise additional funds when needed, our ability to complete planned clinical trials and attain commercial success with DCCR, or our other potential novel therapeutic products, may be impaired. We may also be required to delay, reduce, or terminate some or all of our development programs and clinical trials. We may also be required to sell or license to others, technologies or future products or programs that we would prefer to develop and commercialize ourselves.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44" w:lineRule="exact"/>
        <w:rPr>
          <w:sz w:val="20"/>
          <w:szCs w:val="20"/>
          <w:color w:val="auto"/>
        </w:rPr>
      </w:pPr>
    </w:p>
    <w:p>
      <w:pPr>
        <w:jc w:val="center"/>
        <w:ind w:left="6000"/>
        <w:spacing w:after="0"/>
        <w:rPr>
          <w:sz w:val="20"/>
          <w:szCs w:val="20"/>
          <w:color w:val="auto"/>
        </w:rPr>
      </w:pPr>
      <w:r>
        <w:rPr>
          <w:rFonts w:ascii="Arial" w:cs="Arial" w:eastAsia="Arial" w:hAnsi="Arial"/>
          <w:sz w:val="14"/>
          <w:szCs w:val="14"/>
          <w:b w:val="1"/>
          <w:bCs w:val="1"/>
          <w:color w:val="auto"/>
        </w:rPr>
        <w:t>Year Ended</w:t>
      </w:r>
    </w:p>
    <w:p>
      <w:pPr>
        <w:jc w:val="center"/>
        <w:ind w:left="600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0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used in continuing operating activities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(7,260,708)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(5,568,804)</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discontinued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(6,237,272)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(4,730,526)</w:t>
            </w:r>
          </w:p>
        </w:tc>
      </w:tr>
      <w:tr>
        <w:trPr>
          <w:trHeight w:val="230"/>
        </w:trPr>
        <w:tc>
          <w:tcPr>
            <w:tcW w:w="20" w:type="dxa"/>
            <w:vAlign w:val="bottom"/>
          </w:tcPr>
          <w:p>
            <w:pPr>
              <w:spacing w:after="0"/>
              <w:rPr>
                <w:sz w:val="20"/>
                <w:szCs w:val="20"/>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(13,497,980</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(10,299,330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continuing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(14,795)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(59,019)</w:t>
            </w: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used in discontinued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(23,885)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9"/>
              </w:rPr>
              <w:t>(1,261,758)</w:t>
            </w:r>
          </w:p>
        </w:tc>
      </w:tr>
      <w:tr>
        <w:trPr>
          <w:trHeight w:val="27"/>
        </w:trPr>
        <w:tc>
          <w:tcPr>
            <w:tcW w:w="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(38,680)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(1,320,777)</w:t>
            </w: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cash provided by continuing by continuing financing activities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10,768,133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9,157,920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10,768,133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9,157,920</w:t>
            </w:r>
          </w:p>
        </w:tc>
        <w:tc>
          <w:tcPr>
            <w:tcW w:w="120" w:type="dxa"/>
            <w:vAlign w:val="bottom"/>
            <w:shd w:val="clear" w:color="auto" w:fill="CCEEFF"/>
          </w:tcPr>
          <w:p>
            <w:pPr>
              <w:spacing w:after="0"/>
              <w:rPr>
                <w:sz w:val="18"/>
                <w:szCs w:val="18"/>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 from continuing operations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3,492,630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3,530,097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(6,261,157)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(5,992,284)</w:t>
            </w: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Net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(2,768,527</w:t>
            </w:r>
          </w:p>
        </w:tc>
        <w:tc>
          <w:tcPr>
            <w:tcW w:w="300" w:type="dxa"/>
            <w:vAlign w:val="bottom"/>
          </w:tcPr>
          <w:p>
            <w:pPr>
              <w:jc w:val="right"/>
              <w:ind w:right="16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(2,462,187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continuing operating activities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During the year ended December 31, 2016, net cash used in continuing operating activities was $7.3 million, resulting primarily from the net loss from continuing operations of $6.8 million, adjusted for non-cash items consisting primarily of the $1.7 million non-cash income from the change in fair value of warrants and the use of cash for increases in prepaid expenses and other long-term assets and the decrease in accounts payable, which were offset by the $739,000 of non-cash stock-based compensation expense a $534,000 increase in accrued compensation and other liabilities.</w:t>
      </w:r>
    </w:p>
    <w:p>
      <w:pPr>
        <w:spacing w:after="0" w:line="17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During the year ended December 31, 2015, net cash used in continuing operating activities was $5.6 million, resulting primarily from the net loss from continuing operations of $9.7 million, adjusted for the non-cash loss of $516,000 from the change in fair value of warrants, the non-cash expense for the Series C Warrants inducement charge of $3.0 million, $731,000 of non-cash stock based compensation expense, and the use of cash for the increase in accounts payable of $435,000.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continuing 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year ended December 31, 2016, cash was used for the purchases of equipment for continuing investment activities.</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 the year ended December 31, 2015, cash was for the increase in restricted cash for collateral of credit card purchase activity and for purchases of equipment for continuing investing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continuing financing activities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During the year ended December 31, 2016, cash provided by financing activities was $10.8 million, consisting primarily of $5.1 million, net of related issuance costs, and $13.5 million, net of related issuance costs, in proceeds from the issuance of Series A and Series B Convertible Preferred stock, respectively, and the $70,000 proceeds from the sale of common stock for exercised stock options, all of which were partially offset partially by $7.8 million used to repurchase the outstanding Series A Convertible Preferred stock.</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year ended December 31, 2015 cash provided by financing activities was $9.2 million, consisting primarily of $4.2 million in proceeds from issuance of Series A Convertible Preferred stock, $3.9 million form the issuance of Common Stock resulting from the exercise of Series A and B Warrants, issuance of Common Stock to Aspire Capital for $1.4 million and the $294,000 proceeds from the sale of common stock for exercised stock options, all of which were partially offset by payment of $575,000 for IPO and Series B transaction costs of and the $102,000 repayment of the outstanding balance on our line of credit.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80" w:firstLine="456"/>
        <w:spacing w:after="0" w:line="342" w:lineRule="auto"/>
        <w:rPr>
          <w:sz w:val="20"/>
          <w:szCs w:val="20"/>
          <w:color w:val="auto"/>
        </w:rPr>
      </w:pPr>
      <w:r>
        <w:rPr>
          <w:rFonts w:ascii="Arial" w:cs="Arial" w:eastAsia="Arial" w:hAnsi="Arial"/>
          <w:sz w:val="16"/>
          <w:szCs w:val="16"/>
          <w:color w:val="auto"/>
        </w:rPr>
        <w:t>As of December 31, 2016, we had cash and cash equivalents of approximately $2.7 million. We believe that our cash resources, including the $10 million of financing that we received on March 7, 2017 (see Note 14) are sufficient to meet our cash needs for at least the next 12 months.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discontinued operating activities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During the year ended December 31, 2016, the Company used $6.2 million net cash in discontinued operating activities, resulting primarily from the net loss of $5.3 million from discontinued operations adjusted for the additional cash use of reducing accrued compensation and other current liabilities in the amount of $998,000, which was partially offset by $132,000 of non-cash stock-based compensation expense.</w:t>
      </w:r>
    </w:p>
    <w:p>
      <w:pPr>
        <w:spacing w:after="0" w:line="18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During the year ended December 31, 2015, the Company used $4.7 million net cash in discontinued operating activities, resulting primarily from the net loss of $6.2 million, adjusted for the $1.1 million non-cash increase in accrued compensation and other current liabilities and for $211,000 of non-cash stock-based compensation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discontinued investing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year ended December 31, 2016, cash was used for the purchases of equipment for discontinued investment activities.</w:t>
      </w:r>
    </w:p>
    <w:p>
      <w:pPr>
        <w:spacing w:after="0" w:line="22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the year ended December 31, 2015, the company used cash for discontinued investing activities in the amount of $1.0 million to acquire NeoForce and $250,000 to acquire certain patents.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Financing activities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had no financing activities related to discontinued operations in 2016 or 2015.</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As of December 31, 2016, we had net lease obligations totaling $1.7 million, consisting of operating leases for our operating facilities in Redwood City, California. We signed a lease for our current operating facilities at 1235 Radio Road in Redwood City in July 2015, which expires in July of 2019. We had previously signed a sublease for our prior operating facilities at 3 Twin Dolphins Drive in Redwood City, with an expiration date of June 2018.</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80" w:type="dxa"/>
            <w:vAlign w:val="bottom"/>
          </w:tcPr>
          <w:p>
            <w:pPr>
              <w:spacing w:after="0"/>
              <w:rPr>
                <w:sz w:val="10"/>
                <w:szCs w:val="10"/>
                <w:color w:val="auto"/>
              </w:rPr>
            </w:pPr>
          </w:p>
        </w:tc>
        <w:tc>
          <w:tcPr>
            <w:tcW w:w="96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Less than</w:t>
            </w:r>
          </w:p>
        </w:tc>
        <w:tc>
          <w:tcPr>
            <w:tcW w:w="9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1 to 3</w:t>
            </w:r>
          </w:p>
        </w:tc>
        <w:tc>
          <w:tcPr>
            <w:tcW w:w="360" w:type="dxa"/>
            <w:vAlign w:val="bottom"/>
          </w:tcPr>
          <w:p>
            <w:pPr>
              <w:spacing w:after="0" w:line="119" w:lineRule="exact"/>
              <w:rPr>
                <w:sz w:val="20"/>
                <w:szCs w:val="20"/>
                <w:color w:val="auto"/>
              </w:rPr>
            </w:pPr>
            <w:r>
              <w:rPr>
                <w:rFonts w:ascii="Arial" w:cs="Arial" w:eastAsia="Arial" w:hAnsi="Arial"/>
                <w:sz w:val="13"/>
                <w:szCs w:val="13"/>
                <w:b w:val="1"/>
                <w:bCs w:val="1"/>
                <w:color w:val="auto"/>
                <w:w w:val="99"/>
              </w:rPr>
              <w:t>4 to 5</w:t>
            </w:r>
          </w:p>
        </w:tc>
        <w:tc>
          <w:tcPr>
            <w:tcW w:w="260" w:type="dxa"/>
            <w:vAlign w:val="bottom"/>
          </w:tcPr>
          <w:p>
            <w:pPr>
              <w:spacing w:after="0"/>
              <w:rPr>
                <w:sz w:val="10"/>
                <w:szCs w:val="10"/>
                <w:color w:val="auto"/>
              </w:rPr>
            </w:pPr>
          </w:p>
        </w:tc>
        <w:tc>
          <w:tcPr>
            <w:tcW w:w="460" w:type="dxa"/>
            <w:vAlign w:val="bottom"/>
          </w:tcPr>
          <w:p>
            <w:pPr>
              <w:ind w:left="20"/>
              <w:spacing w:after="0" w:line="119" w:lineRule="exact"/>
              <w:rPr>
                <w:sz w:val="20"/>
                <w:szCs w:val="20"/>
                <w:color w:val="auto"/>
              </w:rPr>
            </w:pPr>
            <w:r>
              <w:rPr>
                <w:rFonts w:ascii="Arial" w:cs="Arial" w:eastAsia="Arial" w:hAnsi="Arial"/>
                <w:sz w:val="13"/>
                <w:szCs w:val="13"/>
                <w:b w:val="1"/>
                <w:bCs w:val="1"/>
                <w:color w:val="auto"/>
              </w:rPr>
              <w:t>After 5</w:t>
            </w:r>
          </w:p>
        </w:tc>
        <w:tc>
          <w:tcPr>
            <w:tcW w:w="260" w:type="dxa"/>
            <w:vAlign w:val="bottom"/>
          </w:tcPr>
          <w:p>
            <w:pPr>
              <w:spacing w:after="0"/>
              <w:rPr>
                <w:sz w:val="10"/>
                <w:szCs w:val="10"/>
                <w:color w:val="auto"/>
              </w:rPr>
            </w:pP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728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1 year</w:t>
            </w: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years</w:t>
            </w: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years</w:t>
            </w:r>
          </w:p>
        </w:tc>
        <w:tc>
          <w:tcPr>
            <w:tcW w:w="2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 obligations</w:t>
            </w: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750,118</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964,670</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1,714,788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750,118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964,670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1,714,788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are obligated to make future payments to third parties under in-license agreements, including sublicense fees, royalties, and payments that become due and payable on the achievement of certain development and commercialization milestones. As the amount and timing of sublicense fees and the achievement and timing of these milestones are not probable and estimable, such commitments have not been included on our balance sheet or in the contractual obligations tables above. We are also obligated to make certain payments of deferred compensation to management upon completion of certain types of transactions. As the amount and timing of such payments are not probable and estimable, such commitments have not been included on our balance sheet or in the contractual obligations tables above.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February 28, 2017, we settled the Lawsuit (see Note 14) by agreeing to pay $175,000 for dismissal of the Lawsuit. This amount was recorded as a current liability on the balance sheet as of December 31, 2016 and recognized as general and administrative expense in the statement of operations for the year ended December 31, 2016. The stipulation of dismissal is pending with the court.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2016, we had no off-balance sheet arrangements as defined in Item 303(a)(4) of Regulation S-K as promulgated by the SEC.</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Guidance Update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Recently Issued Accounting Guidance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(see Note 3 for a detailed discussion).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Nine Months Ended September 30, 2017 and 2016</w:t>
      </w:r>
    </w:p>
    <w:p>
      <w:pPr>
        <w:spacing w:after="0" w:line="2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The interim consolidated financial statements included in this prospectus and this Management’s Discussion and Analysis of Financial Condition and Results of Operations should be read in conjunction with the financial statements and notes thereto for the year ended December 31, 2016, and the related Management’s Discussion and Analysis of Financial Condition and Results of Operations, contained in the Company’s Form 10-K for the year ended December 31, 2016 and elsewhere in this Prospectus.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These forward-looking statements are subject to risks and uncertainties, including those set forth in “Risk Factors” and elsewhere in this prospectus that could cause actual results to differ materially from historical results or anticipated results.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20" w:firstLine="456"/>
        <w:spacing w:after="0" w:line="297" w:lineRule="auto"/>
        <w:rPr>
          <w:sz w:val="20"/>
          <w:szCs w:val="20"/>
          <w:color w:val="auto"/>
        </w:rPr>
      </w:pPr>
      <w:r>
        <w:rPr>
          <w:rFonts w:ascii="Arial" w:cs="Arial" w:eastAsia="Arial" w:hAnsi="Arial"/>
          <w:sz w:val="16"/>
          <w:szCs w:val="16"/>
          <w:color w:val="auto"/>
        </w:rPr>
        <w:t>On March 7, 2017, we completed our merger, or the Merger, with Essentialis, Inc., a Delaware corporation, or Essentialis. After the Merger with Essentialis, our primary focus is on the development and commercialization of novel therapeutics for the treatment of rare diseases. Essentialis was a privately-held, clinical stage biotechnology company focused on the development of breakthrough medicines for the treatment of rare metabolic diseases where there is increased mortality and risk of cardiovascular and endocrine complications. Essentialis has been developing Diazoxide Choline Controlled Release, or DCCR, tablets as a treatment for Prader-Willi syndrome, or PWS, a complex neurobehavioral/metabolic disorder.</w:t>
      </w:r>
    </w:p>
    <w:p>
      <w:pPr>
        <w:spacing w:after="0" w:line="158"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color w:val="auto"/>
        </w:rPr>
        <w:t>We sold CoSense, which measures end-tidal carbon monoxide, or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 (see Note 5).</w:t>
      </w:r>
    </w:p>
    <w:p>
      <w:pPr>
        <w:spacing w:after="0" w:line="166"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On December 4, 2017, we, and our wholly-owned subsidiary, Capnia, Inc., a Delaware corporation, or Capnia, entered into a joint venture with OptAsia Healthcare Limited, a Hong Kong company limited by shares, or OAHL, with the purpose of developing and commercializing medical monitors, including the CoSense</w:t>
      </w:r>
      <w:r>
        <w:rPr>
          <w:rFonts w:ascii="Arial" w:cs="Arial" w:eastAsia="Arial" w:hAnsi="Arial"/>
          <w:sz w:val="13"/>
          <w:szCs w:val="13"/>
          <w:color w:val="auto"/>
        </w:rPr>
        <w:t>®</w:t>
      </w:r>
      <w:r>
        <w:rPr>
          <w:rFonts w:ascii="Arial" w:cs="Arial" w:eastAsia="Arial" w:hAnsi="Arial"/>
          <w:sz w:val="16"/>
          <w:szCs w:val="16"/>
          <w:color w:val="auto"/>
        </w:rPr>
        <w:t xml:space="preserve"> End-Tidal Carbon Monoxide (ETCO) Monitor, or CoSense, that measure end-tidal carbon monoxide in breath to assist in the detection of excessive hemolysis in neonates, a condition in which red blood cells degrade rapidly and which can lead to adverse neurological outcomes.</w:t>
      </w:r>
    </w:p>
    <w:p>
      <w:pPr>
        <w:spacing w:after="0" w:line="154"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Our current research and development efforts are primarily focused on advancing our lead candidate, DCCR tablets for the treatment of PWS, into late-stage clinical development.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DCCR tablets consist of the active ingredient diazoxide choline, a choline salt of diazoxide, which is a benzothiadiazine. Once solubilized from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formulation, diazoxide choline is rapidly hydrolyzed to diazoxide prior to absorption. Diazoxide acts by stimulating ion flux through ATP-sensitive K</w:t>
      </w:r>
      <w:r>
        <w:rPr>
          <w:rFonts w:ascii="Arial" w:cs="Arial" w:eastAsia="Arial" w:hAnsi="Arial"/>
          <w:sz w:val="14"/>
          <w:szCs w:val="14"/>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(K</w:t>
      </w:r>
      <w:r>
        <w:rPr>
          <w:rFonts w:ascii="Arial" w:cs="Arial" w:eastAsia="Arial" w:hAnsi="Arial"/>
          <w:sz w:val="13"/>
          <w:szCs w:val="13"/>
          <w:color w:val="auto"/>
        </w:rPr>
        <w:t>ATP</w:t>
      </w:r>
      <w:r>
        <w:rPr>
          <w:rFonts w:ascii="Arial" w:cs="Arial" w:eastAsia="Arial" w:hAnsi="Arial"/>
          <w:sz w:val="16"/>
          <w:szCs w:val="16"/>
          <w:color w:val="auto"/>
        </w:rPr>
        <w:t>) channels. The K</w:t>
      </w:r>
      <w:r>
        <w:rPr>
          <w:rFonts w:ascii="Arial" w:cs="Arial" w:eastAsia="Arial" w:hAnsi="Arial"/>
          <w:sz w:val="13"/>
          <w:szCs w:val="13"/>
          <w:color w:val="auto"/>
        </w:rPr>
        <w:t>ATP</w:t>
      </w:r>
      <w:r>
        <w:rPr>
          <w:rFonts w:ascii="Arial" w:cs="Arial" w:eastAsia="Arial" w:hAnsi="Arial"/>
          <w:sz w:val="16"/>
          <w:szCs w:val="16"/>
          <w:color w:val="auto"/>
        </w:rPr>
        <w:t xml:space="preserve"> channel links the cellular energy status to the membrane potential. Diazoxide appears to act on signs and symptoms of PWS in a</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variety of ways. Agonizing the K</w:t>
      </w:r>
      <w:r>
        <w:rPr>
          <w:rFonts w:ascii="Arial" w:cs="Arial" w:eastAsia="Arial" w:hAnsi="Arial"/>
          <w:sz w:val="13"/>
          <w:szCs w:val="13"/>
          <w:color w:val="auto"/>
        </w:rPr>
        <w:t>ATP</w:t>
      </w:r>
      <w:r>
        <w:rPr>
          <w:rFonts w:ascii="Arial" w:cs="Arial" w:eastAsia="Arial" w:hAnsi="Arial"/>
          <w:sz w:val="16"/>
          <w:szCs w:val="16"/>
          <w:color w:val="auto"/>
        </w:rPr>
        <w:t xml:space="preserve"> channels in the hypothalamus has the potential to address hyperphagia, which is an abnormally increased appetite for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food. Agonizing the channel in GABAergic neurons improves GABA signaling and may reduce aggressive behaviors.</w:t>
      </w:r>
    </w:p>
    <w:p>
      <w:pPr>
        <w:spacing w:after="0" w:line="20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the U.S., diazoxide was first approved in 1973 as an intravenous formulation for the emergency treatment of malignant hypertension. In 1976, immediate-release oral formulations, including Proglycem</w:t>
      </w:r>
      <w:r>
        <w:rPr>
          <w:rFonts w:ascii="Arial" w:cs="Arial" w:eastAsia="Arial" w:hAnsi="Arial"/>
          <w:sz w:val="13"/>
          <w:szCs w:val="13"/>
          <w:color w:val="auto"/>
        </w:rPr>
        <w:t>®</w:t>
      </w:r>
      <w:r>
        <w:rPr>
          <w:rFonts w:ascii="Arial" w:cs="Arial" w:eastAsia="Arial" w:hAnsi="Arial"/>
          <w:sz w:val="16"/>
          <w:szCs w:val="16"/>
          <w:color w:val="auto"/>
        </w:rPr>
        <w:t xml:space="preserve"> Oral Suspension and Capsules, or Proglycem, were approved and there has been nearly 40 years of use of the 2-3 times a day orally-administered drug in the approved indications. In addition to the approved indications for Proglycem, there is also a long history of its chronic use in neonates, infants and children with congenital hyperinsulinism, or CHI, persistent hyperinsulinemic hypoglycemia of infancy, and in adults with insulinoma, which is a tumor of the pancreas that produces excessive amounts of insulin. Insulinoma patients tend to be older, with 50% of them over 70 years old. The average duration of use of Proglycem in CHI and insulinoma patients is 5 years and 7 years, respectively.</w:t>
      </w:r>
    </w:p>
    <w:p>
      <w:pPr>
        <w:spacing w:after="0" w:line="16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it suitable for once-a-day dosing.</w:t>
      </w:r>
    </w:p>
    <w:p>
      <w:pPr>
        <w:spacing w:after="0" w:line="16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PWS is a rare, complex neurobehavioral/metabolic disorder which is due to the absence of normally active paternally expressed genes from the chromosome 15q11-q13 region. PWS is an imprinted condition with 70-75% of the cases due to a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deletion in the paternally inherited chromosome 15 11-q13 region, 20-30% from maternal uniparental disomy 15, or UPD,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3 years and older and 7% in those over 30 years of age. The mean age of death reported from a 40-year mortality study in the U.S. was 29.5 ± 15 years (range: 2 months—67 years).</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80" w:firstLine="456"/>
        <w:spacing w:after="0" w:line="302" w:lineRule="auto"/>
        <w:rPr>
          <w:sz w:val="20"/>
          <w:szCs w:val="20"/>
          <w:color w:val="auto"/>
        </w:rPr>
      </w:pPr>
      <w:r>
        <w:rPr>
          <w:rFonts w:ascii="Arial" w:cs="Arial" w:eastAsia="Arial" w:hAnsi="Arial"/>
          <w:sz w:val="16"/>
          <w:szCs w:val="16"/>
          <w:color w:val="auto"/>
        </w:rPr>
        <w:t>In addition to hyperphagia, which is an abnormally increased appetite for food,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5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Other complications in PWS patients include greater risk for autistic symptomatology, psychosis, sleep disorders, distress, mood lability, food stealing, withdrawal, sulking, nail-biting, hoarding and overeating, and more pronounced attention-deficit hyperactivity disorder symptoms,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16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In May of 2017 we had a scientific advice meeting with the FDA . The FDA supported change in hyperphagia score (without a change in weight) compared to placebo as the primary endpoint for the planned Phase III study. The dosing paradigm proposed for the Phase III study was acceptable. The FDA proposed and we agreed that the duration of the randomized double-blind placebo controlled study should be shorter (3-4 months). Safety information about DCCR could be obtained in a long-term, safety extension study. There was agreement on several other aspects of the study and the overall development program, and additional regulatory input is being sought on others.</w:t>
      </w:r>
    </w:p>
    <w:p>
      <w:pPr>
        <w:spacing w:after="0" w:line="188"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In September 2017, we received scientific advice from the European Medicines Agency (EMA). The EMA, like the FDA, supported the use of change in hyperphagia compared to placebo as the primary endpoint for the study as well as the proposed dosing paradigm.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December 22, 2016, we entered into an Agreement and Plan of Merger, or the Merger Agreement, with Essentialis.</w:t>
      </w:r>
    </w:p>
    <w:p>
      <w:pPr>
        <w:spacing w:after="0" w:line="225"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On March 6, 2017, we held a special stockholder meeting and received approval for the issuance of the merger shares under the Merger Agreement with Essentialis, the issuance of the shares of common stock for the $8 million of concurrent financing and the issuance of the shares of Common Stock for the $2 million investment by Aspire Capital, LLC, or Aspire Capital.</w:t>
      </w:r>
    </w:p>
    <w:p>
      <w:pPr>
        <w:spacing w:after="0" w:line="18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On March 7, 2017, we completed the Merger with Essentialis and issued 3,783,388 shares of Common Stock to stockholders of Essentialis. We held back 182,675 shares of Common Stock as partial recourse to satisfy indemnification claims, and such shares will be issued to Essentialis stockholders on the</w:t>
      </w:r>
    </w:p>
    <w:p>
      <w:pPr>
        <w:spacing w:after="0" w:line="269" w:lineRule="auto"/>
        <w:rPr>
          <w:sz w:val="20"/>
          <w:szCs w:val="20"/>
          <w:color w:val="auto"/>
        </w:rPr>
      </w:pPr>
      <w:r>
        <w:rPr>
          <w:rFonts w:ascii="Arial" w:cs="Arial" w:eastAsia="Arial" w:hAnsi="Arial"/>
          <w:sz w:val="17"/>
          <w:szCs w:val="17"/>
          <w:color w:val="auto"/>
        </w:rPr>
        <w:t>1 year anniversary of the closing of the Merger. We are also obligated to issue an additional 913,389 shares of common stock to Essentialis stockholders upon the achievement of a development milestone. Assuming that we issue all of the shares of our Common Stock held back and the development milestone is achieved, we would issue a total of 4,879,453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we issued 1,666,666 shares of CommonStock for an investment of $8 million from the completion of the concurrent financing and issued 416,666 shares of Common Stock for an investment of $2 million from Aspire Capital.</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During the year ended December 31, 2016 and the nine months ended September 30, 2017, we received $0.1 million and zero, respectively, from the exercise of stock options.</w:t>
      </w:r>
    </w:p>
    <w:p>
      <w:pPr>
        <w:spacing w:after="0" w:line="170"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As of September 30, 2017, we had an accumulated deficit of $109.0 million, primarily as a result of research and development and general and administrative expenses. While we may in the future generate revenue from a variety of sources, potentially including sales of our therapeutic products, license fees, milestone payments, and research and development payments in connection with potential future strategic partnerships, we have, to date, generated revenue only from the 2013 license agreement pertaining to Serenz, $2.2 million in revenue from our neonatology products and $0.2 million in government grants. We may never be successful in commercializing our neonatology products, therapeutic products or in developing additional products. Accordingly, we expect to incur significant losses from operations for the foreseeable future, and there can be no assurance that we will ever generate significant revenue or profits.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On December 4, 2017, we, and our wholly-owned subsidiary, Capnia, Inc., a Delaware corporation, or Capnia, entered into a joint venture with OptAsia Healthcare Limited, a Hong Kong company limited by shares, or OAHL, with the purpose of developing and commercializing medical monitors, including CoSense.</w:t>
      </w:r>
    </w:p>
    <w:p>
      <w:pPr>
        <w:spacing w:after="0" w:line="181" w:lineRule="exact"/>
        <w:rPr>
          <w:sz w:val="20"/>
          <w:szCs w:val="20"/>
          <w:color w:val="auto"/>
        </w:rPr>
      </w:pPr>
    </w:p>
    <w:p>
      <w:pPr>
        <w:ind w:right="180" w:firstLine="456"/>
        <w:spacing w:after="0" w:line="279" w:lineRule="auto"/>
        <w:rPr>
          <w:sz w:val="20"/>
          <w:szCs w:val="20"/>
          <w:color w:val="auto"/>
        </w:rPr>
      </w:pPr>
      <w:r>
        <w:rPr>
          <w:rFonts w:ascii="Arial" w:cs="Arial" w:eastAsia="Arial" w:hAnsi="Arial"/>
          <w:sz w:val="17"/>
          <w:szCs w:val="17"/>
          <w:color w:val="auto"/>
        </w:rPr>
        <w:t>Prior to our entry into the joint venture with OAHL, we also completed the sale of stock of our 100% wholly-owned subsidiary NFI, which was primarily related to our portfolio of neonatology resuscitation business on July 18, 2017, pursuant to a Stock Purchase Agreement, or NFI Purchase Agreement, dated as of July 18, 2017, with NeoForce Holdings, Inc., or NFI Holdings, a 100% owned subsidiary of Flexicare Medical Limited, a privately held United Kingdom company, for $720,000 and adjustments for inventory and the current cash balances held at NFI.</w:t>
      </w:r>
    </w:p>
    <w:p>
      <w:pPr>
        <w:spacing w:after="0" w:line="17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141,666 shares of Common Stock as commitment shares under the 2017 Aspire Purchase Agreement. The 2017 Aspire Purchase Agreement was terminated upon the closing of the 2017 PIPE.</w:t>
      </w:r>
    </w:p>
    <w:p>
      <w:pPr>
        <w:spacing w:after="0" w:line="154"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May 8, 2017, the Company received stockholder approval to amend the Amended and Restate Certificate of Incorporation of the Company, to change the name of the Company to Soleno Therapeutics, Inc.</w:t>
      </w:r>
    </w:p>
    <w:p>
      <w:pPr>
        <w:spacing w:after="0" w:line="17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 The Company sold NFI in a stock transaction that was completed on July 18, 2017, pursuant to a Stock Purchase Agreement with Neoforce Holdings, Inc. a wholly-owned subsidiary of Flexicare Medical Limited, a privately-held United Kingdom company.</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October 6, 2017, the Company effected a one-for-five (1:5) reverse stock split of its then outstanding Common Stock and, accordingly, all common share and per share data are retrospectively restated to give effect of the split for all periods presented herein.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Management does not believe that we have sufficient capital resources to sustain operations through at least the next twelve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Our management’s discussion and analysis of financial condition and results of operations are based upon our unaudited condensed consolidated financial statements, which have been prepared in accordance with GAAP. The preparation of these consolidated financial statements requires us to make estimates and judgments that affect the reported amounts of assets, liabilities, revenues and expenses. On an on-going basis, we evaluate our critical accounting policies and estimates. We base our estimates on historical experience and on various other assumptions that we believe to be reasonable in the circumstances, the results of which form the basis for making judgments about the carrying values of assets and liabilities that are not readily apparent from other sources. Actual results may differ from these estimates under different assumptions and conditions. Our significant accounting policies are more fully described in Note 3 of the accompanying unaudited consolidated condensed financial statements.</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 from continuing operations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1020" w:type="dxa"/>
            <w:vAlign w:val="bottom"/>
            <w:tcBorders>
              <w:top w:val="single" w:sz="8" w:color="auto"/>
            </w:tcBorders>
            <w:gridSpan w:val="3"/>
          </w:tcPr>
          <w:p>
            <w:pPr>
              <w:jc w:val="right"/>
              <w:ind w:right="480"/>
              <w:spacing w:after="0" w:line="142" w:lineRule="exact"/>
              <w:rPr>
                <w:sz w:val="20"/>
                <w:szCs w:val="20"/>
                <w:color w:val="auto"/>
              </w:rPr>
            </w:pPr>
            <w:r>
              <w:rPr>
                <w:rFonts w:ascii="Arial" w:cs="Arial" w:eastAsia="Arial" w:hAnsi="Arial"/>
                <w:sz w:val="14"/>
                <w:szCs w:val="14"/>
                <w:b w:val="1"/>
                <w:bCs w:val="1"/>
                <w:color w:val="auto"/>
                <w:w w:val="98"/>
              </w:rPr>
              <w:t>Amount</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0" w:type="dxa"/>
            <w:vAlign w:val="bottom"/>
            <w:tcBorders>
              <w:top w:val="single" w:sz="8" w:color="auto"/>
            </w:tcBorders>
            <w:gridSpan w:val="3"/>
          </w:tcPr>
          <w:p>
            <w:pPr>
              <w:jc w:val="right"/>
              <w:ind w:right="5"/>
              <w:spacing w:after="0" w:line="142" w:lineRule="exact"/>
              <w:rPr>
                <w:sz w:val="20"/>
                <w:szCs w:val="20"/>
                <w:color w:val="auto"/>
              </w:rPr>
            </w:pPr>
            <w:r>
              <w:rPr>
                <w:rFonts w:ascii="Arial" w:cs="Arial" w:eastAsia="Arial" w:hAnsi="Arial"/>
                <w:sz w:val="14"/>
                <w:szCs w:val="14"/>
                <w:b w:val="1"/>
                <w:bCs w:val="1"/>
                <w:color w:val="auto"/>
              </w:rPr>
              <w:t>(in thousands)</w:t>
            </w:r>
          </w:p>
        </w:tc>
        <w:tc>
          <w:tcPr>
            <w:tcW w:w="6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20"/>
              <w:spacing w:after="0"/>
              <w:rPr>
                <w:sz w:val="20"/>
                <w:szCs w:val="20"/>
                <w:color w:val="auto"/>
              </w:rPr>
            </w:pPr>
            <w:r>
              <w:rPr>
                <w:rFonts w:ascii="Arial" w:cs="Arial" w:eastAsia="Arial" w:hAnsi="Arial"/>
                <w:sz w:val="18"/>
                <w:szCs w:val="18"/>
                <w:color w:val="auto"/>
              </w:rPr>
              <w:t>2,046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1,959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87</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4,900</w:t>
            </w: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368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481</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700"/>
              <w:spacing w:after="0"/>
              <w:rPr>
                <w:sz w:val="20"/>
                <w:szCs w:val="20"/>
                <w:color w:val="auto"/>
              </w:rPr>
            </w:pPr>
            <w:r>
              <w:rPr>
                <w:rFonts w:ascii="Arial" w:cs="Arial" w:eastAsia="Arial" w:hAnsi="Arial"/>
                <w:sz w:val="18"/>
                <w:szCs w:val="18"/>
                <w:color w:val="auto"/>
              </w:rPr>
              <w:t>Loss from operations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(6,972)</w:t>
            </w:r>
          </w:p>
        </w:tc>
        <w:tc>
          <w:tcPr>
            <w:tcW w:w="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(6,491)</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(481)</w:t>
            </w:r>
          </w:p>
        </w:tc>
        <w:tc>
          <w:tcPr>
            <w:tcW w:w="460" w:type="dxa"/>
            <w:vAlign w:val="bottom"/>
            <w:vMerge w:val="continue"/>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Change in fair value of warrants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w w:val="87"/>
              </w:rPr>
              <w:t>(1,324)</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Cease-use expense</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income (expense)</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(576)</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(1,803)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20" w:type="dxa"/>
            <w:vAlign w:val="bottom"/>
            <w:gridSpan w:val="2"/>
            <w:vMerge w:val="continue"/>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(7,593)</w:t>
            </w:r>
          </w:p>
        </w:tc>
        <w:tc>
          <w:tcPr>
            <w:tcW w:w="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(5,316)</w:t>
            </w:r>
          </w:p>
        </w:tc>
        <w:tc>
          <w:tcPr>
            <w:tcW w:w="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(2,284)</w:t>
            </w:r>
          </w:p>
        </w:tc>
        <w:tc>
          <w:tcPr>
            <w:tcW w:w="460" w:type="dxa"/>
            <w:vAlign w:val="bottom"/>
            <w:vMerge w:val="continue"/>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auto"/>
              </w:rPr>
              <w:t>(2,841)</w:t>
            </w:r>
          </w:p>
        </w:tc>
        <w:tc>
          <w:tcPr>
            <w:tcW w:w="2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1,295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Non-operating</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(208)</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vMerge w:val="restart"/>
          </w:tcPr>
          <w:p>
            <w:pPr>
              <w:ind w:left="106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vMerge w:val="continue"/>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(3,049)</w:t>
            </w:r>
          </w:p>
        </w:tc>
        <w:tc>
          <w:tcPr>
            <w:tcW w:w="5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(4,136)</w:t>
            </w:r>
          </w:p>
        </w:tc>
        <w:tc>
          <w:tcPr>
            <w:tcW w:w="4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1,087</w:t>
            </w:r>
          </w:p>
        </w:tc>
        <w:tc>
          <w:tcPr>
            <w:tcW w:w="460" w:type="dxa"/>
            <w:vAlign w:val="bottom"/>
            <w:vMerge w:val="continue"/>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(10,642)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(9,452)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7"/>
              </w:rPr>
              <w:t>(1,190)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nine months ended September 30,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nine months ended September 30,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820" w:firstLine="456"/>
        <w:spacing w:after="0" w:line="277" w:lineRule="auto"/>
        <w:rPr>
          <w:sz w:val="20"/>
          <w:szCs w:val="20"/>
          <w:color w:val="auto"/>
        </w:rPr>
      </w:pPr>
      <w:r>
        <w:rPr>
          <w:rFonts w:ascii="Arial" w:cs="Arial" w:eastAsia="Arial" w:hAnsi="Arial"/>
          <w:sz w:val="18"/>
          <w:szCs w:val="18"/>
          <w:color w:val="auto"/>
        </w:rPr>
        <w:t>Research and development expense in the nine months ended September 30, 2017, increased $87,000 as compared to the nine months ended September 30, 2016. The decrease was primarily due to reduction in headcount.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Sales and marketing expense, which consisted primarily of costs incurred in the United Kingdom, in the nine months ended September 30, 2017, increased $26,000 over the nine months ended September 30, 2016, primarily due to the cessation of sales of Serenz in the United Kingdom.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920" w:firstLine="456"/>
        <w:spacing w:after="0" w:line="308" w:lineRule="auto"/>
        <w:rPr>
          <w:sz w:val="20"/>
          <w:szCs w:val="20"/>
          <w:color w:val="auto"/>
        </w:rPr>
      </w:pPr>
      <w:r>
        <w:rPr>
          <w:rFonts w:ascii="Arial" w:cs="Arial" w:eastAsia="Arial" w:hAnsi="Arial"/>
          <w:sz w:val="17"/>
          <w:szCs w:val="17"/>
          <w:color w:val="auto"/>
        </w:rPr>
        <w:t>General and administrative expense in the nine months ended September 30, 2017, increased $368,000 compared to the nine months ended September 30, 2016, due primarily to expense for amortizing intangible assets acquired in the Essentialis acquisition.</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Interest and other income/(expense) in the nine months ended September 30, 2017, decreased $1.8 million to net interest and other expense of $602,000 in the nine months ended September 30, 2017, compared to net interest and other income of approximately $1.2 million in the nine months ended September 30, 2016, due primarily to the $1.324 million decline in the fair value of warrants between the two comparative periods and from the expense of $600 resulting from the value assigned to the commitment shares issued to Aspire Capital in January 2017 (see Note 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 from continuing operations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Pr>
          <w:p>
            <w:pPr>
              <w:spacing w:after="0"/>
              <w:rPr>
                <w:sz w:val="14"/>
                <w:szCs w:val="14"/>
                <w:color w:val="auto"/>
              </w:rPr>
            </w:pPr>
          </w:p>
        </w:tc>
        <w:tc>
          <w:tcPr>
            <w:tcW w:w="1920" w:type="dxa"/>
            <w:vAlign w:val="bottom"/>
            <w:gridSpan w:val="4"/>
          </w:tcPr>
          <w:p>
            <w:pPr>
              <w:ind w:left="20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w w:val="98"/>
              </w:rPr>
              <w:t>Amount</w:t>
            </w:r>
          </w:p>
        </w:tc>
        <w:tc>
          <w:tcPr>
            <w:tcW w:w="6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Percentage</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80" w:type="dxa"/>
            <w:vAlign w:val="bottom"/>
            <w:tcBorders>
              <w:bottom w:val="single" w:sz="8" w:color="CCEEFF"/>
            </w:tcBorders>
          </w:tcPr>
          <w:p>
            <w:pPr>
              <w:spacing w:after="0"/>
              <w:rPr>
                <w:sz w:val="12"/>
                <w:szCs w:val="12"/>
                <w:color w:val="auto"/>
              </w:rPr>
            </w:pPr>
          </w:p>
        </w:tc>
        <w:tc>
          <w:tcPr>
            <w:tcW w:w="13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660" w:type="dxa"/>
            <w:vAlign w:val="bottom"/>
            <w:tcBorders>
              <w:top w:val="single" w:sz="8" w:color="auto"/>
              <w:bottom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bottom w:val="single" w:sz="8" w:color="auto"/>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982</w:t>
            </w: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708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274</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106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2,689</w:t>
            </w: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1,968</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721</w:t>
            </w:r>
          </w:p>
        </w:tc>
        <w:tc>
          <w:tcPr>
            <w:tcW w:w="500" w:type="dxa"/>
            <w:vAlign w:val="bottom"/>
            <w:vMerge w:val="continue"/>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Loss from operations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(2,689)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(1,968)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(721)</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42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9"/>
                <w:szCs w:val="19"/>
                <w:color w:val="auto"/>
              </w:rPr>
            </w:pPr>
          </w:p>
        </w:tc>
        <w:tc>
          <w:tcPr>
            <w:tcW w:w="68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Other income (expense)</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Loss from continuing operations</w:t>
            </w: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00" w:type="dxa"/>
            <w:vAlign w:val="bottom"/>
            <w:gridSpan w:val="2"/>
            <w:vMerge w:val="continue"/>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(2,551)</w:t>
            </w:r>
          </w:p>
        </w:tc>
        <w:tc>
          <w:tcPr>
            <w:tcW w:w="3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(1,777)</w:t>
            </w:r>
          </w:p>
        </w:tc>
        <w:tc>
          <w:tcPr>
            <w:tcW w:w="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(774)</w:t>
            </w:r>
          </w:p>
        </w:tc>
        <w:tc>
          <w:tcPr>
            <w:tcW w:w="500" w:type="dxa"/>
            <w:vAlign w:val="bottom"/>
            <w:vMerge w:val="continue"/>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3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340"/>
              <w:spacing w:after="0"/>
              <w:rPr>
                <w:sz w:val="20"/>
                <w:szCs w:val="20"/>
                <w:color w:val="auto"/>
              </w:rPr>
            </w:pPr>
            <w:r>
              <w:rPr>
                <w:rFonts w:ascii="Arial" w:cs="Arial" w:eastAsia="Arial" w:hAnsi="Arial"/>
                <w:sz w:val="18"/>
                <w:szCs w:val="18"/>
                <w:color w:val="auto"/>
              </w:rPr>
              <w:t>Operating</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(973)</w:t>
            </w:r>
          </w:p>
        </w:tc>
        <w:tc>
          <w:tcPr>
            <w:tcW w:w="10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(54)</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Non-operating</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(208)</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vMerge w:val="restart"/>
          </w:tcPr>
          <w:p>
            <w:pPr>
              <w:ind w:left="1060"/>
              <w:spacing w:after="0"/>
              <w:rPr>
                <w:sz w:val="20"/>
                <w:szCs w:val="20"/>
                <w:color w:val="auto"/>
              </w:rPr>
            </w:pPr>
            <w:r>
              <w:rPr>
                <w:rFonts w:ascii="Arial" w:cs="Arial" w:eastAsia="Arial" w:hAnsi="Arial"/>
                <w:sz w:val="18"/>
                <w:szCs w:val="18"/>
                <w:color w:val="auto"/>
              </w:rPr>
              <w:t>Total</w:t>
            </w:r>
          </w:p>
        </w:tc>
        <w:tc>
          <w:tcPr>
            <w:tcW w:w="1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(1,235)</w:t>
            </w:r>
          </w:p>
        </w:tc>
        <w:tc>
          <w:tcPr>
            <w:tcW w:w="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(973)</w:t>
            </w:r>
          </w:p>
        </w:tc>
        <w:tc>
          <w:tcPr>
            <w:tcW w:w="5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(262)</w:t>
            </w:r>
          </w:p>
        </w:tc>
        <w:tc>
          <w:tcPr>
            <w:tcW w:w="500" w:type="dxa"/>
            <w:vAlign w:val="bottom"/>
            <w:vMerge w:val="continue"/>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(3,786)</w:t>
            </w: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1"/>
              </w:rPr>
              <w:t>(1,036)</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three months ended September 30,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7"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During the quarter, the business component associated with sales of Serenz was determined to meet the criteria as a discontinued operations and, accordingly, operating activities for the Serenz product component is reported in Discontinued Operations for the three months ended September 30, 2017, and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80" w:firstLine="456"/>
        <w:spacing w:after="0" w:line="264" w:lineRule="auto"/>
        <w:rPr>
          <w:sz w:val="20"/>
          <w:szCs w:val="20"/>
          <w:color w:val="auto"/>
        </w:rPr>
      </w:pPr>
      <w:r>
        <w:rPr>
          <w:rFonts w:ascii="Arial" w:cs="Arial" w:eastAsia="Arial" w:hAnsi="Arial"/>
          <w:sz w:val="18"/>
          <w:szCs w:val="18"/>
          <w:color w:val="auto"/>
        </w:rPr>
        <w:t>Research and development expense in the three months ended September 30, 2017 increased $274,000 compared to the three months ended September 30, 2016. The increase was due primarily to expenditures for clinical services to advance DCCR development and legal fees associated with intellectual property related to DCCR.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780" w:firstLine="456"/>
        <w:spacing w:after="0" w:line="308" w:lineRule="auto"/>
        <w:rPr>
          <w:sz w:val="20"/>
          <w:szCs w:val="20"/>
          <w:color w:val="auto"/>
        </w:rPr>
      </w:pPr>
      <w:r>
        <w:rPr>
          <w:rFonts w:ascii="Arial" w:cs="Arial" w:eastAsia="Arial" w:hAnsi="Arial"/>
          <w:sz w:val="17"/>
          <w:szCs w:val="17"/>
          <w:color w:val="auto"/>
        </w:rPr>
        <w:t>No sales and marketing expenses were reported in continuing operations during the three months ended September 30, 2017, and 2016 as the Company’s remaining sales operations are related to the Serenz product, which is included in discontinued operations.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860" w:firstLine="456"/>
        <w:spacing w:after="0" w:line="342" w:lineRule="auto"/>
        <w:rPr>
          <w:sz w:val="20"/>
          <w:szCs w:val="20"/>
          <w:color w:val="auto"/>
        </w:rPr>
      </w:pPr>
      <w:r>
        <w:rPr>
          <w:rFonts w:ascii="Arial" w:cs="Arial" w:eastAsia="Arial" w:hAnsi="Arial"/>
          <w:sz w:val="16"/>
          <w:szCs w:val="16"/>
          <w:color w:val="auto"/>
        </w:rPr>
        <w:t>General and administrative expense in the three months ended September 30, 2017 increased $447,000 compared to the three months ended September 30, 2016, due primarily to the expense of amortizing intangible assets acquired in the Essentialis merger completed in March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 net</w:t>
      </w:r>
    </w:p>
    <w:p>
      <w:pPr>
        <w:spacing w:after="0" w:line="117"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Interest and other expense, net in the three months ended September 30, 2017 decreased $53,000 compared to the three months ended September 30, 2016, due primarily to the change in the fair value of the Series A warrants.</w:t>
      </w:r>
    </w:p>
    <w:p>
      <w:pPr>
        <w:spacing w:after="0" w:line="279" w:lineRule="exact"/>
        <w:rPr>
          <w:sz w:val="20"/>
          <w:szCs w:val="20"/>
          <w:color w:val="auto"/>
        </w:rPr>
      </w:pPr>
    </w:p>
    <w:p>
      <w:pPr>
        <w:ind w:right="3260"/>
        <w:spacing w:after="0" w:line="375" w:lineRule="auto"/>
        <w:rPr>
          <w:sz w:val="20"/>
          <w:szCs w:val="20"/>
          <w:color w:val="auto"/>
        </w:rPr>
      </w:pPr>
      <w:r>
        <w:rPr>
          <w:rFonts w:ascii="Arial" w:cs="Arial" w:eastAsia="Arial" w:hAnsi="Arial"/>
          <w:sz w:val="18"/>
          <w:szCs w:val="18"/>
          <w:b w:val="1"/>
          <w:bCs w:val="1"/>
          <w:i w:val="1"/>
          <w:iCs w:val="1"/>
          <w:color w:val="auto"/>
        </w:rPr>
        <w:t>Comparison of the three and nine months ended September 30, 2017, and 2016, from discontinued operations Revenue</w:t>
      </w:r>
    </w:p>
    <w:p>
      <w:pPr>
        <w:spacing w:after="0" w:line="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During the nine months ended September 30, 2017, and 2016, the Company’s revenues were generated by product sales for the CoSense, Precision Sampling Sets, Serenz, and NFI, whose product portfolio consists of neonatology resuscitation devices. These medical device products are associated with operations discontinued by the Company and sales have declined as the Company has focused its efforts sell or otherwise monetize these operations. Sales by the Company of the NFI products ceased in July 2017 when the Company sold NFI to Holdings (see Note 5).</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17"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Cost of product revenue has declined in relation to the decrease in sales activity, and resulting decrease in revenue, for the CoSense, Precision Sampling Sets, Serenz, and NFI products for which sales have declined as the Company has focused effort sell or otherwise monetize these discontinued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960" w:firstLine="456"/>
        <w:spacing w:after="0" w:line="342" w:lineRule="auto"/>
        <w:rPr>
          <w:sz w:val="20"/>
          <w:szCs w:val="20"/>
          <w:color w:val="auto"/>
        </w:rPr>
      </w:pPr>
      <w:r>
        <w:rPr>
          <w:rFonts w:ascii="Arial" w:cs="Arial" w:eastAsia="Arial" w:hAnsi="Arial"/>
          <w:sz w:val="16"/>
          <w:szCs w:val="16"/>
          <w:color w:val="auto"/>
        </w:rPr>
        <w:t>Research and development expense related to the CoSense, Precision Sampling Sets and NFI products, whose products are has declined as development efforts have been redirected by the Company to its therapeutic product, DCCR, into late-stage clinical development.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w:t>
      </w:r>
    </w:p>
    <w:p>
      <w:pPr>
        <w:spacing w:after="0" w:line="11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Sales and marketing expense, which consisted primarily of expenses incurred in the United Kingdom with efforts associated with the Company’s sales effort for its discontinued Serenz products rimarily due to the cessation of sales of Serenz in the United Kingdom and the reduction of sales of all medical device products in the United States.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General and administrative expense associated with discontinued development and sale of medical device products reflects additional legal and professional expenses associated with efforts to reduce operations of medical device products and actively focus on efforts to sell or otherwise monetize thse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and expense associated with discontinued operations has been nominal in the periods reported.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sale of assets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In July 2017 the Company completed the sale of stock of its wholly-owned subsidiary, NFI. The Company recorded a loss on the sale in the amount of $208,000 as the net book value of assets sold in the amount of $1.185 million exceeded the total proceeds of $977,000 (see Note 5).</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primary sources and uses of cash and cash equivalents for each of the periods presented below:</w:t>
      </w:r>
    </w:p>
    <w:p>
      <w:pPr>
        <w:spacing w:after="0" w:line="244" w:lineRule="exact"/>
        <w:rPr>
          <w:sz w:val="20"/>
          <w:szCs w:val="20"/>
          <w:color w:val="auto"/>
        </w:rPr>
      </w:pPr>
    </w:p>
    <w:p>
      <w:pPr>
        <w:jc w:val="center"/>
        <w:ind w:left="6680"/>
        <w:spacing w:after="0"/>
        <w:rPr>
          <w:sz w:val="20"/>
          <w:szCs w:val="20"/>
          <w:color w:val="auto"/>
        </w:rPr>
      </w:pPr>
      <w:r>
        <w:rPr>
          <w:rFonts w:ascii="Arial" w:cs="Arial" w:eastAsia="Arial" w:hAnsi="Arial"/>
          <w:sz w:val="14"/>
          <w:szCs w:val="14"/>
          <w:b w:val="1"/>
          <w:bCs w:val="1"/>
          <w:color w:val="auto"/>
        </w:rPr>
        <w:t>Nine Months Ended</w:t>
      </w:r>
    </w:p>
    <w:p>
      <w:pPr>
        <w:jc w:val="center"/>
        <w:ind w:left="66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5"/>
          </w:tcPr>
          <w:p>
            <w:pPr>
              <w:jc w:val="right"/>
              <w:ind w:right="371"/>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cash used in continuing operating activities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(4,641)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discontinued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(2,577)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(7,218)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(10,809)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continuing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Net cash used in discontinued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continuing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10,000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10,768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discontinued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10,768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Continuing operations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(1,862)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(4,870)</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During the nine months ended September 30, 2017, operating activities used net cash of approximately $4.6 million, which was primarily due to the use of funds resulting in the operating loss of $7.6 million, partially offset by non-cash expenses which were primarily $1.0 million of non-cash amortization and depreciation, approximately $855,000 of non-cash stock compensation expense, approximately $600,000 of non-cash expense for issuing shares to Aspire Capital, and approximately $200 thousand non-cash expense for board member fees paid with shares of the Company’s stock.</w:t>
      </w:r>
    </w:p>
    <w:p>
      <w:pPr>
        <w:spacing w:after="0" w:line="17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During the nine months ended September 30, 2016, net cash used in operating activities was $6.0 million, which was due primarily to the use of funds resulting in the operating loss of approximately $5.3 million, including costs incurred to launch Serenz in the E.U. and excluding the non-cash income of $1.3 million from change in fair value of warrants, all of which were partially offset by approximately $560,000 of non-cash expense for stock-based compensation expense.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During the nine months ended September 30, 2017, we used $577,000 for investing activities resulting from $573,000 expenses incurred resulting from our merger with Essentialis and for the purchase of property and equipment in the amount of $4,000.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During the Nine months ended September 30, 2017, cash provided by financing activities was $10 million resulting from the completion of the concurrent financing associated with the Essentialis merger.</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During the nine months ended September 30, 2016, cash provided by financing activities was $10.8 million resulting from the second close under the 2015 Sabby Purchase Agreement and from the first and second close under the 2016 Sabby Purchase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1,666,666 shares of common stock for an investment of $8 million from the completion of the concurrent financing and issued 416,666 shares of common stock for an investment of $2 million from Aspire Capital.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The Company had cash and cash equivalents of approximately $5.6 million.</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do not believe that we have sufficient capital resources to sustain operations through at least the next twelve months from the date of this filing.The Company expects to continue incurring losses for the foreseeable future and may be required to raise additional capital to pursue its therapeutic product development initiatives. These conditions raise substantial doubt about the Company’s ability to continue as a going concern for a period of twelve months from the date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cash used in operating activities for the nine months ended September 30, 2017 totaled $2.6 million compared to $4.9 million for the nine months ended September 30, 2016 representing a decrease of $2.3 million. The decrease was primarily due to the lower comparative level of operating activities for the discontinued operations which resulted in lower cash requirements during the first half of 2017.</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Net cash provided by investing activities for the nine months ended September 30, 2017 totaled $716,000 compared to net cash used of $17,000 for investing activities in the nine months ended September 30, 2016, resulting primarily from the sale of the NFI operations in July 2017 which eliminated operating expenditures from that activity and for cash proceeds of $862,000 from the sale collected prior to September 30, 2017.</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financing activities related to discontinued operations during either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459" w:right="2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primary focus is on the development and commercialization of novel therapeutics for the treatment of rare diseases. We are developing DCCR as a treatment for Prader Willi Syndrome, or PWS, a complex metabolic/neurobehavioral disorder. Our current research and development efforts are primarily focused on advancing our DCCR tablets into late-stage clinical development.</w:t>
      </w:r>
    </w:p>
    <w:p>
      <w:pPr>
        <w:spacing w:after="0" w:line="14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Since December 2017, we have, through our joint venture with OAHL, continued to operate Capnia for the development and commercialization of Capnia’s Sensalyze technology, which includes the CoSense ETCO monitor that assists in the detection of excessive hemolysis in neonates, and other related products. We continue to separately evaluate options for our Serenz product portfolio.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Diazoxide Choline Controlled-Release Tablets</w:t>
      </w:r>
    </w:p>
    <w:p>
      <w:pPr>
        <w:spacing w:after="0" w:line="121"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DCCR tablets consist of the active ingredient diazoxide choline, the choline salt of diazoxide, which is a benzothiadiazine. Once solubilized from the formulation, diazoxide choline is rapidly hydrolyzed to diazoxide prior to absorption. Diazoxide acts by stimulating ion flux through ATP-sensitive K+ channels (K</w:t>
      </w:r>
      <w:r>
        <w:rPr>
          <w:rFonts w:ascii="Arial" w:cs="Arial" w:eastAsia="Arial" w:hAnsi="Arial"/>
          <w:sz w:val="14"/>
          <w:szCs w:val="14"/>
          <w:color w:val="auto"/>
        </w:rPr>
        <w:t>ATP</w:t>
      </w:r>
      <w:r>
        <w:rPr>
          <w:rFonts w:ascii="Arial" w:cs="Arial" w:eastAsia="Arial" w:hAnsi="Arial"/>
          <w:sz w:val="17"/>
          <w:szCs w:val="17"/>
          <w:color w:val="auto"/>
        </w:rPr>
        <w:t>). The K</w:t>
      </w:r>
      <w:r>
        <w:rPr>
          <w:rFonts w:ascii="Arial" w:cs="Arial" w:eastAsia="Arial" w:hAnsi="Arial"/>
          <w:sz w:val="14"/>
          <w:szCs w:val="14"/>
          <w:color w:val="auto"/>
        </w:rPr>
        <w:t>ATP</w:t>
      </w:r>
      <w:r>
        <w:rPr>
          <w:rFonts w:ascii="Arial" w:cs="Arial" w:eastAsia="Arial" w:hAnsi="Arial"/>
          <w:sz w:val="17"/>
          <w:szCs w:val="17"/>
          <w:color w:val="auto"/>
        </w:rPr>
        <w:t xml:space="preserve"> channel links the cellular energy status to the membrane potential. Diazoxide appears to act on signs and symptoms of PWS in a variety of ways. Agonizing the K</w:t>
      </w:r>
      <w:r>
        <w:rPr>
          <w:rFonts w:ascii="Arial" w:cs="Arial" w:eastAsia="Arial" w:hAnsi="Arial"/>
          <w:sz w:val="14"/>
          <w:szCs w:val="14"/>
          <w:color w:val="auto"/>
        </w:rPr>
        <w:t>ATP</w:t>
      </w:r>
      <w:r>
        <w:rPr>
          <w:rFonts w:ascii="Arial" w:cs="Arial" w:eastAsia="Arial" w:hAnsi="Arial"/>
          <w:sz w:val="17"/>
          <w:szCs w:val="17"/>
          <w:color w:val="auto"/>
        </w:rPr>
        <w:t xml:space="preserve"> channel in the hypothalamus has the potential to address hyperphagia, which is an abnormally increased appetite for food. Agonizing the channel in GABAergic neurons improves GABA signaling and may reduce aggressive behaviors.</w:t>
      </w:r>
    </w:p>
    <w:p>
      <w:pPr>
        <w:spacing w:after="0" w:line="13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U.S., diazoxide was first approved in 1973 as an intravenous formulation for the emergency treatment of malignant hypertension. In 1976, immediate-release oral formulations, including Proglycem</w:t>
      </w:r>
      <w:r>
        <w:rPr>
          <w:rFonts w:ascii="Arial" w:cs="Arial" w:eastAsia="Arial" w:hAnsi="Arial"/>
          <w:sz w:val="15"/>
          <w:szCs w:val="15"/>
          <w:color w:val="auto"/>
        </w:rPr>
        <w:t>®</w:t>
      </w:r>
      <w:r>
        <w:rPr>
          <w:rFonts w:ascii="Arial" w:cs="Arial" w:eastAsia="Arial" w:hAnsi="Arial"/>
          <w:sz w:val="18"/>
          <w:szCs w:val="18"/>
          <w:color w:val="auto"/>
        </w:rPr>
        <w:t xml:space="preserve"> Oral Suspension and Capsules, or Proglycem, were approved and there has been nearly 40 years of use of the 2-3 times a day orally-administered drug in the approved indications. In addition to the short-term use (&lt;3 months) in the approved indications for Proglycem, there are also extensive data on chronic use in children with congenital hyperinsulinism, or CI, and in adults with insulinoma. Insulinoma patients tend to be older, with 50% of them over 70 years old. The average duration of use of Proglycem in CI and insulinoma patients is 5 years and 7 years, respectively.</w:t>
      </w:r>
    </w:p>
    <w:p>
      <w:pPr>
        <w:spacing w:after="0" w:line="153"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DCCR tablets were formulated with the goals of improving the safety and bioavailability of orally-administered diazoxide and reducing the frequency of daily dosing required by current diazoxide formulations. Diazoxide choline is formulated into a controlled-release tablet that lowers peak plasma concentration compared to diazoxide oral suspension and slows release of diazoxide from DCCR, making it suitable for once-a-day dosing. The control of release and absorption of diazoxide achieved using DCCR results in very level and consistent intraday circulating drug levels, and consistent levels of diazoxide in tissues that are the site of action of the drug (the hypothalamus). In circulation, diazoxide is extensively protein bound. Only unbound diazoxide is active. The consistent absorption of diazoxide may also result in some level of disequilibrium in protein binding, potentiating the therapeutic response to treatment. The controlled rate of absorption, level intraday circulating drug levels and the disequilibrium in protein binding likely results in the potential for improved therapeutic response to treatment.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Prader Willi Syndrome</w:t>
      </w:r>
    </w:p>
    <w:p>
      <w:pPr>
        <w:spacing w:after="0" w:line="11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 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to 1 in 25,000 live births. The mortality rate among PWS patients is 3% a year across all ages and 7% in those over 30 years of age. The mean age of death reported from a 40-year mortality study in the U.S. was 29.5 ± 15 years (range: 2 months - 67 years).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and destroying property, throwing temper tantrums and directing rage or anger at others.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The reported rates of psychotic symptoms, between 6% and 28%, are higher than those for individuals with other intellectual disabilities.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mental retardation range with a mean IQ in the 60s to low 70s. The combination of food-related preoccupations and numerous maladaptive behaviors makes it difficult for individuals with PWS to perform to their IQ potential.</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Unmet Medical Needs in PWS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target indication for DCCR is the treatment of PWS. Currently, the only approved treatment related to PWS is growth hormone, which only addresses the short stature and limits the accumulation of visceral fat, reduces hypotonia, may reduce cognitive impairment, but has no effect on hyperphagia. A global patient survey conducted by the Foundation for Prader-Willi Research (n=779), found that 96.5% of respondents rated reducing hunger and 91.2% rated improving behavior around food as very important or most important symptom to be relieved by a new treatment. Physical function and body composition symptoms for which a high percentage of respondents indicated were very important or most important included: 92.9% indicated improving metabolic health (reduces fat / increases muscle) and 81.3% indicated the related symptom of improves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 See the Foundation for Prader-Willi Research. Prader-Willi Syndrome “Patient Voices” Online Survey and Results.</w:t>
      </w:r>
    </w:p>
    <w:p>
      <w:pPr>
        <w:spacing w:after="0" w:line="182" w:lineRule="exact"/>
        <w:rPr>
          <w:sz w:val="20"/>
          <w:szCs w:val="20"/>
          <w:color w:val="auto"/>
        </w:rPr>
      </w:pPr>
    </w:p>
    <w:p>
      <w:pPr>
        <w:ind w:right="700" w:firstLine="456"/>
        <w:spacing w:after="0" w:line="342" w:lineRule="auto"/>
        <w:rPr>
          <w:sz w:val="20"/>
          <w:szCs w:val="20"/>
          <w:color w:val="auto"/>
        </w:rPr>
      </w:pPr>
      <w:r>
        <w:rPr>
          <w:rFonts w:ascii="Arial" w:cs="Arial" w:eastAsia="Arial" w:hAnsi="Arial"/>
          <w:sz w:val="16"/>
          <w:szCs w:val="16"/>
          <w:color w:val="auto"/>
        </w:rPr>
        <w:t>Therefore, there is a clear unmet need in the treatment of PWS to reduce hyperphagia and improve behaviors around food, and to reduce other behavioral and cognitive impacts of this complex disease. In addition, improving metabolic health is also an important unmet need.</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 of DCCR for PWS</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A Phase II clinical trial has been conducted to evaluate the safety and preliminary efficacy if DCCR in the treatment of PWS subjects. This study, PC025, was a single-center, randomized withdrawal study and enrolled 13 overweight and obese subjects with genetically-confirmed PWS who were between the ages of 11 and 21. The first phase of the study was open label during which subjects were initiated on a DCCR dose that was escalated every 14 days at the discretion of the investigator. Any subject who showed an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 Responders were randomized in a 1:1 ratio either to continue on active treatment at the dose they were treated with, or to the placebo equivalent of that dose for an additional 4 weeks. Of the 13 subjects who enrolled, 11 were designated as responders; the remaining two subjects had discontinued prematurely.</w:t>
      </w:r>
    </w:p>
    <w:p>
      <w:pPr>
        <w:spacing w:after="0" w:line="17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Key efficacy results included a statistically significant reduction was seen in hyperphagia from baseline to the end of the open-label treatment phase. In addition, greater improvement in hyperphagia from baseline was observed in those subjects with moderate to severe hyperphagia who received DCCR doses of 4.2 mg/kg (the planned population and target dose for the Phase III study). There was a significant improvement in the number of subjects reporting one or more aggressive and destructive behaviors was seen.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Safety of DCCR in the Treatment of PWS</w:t>
      </w:r>
    </w:p>
    <w:p>
      <w:pPr>
        <w:spacing w:after="0" w:line="117"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 adverse events were common medical complications of PWS including ear and respiratory infections, hypersomnia, peripheral edema, skin picking and constipation. The most common adverse events that occurred during the study included peripheral edema, hyperglycemia, impaired glucose tolerance, upper respiratory tract infections, ear infection, headache, somnolence, constipation, and bruises.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Status of DCCR for the Treatment of PWS</w:t>
      </w:r>
    </w:p>
    <w:p>
      <w:pPr>
        <w:spacing w:after="0" w:line="11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DCCR is being developed in the U.S. under a current IND, and is designated as an Orphan Product. We announced the successful completion of a scientific advice meeting with FDA on July 5, 2017. On September 25, 2017 we announced the receipt of scientific advice from the European Medicines Agency, or EMA. On October 12, 2017, we announced the receipt of a positive opinion from the Committee for Orphan Medicinal Products (COMP) of the EMA recommending DCCR for designation as an orphan medicinal product for the treatment of PWS. The designation has subsequently been granted.</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 estimated 300,000 to 400,000 individuals worldwide have PWS. An overall prevalence ranging from 1:15,000 to 1:25,000 has been reported regardless of geography or ethnicity. The numbers of identified PWS patients is growing at a rate that is higher than the rate of general population because of improved rates of diagnosis. We anticipate that DCCR could be the first effective treatment for hyperphagia in PWS to reach the market both in the U.S. and Europe, and would therefore be likely to be used in a large proportion of patients.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Newly diagnosed PWS patients tend to be treated by a multi-disciplinary team led by a pediatric endocrinologist. Many patients receive care at larger clinics devoted to PWS in university associated hospitals or at children’s hospitals. This concentration of care allows us to consider marketing DCCR without a partner by assembling a small, dedicated salesforce to target the limited number of major PWS treatment centers in the U.S. In contrast to the situation in the U.S., we are likely to need to identify a marketing partner for DCCR in Europe, Japan, and the rest of the world.</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Pricing</w:t>
      </w:r>
    </w:p>
    <w:p>
      <w:pPr>
        <w:spacing w:after="0" w:line="117" w:lineRule="exact"/>
        <w:rPr>
          <w:sz w:val="20"/>
          <w:szCs w:val="20"/>
          <w:color w:val="auto"/>
        </w:rPr>
      </w:pPr>
    </w:p>
    <w:p>
      <w:pPr>
        <w:ind w:right="300" w:firstLine="456"/>
        <w:spacing w:after="0" w:line="342" w:lineRule="auto"/>
        <w:rPr>
          <w:sz w:val="20"/>
          <w:szCs w:val="20"/>
          <w:color w:val="auto"/>
        </w:rPr>
      </w:pPr>
      <w:r>
        <w:rPr>
          <w:rFonts w:ascii="Arial" w:cs="Arial" w:eastAsia="Arial" w:hAnsi="Arial"/>
          <w:sz w:val="16"/>
          <w:szCs w:val="16"/>
          <w:color w:val="auto"/>
        </w:rPr>
        <w:t>We have not conducted a formal pricing analysis of DCCR in PWS. We anticipate that pricing at launch may be influenced by the product label negotiated with the FDA, pharmacoeconomic data developed to support pricing and the potential for greater sales under negotiated government contracts.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Currently, the only approved products for PWS are Genotropin</w:t>
      </w:r>
      <w:r>
        <w:rPr>
          <w:rFonts w:ascii="Arial" w:cs="Arial" w:eastAsia="Arial" w:hAnsi="Arial"/>
          <w:sz w:val="15"/>
          <w:szCs w:val="15"/>
          <w:color w:val="auto"/>
        </w:rPr>
        <w:t>®</w:t>
      </w:r>
      <w:r>
        <w:rPr>
          <w:rFonts w:ascii="Arial" w:cs="Arial" w:eastAsia="Arial" w:hAnsi="Arial"/>
          <w:sz w:val="18"/>
          <w:szCs w:val="18"/>
          <w:color w:val="auto"/>
        </w:rPr>
        <w:t xml:space="preserve"> (somatropin), and Omnitrope</w:t>
      </w:r>
      <w:r>
        <w:rPr>
          <w:rFonts w:ascii="Arial" w:cs="Arial" w:eastAsia="Arial" w:hAnsi="Arial"/>
          <w:sz w:val="15"/>
          <w:szCs w:val="15"/>
          <w:color w:val="auto"/>
        </w:rPr>
        <w:t>®</w:t>
      </w:r>
      <w:r>
        <w:rPr>
          <w:rFonts w:ascii="Arial" w:cs="Arial" w:eastAsia="Arial" w:hAnsi="Arial"/>
          <w:sz w:val="18"/>
          <w:szCs w:val="18"/>
          <w:color w:val="auto"/>
        </w:rPr>
        <w:t xml:space="preserv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Levo Therapeutics, Inc., Alizé Pharma SAS, Zafgen, Inc., Rhythm Pharmaceuticals, Inc., Saniona AB, Insys Therapeutics, Inc., and GLWL Research, Inc.</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80"/>
          </w:cols>
          <w:pgMar w:left="240" w:top="459"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for CoSense</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December 2017, we entered into a joint venture with OAHL with respect to our CoSense product by selling shares of Capnia, our previously wholly owned subsidiary, to OAHL. CoSense was our first Sensalyze Technology Platform product to receive 510(k) clearance from the FDA and CE Mark certification. CoSense measures CO, which can be elevated due to endogenous causes such as excessive breakdown of red blood cells, or hemolysis, or exogenous causes such as CO poisoning and smoke inhalation. The first target market for CoSense is for the use of ETCO measurements to aid in detection of hemolysis in neonates, a disorder in which CO and bilirubin are produced in excess as byproducts of the breakdown of red blood cells. Our entry into the joint venture is part of a comprehensive review of strategic alternatives for our legacy products and product candidates following our transition to a primarily therapeutic drug product company. As part of the joint venture, Anthony Wondka, our former Senior Vice President, Research and Development, transitioned to a full-time employee of Capnia. Going forward, OAHL will be responsible for funding the operations of Capnia.</w:t>
      </w:r>
    </w:p>
    <w:p>
      <w:pPr>
        <w:spacing w:after="0" w:line="5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On May 8, 2017, we received stockholder approval to amend the Amended and Restate Certificate of Incorporation of the Company, to change the name of the Company to Soleno Therapeutics,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Pharmaceuticals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manufacturing strategy is to contract with third parties to manufacture our clinical and commercial API and drug product supplies.</w:t>
      </w:r>
    </w:p>
    <w:p>
      <w:pPr>
        <w:spacing w:after="0" w:line="225"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The formulation and processes used to manufacture our products are proprietary, being covered by multiple issued U.S. patents and counterparts in other regions of the world, and we have agreements with various third-party manufacturers that are intended to restrict these manufacturers from using or revealing any unpublished proprietary information.</w:t>
      </w:r>
    </w:p>
    <w:p>
      <w:pPr>
        <w:spacing w:after="0" w:line="181"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Our third-party manufacturers and corporate partners are independent entities who are subject to their own operational and financial risks over which we have no control. If we or any of these third-party manufacturers fail to perform as required, this could cause delays in our clinical trials and regulatory applications and submission.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Medical Devices</w:t>
      </w:r>
    </w:p>
    <w:p>
      <w:pPr>
        <w:spacing w:after="0" w:line="117"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We have manufactured the Serenz device in partnership with an OEM supplier based in Shenzhen, China and have the possibility of manufacturing future supply with this same OEM supplier and utilize to complete the final packaging and labeling of Serenz for future supplies.</w:t>
      </w:r>
    </w:p>
    <w:p>
      <w:pPr>
        <w:spacing w:after="0" w:line="14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Our joint venture with OAHL requires us to support Capnia in the manufacture of CoSense monitors at our facility in Redwood City, California. We assemble components for our joint venture from a variety of original equipment manufacturer, or OEM, sources.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Regulation of Pharmaceutical Manufacturing Processes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manufacturing process for pharmaceutical products is highly regulated and regulators may shut down manufacturing facilities that they believe do not comply with regulations. We and our third-party manufacturers are subject to current Good Manufacturing Practices, which are extensive regulations governing manufacturing processes, stability testing, record keeping and quality standards as defined by the FDA and the EMA. Similar regulations and requirements are in effect in other countries.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DCCR Patent Portfolio</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Our patent portfolio surrounding DCCR consists of five issued U.S. patents, one allowed U.S. patent and 10 pending U.S. applications. Our issued U.S. patents (no.’s 7,572,789, 7,799,777, 9,381,202, 9,757,384, and 9,782,416) expire in 2026 to 2035. We also have one or more issued patents covering the product in the E.U., Canada, Japan, China, India, Hong Kong and Australia, and numerous patent applications being prosecuted at the national level in all major pharma markets around the world. The issued patents and pending patent applications include protection of:</w:t>
      </w:r>
    </w:p>
    <w:p>
      <w:pPr>
        <w:spacing w:after="0" w:line="77"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large family of salts including diazoxide choline, the active ingredient in DCCR and all pharmaceutical formulations of those salts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Specific polymorphs (specific crystalline forms) of salts of diazoxide and all pharmaceutical formulations of those polymorphs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Methods of manufacture of diazoxide choline and specific crystalline forms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DCCR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Methods to treat obese, overweight and obesity-prone individuals with DCCR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Pharmaceutical formulations of diazoxide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Methods to treat various diseases including a number of aspects of PWS and other rare diseases with diazoxide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Methods to treat various rare diseases including PWS with K</w:t>
      </w:r>
      <w:r>
        <w:rPr>
          <w:rFonts w:ascii="Arial" w:cs="Arial" w:eastAsia="Arial" w:hAnsi="Arial"/>
          <w:sz w:val="15"/>
          <w:szCs w:val="15"/>
          <w:color w:val="auto"/>
        </w:rPr>
        <w:t>ATP</w:t>
      </w:r>
      <w:r>
        <w:rPr>
          <w:rFonts w:ascii="Arial" w:cs="Arial" w:eastAsia="Arial" w:hAnsi="Arial"/>
          <w:sz w:val="18"/>
          <w:szCs w:val="18"/>
          <w:color w:val="auto"/>
        </w:rPr>
        <w:t xml:space="preserve"> channel agonists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 Pharmaceuticals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Our operations and activities are subject to extensive regulation by government authorities in the United States and in other countries in which we elect to develop and/or commercialize our products. Our developmental drug products are subject to rigorous regulation. Federal and state statutes and regulations govern the testing, manufacture, safety, efficacy, labeling, storage, record keeping, approval, advertising and promotion of our products. As a result of these regulations, product development and product approval processes are very expensive and time consuming.</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459" w:right="2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A country’s regulatory agency, such as the FDA in the United States, or a region’s agency, such as the EMA for the European Union, must approve a drug before it can be sold in the respective country or countries. The general process for drug approval in the United States is summarized below. Many other countries, including countries in the European Union and Japan, have very similar regulatory approval processes.</w:t>
      </w:r>
    </w:p>
    <w:p>
      <w:pPr>
        <w:spacing w:after="0" w:line="20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Nonclinical Testing</w:t>
      </w:r>
    </w:p>
    <w:p>
      <w:pPr>
        <w:spacing w:after="0" w:line="117" w:lineRule="exact"/>
        <w:rPr>
          <w:sz w:val="20"/>
          <w:szCs w:val="20"/>
          <w:color w:val="auto"/>
        </w:rPr>
      </w:pPr>
    </w:p>
    <w:p>
      <w:pPr>
        <w:ind w:right="340" w:firstLine="456"/>
        <w:spacing w:after="0" w:line="312" w:lineRule="auto"/>
        <w:rPr>
          <w:sz w:val="20"/>
          <w:szCs w:val="20"/>
          <w:color w:val="auto"/>
        </w:rPr>
      </w:pPr>
      <w:r>
        <w:rPr>
          <w:rFonts w:ascii="Arial" w:cs="Arial" w:eastAsia="Arial" w:hAnsi="Arial"/>
          <w:sz w:val="16"/>
          <w:szCs w:val="16"/>
          <w:color w:val="auto"/>
        </w:rPr>
        <w:t>Before a drug candidate in can be tested in humans, it must be studied in laboratory experiments and in animals to generate data to support the drug candidate’s potential benefits and/or safety. Additional nonclinical testing may be required during the clinical development process such as reproductive toxicology and juvenile toxicology studies. Carcinogencity studies in 2 species are generally required for products intended for long-term use.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Investigational New Drug Exemption Application (IND)</w:t>
      </w:r>
    </w:p>
    <w:p>
      <w:pPr>
        <w:spacing w:after="0" w:line="117"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results of initial nonclinical tests, together with manufacturing information, analytical data and a proposed clinical trial protocol and other information, are submitted as part of an IND to the FDA. If the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These clinical trials involve three separate phases that often overlap, can take many years and are very expensive. These three phases, which are subject to considerable regulation, are as follows:</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Phase I Studies</w:t>
      </w:r>
      <w:r>
        <w:rPr>
          <w:rFonts w:ascii="Arial" w:cs="Arial" w:eastAsia="Arial" w:hAnsi="Arial"/>
          <w:sz w:val="18"/>
          <w:szCs w:val="18"/>
          <w:color w:val="auto"/>
        </w:rPr>
        <w:t>. During Phase I studies, researchers test a new drug in normal volunteers who are healthy. In most cases, 20 to 80 healthy volunteers or</w:t>
      </w:r>
      <w:r>
        <w:rPr>
          <w:rFonts w:ascii="Arial" w:cs="Arial" w:eastAsia="Arial" w:hAnsi="Arial"/>
          <w:sz w:val="18"/>
          <w:szCs w:val="18"/>
          <w:i w:val="1"/>
          <w:iCs w:val="1"/>
          <w:color w:val="auto"/>
        </w:rPr>
        <w:t xml:space="preserve"> </w:t>
      </w:r>
      <w:r>
        <w:rPr>
          <w:rFonts w:ascii="Arial" w:cs="Arial" w:eastAsia="Arial" w:hAnsi="Arial"/>
          <w:sz w:val="18"/>
          <w:szCs w:val="18"/>
          <w:color w:val="auto"/>
        </w:rPr>
        <w:t>people with the disease/condition participate in Phase 1. Phase I studies are closely monitored and gather information about how a drug interacts with the human body. Researchers adjust dosing schemes based on animal data to find out how much of a drug the body can tolerate and what its acute side effects are. As a Phase I trial continues, researchers answer research questions related to how it works in the body, the side effects associated with increased dosage, and early information about how effective it is to determine how best to administer the drug to limit risks and maximize possible benefits. This is important to the design of Phase 2 studies.</w:t>
      </w:r>
    </w:p>
    <w:p>
      <w:pPr>
        <w:spacing w:after="0" w:line="19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i w:val="1"/>
          <w:iCs w:val="1"/>
          <w:color w:val="auto"/>
        </w:rPr>
        <w:t>Phase II Studies</w:t>
      </w:r>
      <w:r>
        <w:rPr>
          <w:rFonts w:ascii="Arial" w:cs="Arial" w:eastAsia="Arial" w:hAnsi="Arial"/>
          <w:sz w:val="18"/>
          <w:szCs w:val="18"/>
          <w:color w:val="auto"/>
        </w:rPr>
        <w:t>. In Phase II studies, researchers administer the drug to a group of patients with the disease or condition for which the drug is being</w:t>
      </w:r>
      <w:r>
        <w:rPr>
          <w:rFonts w:ascii="Arial" w:cs="Arial" w:eastAsia="Arial" w:hAnsi="Arial"/>
          <w:sz w:val="18"/>
          <w:szCs w:val="18"/>
          <w:i w:val="1"/>
          <w:iCs w:val="1"/>
          <w:color w:val="auto"/>
        </w:rPr>
        <w:t xml:space="preserve"> </w:t>
      </w:r>
      <w:r>
        <w:rPr>
          <w:rFonts w:ascii="Arial" w:cs="Arial" w:eastAsia="Arial" w:hAnsi="Arial"/>
          <w:sz w:val="18"/>
          <w:szCs w:val="18"/>
          <w:color w:val="auto"/>
        </w:rPr>
        <w:t>developed. Typically involving up to a few hundred patients, these studies aren’t large enough to show whether the drug will be beneficial. Instead, Phase II studies provide researchers with additional safety data. Researchers use these data to refine research questions, develop research methods, and design new Phase III research protocols.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Phase III Studies</w:t>
      </w:r>
      <w:r>
        <w:rPr>
          <w:rFonts w:ascii="Arial" w:cs="Arial" w:eastAsia="Arial" w:hAnsi="Arial"/>
          <w:sz w:val="18"/>
          <w:szCs w:val="18"/>
          <w:color w:val="auto"/>
        </w:rPr>
        <w:t>. Researchers design Phase 3 studies to demonstrate whether or not a product offers a treatment benefit to a specific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Sometimes known as pivotal studies, these studies generally involve a larger number of participants than do Phase II studies. Phase III studies provide most of the safety data. In Phase II studies, it is possible that less common side effects might have gone undetected. Because these studies are larger and longer in duration, the results are more likely to show long-term or rare side effects</w:t>
      </w:r>
    </w:p>
    <w:p>
      <w:pPr>
        <w:spacing w:after="0" w:line="18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For each clinical trial, an independent IRB or independent ethics committee (IEC), covering each site proposing to conduct a clinical trial must review and approve the plan for any clinical trial and informed consent information for subjects before the trial commences at that site and it must monitor the study until completed. The FDA, other heath authority, the IRB/IEC, or the sponsor may suspend a clinical trial at any time on various grounds, including a finding that the subjects or patients are being exposed to an unacceptable health risk or for failure to comply with the IRB/IEC’s requirements, or may impose other conditions.</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302" w:lineRule="auto"/>
        <w:rPr>
          <w:sz w:val="20"/>
          <w:szCs w:val="20"/>
          <w:color w:val="auto"/>
        </w:rPr>
      </w:pPr>
      <w:r>
        <w:rPr>
          <w:rFonts w:ascii="Arial" w:cs="Arial" w:eastAsia="Arial" w:hAnsi="Arial"/>
          <w:sz w:val="16"/>
          <w:szCs w:val="16"/>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When we believe that the data from our clinical trials show an adequate level of safety and efficacy, we would intend to submit an application to market the drug for a particular use, an NDA or BLA with the FDA. The FDA may hold a public hearing where an independent advisory committee of expert advisors asks additional questions and makes recommendations regarding the drug candidate. This committee makes recommendations to the FDA that are not binding but are generally followed by the FDA. If the FDA agrees that the compound has met the required level of safety and efficacy for a particular use, it will allow the drug product to be marketed in the United States and sold for that use. It is not unusual, however, for the FDA to reject an application because it believes that the risks of the drug candidate outweigh the purported benefit or because it does not believe that the data submitted are reliable or conclusive. The FDA may also issue a Complete Response Letter, or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73" w:lineRule="exact"/>
        <w:rPr>
          <w:sz w:val="20"/>
          <w:szCs w:val="20"/>
          <w:color w:val="auto"/>
        </w:rPr>
      </w:pPr>
    </w:p>
    <w:p>
      <w:pPr>
        <w:ind w:right="340" w:firstLine="456"/>
        <w:spacing w:after="0" w:line="297" w:lineRule="auto"/>
        <w:rPr>
          <w:sz w:val="20"/>
          <w:szCs w:val="20"/>
          <w:color w:val="auto"/>
        </w:rPr>
      </w:pPr>
      <w:r>
        <w:rPr>
          <w:rFonts w:ascii="Arial" w:cs="Arial" w:eastAsia="Arial" w:hAnsi="Arial"/>
          <w:sz w:val="16"/>
          <w:szCs w:val="16"/>
          <w:color w:val="auto"/>
        </w:rPr>
        <w:t>The FDA may also require Phase 4 non-registrational studies to explore scientific questions to further characterize safety and efficacy during commercial use of our drug. The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the FDA approves a drug, it could limit the uses of the drug. The FDA can withdraw approvals if it does not believe that we are complying with regulatory standards or if problems are uncovered or occur after approval.</w:t>
      </w:r>
    </w:p>
    <w:p>
      <w:pPr>
        <w:spacing w:after="0" w:line="15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addition to obtaining FDA approval for each drug, we obtain FDA approval of the manufacturing facilities for companies who manufacture our drugs for us. These facilities are subject to periodic inspections by the FDA. The FDA must also approve foreign establishments that manufacture products to be sold in the United States and these facilities are subject to periodic regulatory inspection.</w:t>
      </w:r>
    </w:p>
    <w:p>
      <w:pPr>
        <w:spacing w:after="0" w:line="181" w:lineRule="exact"/>
        <w:rPr>
          <w:sz w:val="20"/>
          <w:szCs w:val="20"/>
          <w:color w:val="auto"/>
        </w:rPr>
      </w:pPr>
    </w:p>
    <w:p>
      <w:pPr>
        <w:ind w:right="80" w:firstLine="456"/>
        <w:spacing w:after="0" w:line="271" w:lineRule="auto"/>
        <w:rPr>
          <w:sz w:val="20"/>
          <w:szCs w:val="20"/>
          <w:color w:val="auto"/>
        </w:rPr>
      </w:pPr>
      <w:r>
        <w:rPr>
          <w:rFonts w:ascii="Arial" w:cs="Arial" w:eastAsia="Arial" w:hAnsi="Arial"/>
          <w:sz w:val="17"/>
          <w:szCs w:val="17"/>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Ongoing Regulation</w:t>
      </w:r>
    </w:p>
    <w:p>
      <w:pPr>
        <w:spacing w:after="0" w:line="117"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w:t>
      </w:r>
    </w:p>
    <w:p>
      <w:pPr>
        <w:spacing w:after="0" w:line="181" w:lineRule="exact"/>
        <w:rPr>
          <w:sz w:val="20"/>
          <w:szCs w:val="20"/>
          <w:color w:val="auto"/>
        </w:rPr>
      </w:pPr>
    </w:p>
    <w:p>
      <w:pPr>
        <w:ind w:right="140" w:firstLine="456"/>
        <w:spacing w:after="0" w:line="297" w:lineRule="auto"/>
        <w:rPr>
          <w:sz w:val="20"/>
          <w:szCs w:val="20"/>
          <w:color w:val="auto"/>
        </w:rPr>
      </w:pPr>
      <w:r>
        <w:rPr>
          <w:rFonts w:ascii="Arial" w:cs="Arial" w:eastAsia="Arial" w:hAnsi="Arial"/>
          <w:sz w:val="16"/>
          <w:szCs w:val="16"/>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 Accordingly, manufacturers must continue to expend time, money, and effort in the area of production and quality control to maintain cGMP or QSR compliance.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60"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refusal of the FDA to approve pending applications or supplements to approved applications, or suspension or revocation of product approvals;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9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Manufacturers may not promote a drug that is still under development and has not been approved by the FDA. The FDA and other agencies actively enforce the laws and regulations prohibiting the promotion of off label uses, and a company that is found to have improperly promoted off label uses may be subject to significant liability.</w:t>
      </w:r>
    </w:p>
    <w:p>
      <w:pPr>
        <w:spacing w:after="0" w:line="148"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the FDA and may be eligible for accelerated and priority review.</w:t>
      </w:r>
    </w:p>
    <w:p>
      <w:pPr>
        <w:spacing w:after="0" w:line="14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Drugs that are developed for rare diseases (i.e., in the U.S., the disease or condition has an prevalence of &lt; 200,000 persons; in the EU, the prevalence of the condition must be not more than 5 in 10,000) can be designated as Orphan Drugs.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61"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Drugs are also subject to extensive regulation outside of the United States. In the European Union, there is a centralized approval procedure that authorizes marketing of a product in all countries of the European Union through a single application and review process. If this centralized approval procedure is not used, approval in one country of the European Union can be used to obtain approval in another country of the European Union under one of two simplified application processes: the mutual recognition procedure or the decentralized procedure, both of which rely on the principle of mutual recognition. After receiving regulatory approval through any of the European registration procedures, separate pricing and reimbursement approvals are also required in most countries. The European Union also has requirements for approval of manufacturing facilities for all products that are approved for sale by the European regulatory authorities.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Medical Devices</w:t>
      </w:r>
    </w:p>
    <w:p>
      <w:pPr>
        <w:spacing w:after="0" w:line="121"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In the U.S., any instrument, apparatus, implement, machine, contrivance, implant, in vitro reagent, or other similar or related article, including any component, part, or accessory, which is intended for use in the diagnosis of disease or other conditions, or in the cure, mitigation, treatment, or prevention of disease which does not achieve its primary intended purposes through chemical action within or on the body of man or other animals and which is not dependent upon being metabolized for the achievement of its primary intended purposes is regulated by the FDA as medical devices under the Federal Food, Drug, and Cosmetic Act, or FFDCA. The process for the regulatory approval of Serenz in the US has yet to commence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Government Regulations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Advertising of our commercial products are subject to regulation by the Federal Trade Commission, or FTC, under the FTC Act. The FTC Act prohibits unfair or deceptive acts or practices in or affecting commerce. Violations of the FTC Act, such as failure to have substantiation for product claims, would subject us to a variety of enforcement actions, including compulsory process, cease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desist orders and injunctions, which can require, among other things, limits on advertising, corrective advertising, consumer redress and restitution, as well as substantial fines or other penalties. Any enforcement actions by the FTC could have a material adverse effect our business.</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HIPAA and Other Privacy Laws</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HIPAA, established for the first-time comprehensive protection for the privacy and security of health information. The HIPAA standards apply to three types of organizations, or “Covered Entities”: health plans, healthcare clearing houses, and healthcare providers which conduct certain healthcare transactions electronically. Covered Entities and their Business Associates must have in place administrative, physical, and technical standards to guard against the misuse of individually identifiable health information. Because we are a healthcare provider and we conduct certain healthcare transactions electronically, we are presently a Covered Entity, and we must have in place the administrative, physical, and technical safeguards required by HIPAA, HITECH and their implementing regulations. Additionally, some state laws impose privacy protections more stringent than HIPAA. Most of the institutions and physicians from which we obtain biological specimens that we use in our research and validation work are Covered Entities and must obtain proper authorization from their patients for the subsequent use of those samples and associated clinical information. We may perform future activities that may implicate HIPAA, such as providing clinical laboratory testing services or entering into specific kinds of relationships with a Covered Entity or a Business Associate of a Covered Entity.</w:t>
      </w:r>
    </w:p>
    <w:p>
      <w:pPr>
        <w:spacing w:after="0" w:line="195"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88"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activities must also comply with other applicable privacy laws. For example, there are also international privacy laws that impose restrictions on the access, use, and disclosure of health information. All of these laws may impact our business. Our failure to comply with these privacy laws or significant changes in the laws restricting our ability to obtain tissue samples and associated patient information could significantly impact our business and our future business plans.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and State Billing and Fraud and Abuse Laws</w:t>
      </w:r>
    </w:p>
    <w:p>
      <w:pPr>
        <w:spacing w:after="0" w:line="225"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i w:val="1"/>
          <w:iCs w:val="1"/>
          <w:color w:val="auto"/>
        </w:rPr>
        <w:t>Antifraud Laws/Overpayments</w:t>
      </w:r>
      <w:r>
        <w:rPr>
          <w:rFonts w:ascii="Arial" w:cs="Arial" w:eastAsia="Arial" w:hAnsi="Arial"/>
          <w:sz w:val="18"/>
          <w:szCs w:val="18"/>
          <w:color w:val="auto"/>
        </w:rPr>
        <w:t>. As participants in federal and state healthcare programs, we are subject to numerous federal and state antifraud and</w:t>
      </w:r>
      <w:r>
        <w:rPr>
          <w:rFonts w:ascii="Arial" w:cs="Arial" w:eastAsia="Arial" w:hAnsi="Arial"/>
          <w:sz w:val="18"/>
          <w:szCs w:val="18"/>
          <w:i w:val="1"/>
          <w:iCs w:val="1"/>
          <w:color w:val="auto"/>
        </w:rPr>
        <w:t xml:space="preserve"> </w:t>
      </w:r>
      <w:r>
        <w:rPr>
          <w:rFonts w:ascii="Arial" w:cs="Arial" w:eastAsia="Arial" w:hAnsi="Arial"/>
          <w:sz w:val="18"/>
          <w:szCs w:val="18"/>
          <w:color w:val="auto"/>
        </w:rPr>
        <w:t>abuse laws. Many of these antifraud laws are broad in scope, and neither the courts nor government agencies have extensively interpreted these laws. Prohibitions under some of these laws include:</w:t>
      </w:r>
    </w:p>
    <w:p>
      <w:pPr>
        <w:spacing w:after="0" w:line="87"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submission of false claims or false information to government programs;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deceptive or fraudulent conduct;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excessive or unnecessary services or services at excessive prices;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prohibitions in defrauding private sector health insurers.</w:t>
      </w:r>
    </w:p>
    <w:p>
      <w:pPr>
        <w:spacing w:after="0" w:line="22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We could be subject to substantial penalties for violations of these laws, including denial of payment and refunds, suspension of payments from Medicare, Medicaid or other federal healthcare programs and exclusion from participation in the federal healthcare programs, as well as civil monetary and criminal penalties and imprisonment. One of these statutes, the False Claims Act, is a key enforcement tool used by the government to combat healthcare fraud. The False Claims Act imposes liability on any person who, among other things, knowingly presents, or causes to be presented, a false or fraudulent claim for payment by a federal healthcare program. In addition, violations of the federal physician self-referral laws, such as the Stark laws discussed below, may also violate false claims laws. Liability under the False Claims Act can result in treble damages and imposition of penalties. For example, we could be subject to penalties of $5,500 to $11,000 per false claim, and each use of our product could potentially be part of a different claim submitted to the government. Separately, the HHS office of the Office of Inspector General, or OIG, can exclude providers found liable under the False Claims Act from participating in federally funded healthcare programs, including Medicare. The steep penalties that may be imposed on laboratories and other providers under this statute may be disproportionate to the relatively small dollar amounts of the claims made by these providers for reimbursement. In addition, even the threat of being excluded from participation in federal healthcare programs can have significant financial consequences on a provider.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Numerous federal and state agencies enforce the antifraud and abuse laws. In addition, private insurers may also bring private actions. In some circumstances, private whistleblowers are authorized to bring fraud suits on behalf of the government against providers and are entitled to receive a portion of any final recovery.</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Federal and State “Self-Referral” and “Anti-Kickback” Restrictions</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Self-Referral law</w:t>
      </w:r>
      <w:r>
        <w:rPr>
          <w:rFonts w:ascii="Arial" w:cs="Arial" w:eastAsia="Arial" w:hAnsi="Arial"/>
          <w:sz w:val="18"/>
          <w:szCs w:val="18"/>
          <w:color w:val="auto"/>
        </w:rPr>
        <w:t>. We are subject to a federal “self-referral” law, commonly referred to as the “Stark” law, which provides that physicians who,</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personally or through a family member, have ownership interests in or compensation arrangements with a laboratory are prohibited from making a referral to that laboratory for laboratory tests reimbursable by Medicare, and also prohibits laboratories from submitting a claim for Medicare payments for laboratory tests referred by physicians who, personally or through a family member, have ownership interests in or compensation arrangements with the testing laboratory. The Stark law contains a number of specific exceptions which, if met, permit physicians who have ownership or compensation arrangements with a testing laboratory to make referrals to that laboratory and permit the laboratory to submit claims for Medicare payments for laboratory tests performed pursuant to such referrals.</w:t>
      </w:r>
    </w:p>
    <w:p>
      <w:pPr>
        <w:spacing w:after="0" w:line="122"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are subject to comparable state laws, some of which apply to all payors regardless of source of payment, and do not contain identical exceptions to the Stark law. For example, we are subject to a North Carolina self-referral law that prohibits a physician investor from referring to us any patients covered by private, employer-funded or state and federal employee health plans. The North Carolina self-referral law contains few exceptions for physician investors in securities that have not been acquired through public trading, but will generally permit us to accept referrals from physician investors who buy their shares in the public market.</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several stockholders who are physicians in a position to make referrals to us. We have included within our compliance plan procedures to identify requests for testing services from physician investors and we do not bill Medicare, or any other federal program, or seek reimbursement from other third-party payors, for these tests. The self-referral laws may cause some physicians who would otherwise use our laboratory to use other laboratories for their testing.</w:t>
      </w:r>
    </w:p>
    <w:p>
      <w:pPr>
        <w:spacing w:after="0" w:line="119" w:lineRule="exact"/>
        <w:rPr>
          <w:sz w:val="20"/>
          <w:szCs w:val="20"/>
          <w:color w:val="auto"/>
        </w:rPr>
      </w:pPr>
    </w:p>
    <w:p>
      <w:pPr>
        <w:ind w:right="220" w:firstLine="456"/>
        <w:spacing w:after="0" w:line="276" w:lineRule="auto"/>
        <w:rPr>
          <w:sz w:val="20"/>
          <w:szCs w:val="20"/>
          <w:color w:val="auto"/>
        </w:rPr>
      </w:pPr>
      <w:r>
        <w:rPr>
          <w:rFonts w:ascii="Arial" w:cs="Arial" w:eastAsia="Arial" w:hAnsi="Arial"/>
          <w:sz w:val="17"/>
          <w:szCs w:val="17"/>
          <w:color w:val="auto"/>
        </w:rPr>
        <w:t>Providers are subject to sanctions for claims submitted for each service that is furnished based on a referral prohibited under the federal self-referral laws. These sanctions include denial of payment and refunds, civil monetary payments and exclusion from participation in federal healthcare programs and civil monetary penalties, and they may also include penalties for applicable violations of the False Claims Act, which may require payment of up to three times the actual damages sustained by the government, plus civil penalties of $5,500 to $11,000 for each separate false claim. Similarly, sanctions for violations under the North Carolina self-referral laws include refunds and monetary penalties.</w:t>
      </w:r>
    </w:p>
    <w:p>
      <w:pPr>
        <w:spacing w:after="0" w:line="105" w:lineRule="exact"/>
        <w:rPr>
          <w:sz w:val="20"/>
          <w:szCs w:val="20"/>
          <w:color w:val="auto"/>
        </w:rPr>
      </w:pPr>
    </w:p>
    <w:p>
      <w:pPr>
        <w:ind w:right="40" w:firstLine="456"/>
        <w:spacing w:after="0" w:line="268" w:lineRule="auto"/>
        <w:rPr>
          <w:sz w:val="20"/>
          <w:szCs w:val="20"/>
          <w:color w:val="auto"/>
        </w:rPr>
      </w:pPr>
      <w:r>
        <w:rPr>
          <w:rFonts w:ascii="Arial" w:cs="Arial" w:eastAsia="Arial" w:hAnsi="Arial"/>
          <w:sz w:val="17"/>
          <w:szCs w:val="17"/>
          <w:i w:val="1"/>
          <w:iCs w:val="1"/>
          <w:color w:val="auto"/>
        </w:rPr>
        <w:t>Anti-Kickback Statute</w:t>
      </w:r>
      <w:r>
        <w:rPr>
          <w:rFonts w:ascii="Arial" w:cs="Arial" w:eastAsia="Arial" w:hAnsi="Arial"/>
          <w:sz w:val="17"/>
          <w:szCs w:val="17"/>
          <w:color w:val="auto"/>
        </w:rPr>
        <w:t>. The federal Anti-Kickback Statute prohibits persons from knowingly and willfully soliciting, receiving, offering or paying</w:t>
      </w:r>
      <w:r>
        <w:rPr>
          <w:rFonts w:ascii="Arial" w:cs="Arial" w:eastAsia="Arial" w:hAnsi="Arial"/>
          <w:sz w:val="17"/>
          <w:szCs w:val="17"/>
          <w:i w:val="1"/>
          <w:iCs w:val="1"/>
          <w:color w:val="auto"/>
        </w:rPr>
        <w:t xml:space="preserve"> </w:t>
      </w:r>
      <w:r>
        <w:rPr>
          <w:rFonts w:ascii="Arial" w:cs="Arial" w:eastAsia="Arial" w:hAnsi="Arial"/>
          <w:sz w:val="17"/>
          <w:szCs w:val="17"/>
          <w:color w:val="auto"/>
        </w:rPr>
        <w:t>remuneration, directly or indirectly, to induce either the referral of an individual, or the furnishing, recommending, or arranging for a good or service, for which payment may be made under a federal healthcare program, such as the Medicare and Medicaid programs. The term “remuneration” is not defined in the federal Anti-Kickback Statute and has been broadly interpreted to include anything of value, including for example, gifts, discounts, the furnishing of supplies or equipment, credit arrangements, payments of cash, waivers of payment, ownership interests and providing anything at less than its fair market value. The reach of the Anti-Kickback Statute was also broadened by the PPACA, which, among other things, amends the intent requirement of the federal Anti-Kickback Statute and certain criminal healthcare fraud statutes, effective March 23, 2010. Pursuant to the statutory amendment, a person or entity does not need to have actual knowledge of this statute or specific intent to violate it in order to have committed a violation. In addition, PPACA provides that a claim including items or services resulting from a violation of the federal Anti-Kickback Statute constitutes a false or fraudulent claim for purposes of the False Claims Act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Sanctions for violations of the federal Anti-Kickback Statute may include imprisonment and other criminal penalties, civil monetary penalties and exclusion from participation in federal healthcare programs.</w:t>
      </w:r>
    </w:p>
    <w:p>
      <w:pPr>
        <w:spacing w:after="0" w:line="10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OIG has criticized a number of the business practices in the clinical laboratory industry as potentially implicating the Anti-Kickback Statute, including compensation arrangements intended to induce referrals between laboratories and entities from which they receive, or to which they make, referrals. In addition, the OIG has indicated that “dual charge” billing practices that are intended to induce the referral of patients reimbursed by federal healthcare programs may violate the Anti-Kickback Statute.</w:t>
      </w:r>
    </w:p>
    <w:p>
      <w:pPr>
        <w:spacing w:after="0" w:line="119" w:lineRule="exact"/>
        <w:rPr>
          <w:sz w:val="20"/>
          <w:szCs w:val="20"/>
          <w:color w:val="auto"/>
        </w:rPr>
      </w:pPr>
    </w:p>
    <w:p>
      <w:pPr>
        <w:jc w:val="both"/>
        <w:ind w:right="20" w:firstLine="456"/>
        <w:spacing w:after="0" w:line="302" w:lineRule="auto"/>
        <w:rPr>
          <w:sz w:val="20"/>
          <w:szCs w:val="20"/>
          <w:color w:val="auto"/>
        </w:rPr>
      </w:pPr>
      <w:r>
        <w:rPr>
          <w:rFonts w:ascii="Arial" w:cs="Arial" w:eastAsia="Arial" w:hAnsi="Arial"/>
          <w:sz w:val="16"/>
          <w:szCs w:val="16"/>
          <w:color w:val="auto"/>
        </w:rPr>
        <w:t>Many states have also adopted laws similar to the federal Anti-Kickback Statute, some of which apply to the referral of patients for healthcare items or services reimbursed by any source, not only the Medicare and Medicaid programs, and do not contain identical safe harbors. For example, North Carolina has an anti-kickback statute that prohibits healthcare providers from paying any financial compensation for recommending or securing patient referrals. Penalties for violations of this statute include license suspension or revocation or other disciplinary action. Other states have similar anti-kickback prohibitions.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Both the federal Anti-Kickback Statute and the North Carolina anti-kickback law are broad in scope. The anti-kickback laws clearly prohibit payments for patient referrals. Under a broad interpretation, these laws could also prohibit a broad array of practices involving remuneration where one party is a potential source of referrals for the other.</w:t>
      </w:r>
    </w:p>
    <w:p>
      <w:pPr>
        <w:spacing w:after="0" w:line="18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If we or our operations are found to be in violation of any of the laws described above or any other governmental regulations that apply to us, we may be subject to penalties, including civil and criminal penalties, damages, fines, exclusion from participation in U.S. federal or state health care programs, and the curtailment or restructuring of our operations. To the extent that any product we make is sold in a foreign country in the future,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 To reduce the risks associated with these various laws and governmental regulations, we have implemented a compliance plan. Although compliance programs can mitigate the risk of investigation and prosecution for violations of these laws, the risks cannot be entirely eliminated.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March 2010, the PPACA was enacted, which includes measures that have or will significantly change the way healthcare is financed by both governmental and private insurers. Beginning in August 2013, the PPACA and its implementing regulations requires medical device manufacturers to track certain financial arrangements with physicians and teaching hospitals, including any “transfer of value” made or distributed to such entities, as well as any investment interests held by physicians and their immediate family members. Manufacturers are required to report this information to Centers for Medicare &amp; Medicaid Services, or CMS, beginning in 2014. Various states have also implemented regulations prohibiting certain financial interactions with healthcare professionals or mandating public disclosure of such financial interactions. We may incur significant costs to comply with such laws and regulations now or in the future.</w:t>
      </w:r>
    </w:p>
    <w:p>
      <w:pPr>
        <w:spacing w:after="0" w:line="2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Foreign Corrupt Practices Act</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Foreign Corrupt Practices Act, or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On December 11, 2017, we entered into the Unit Purchase Agreement with the selling stockholders, pursuant to which we sold and issued 8,141,116 immediately separable units at a price per unit of $1.84, for aggregate gross proceeds of approximately $15,000,000. Each unit consisted of one share of our common stock and a warrant to purchase 0.74 shares of our common stock at an exercise price of $2.00 a share, for an aggregate of 8,141,116 Shares and corresponding warrants to purchase an aggregate of 6,024,425 Warrant Shares, together referred to as the Resale Shares. We also granted certain registration rights to the selling stockholders, pursuant to which, among other things, we are preparing and filing this registration statement with the SEC to register for resale the Resale Shares.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8, 2017, we announced that we and our previously wholly-owned subsidiary Capnia entered into a joint venture agreement with OAHL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for the development and commercialization of Capnia’s Sensalyze technology, which includes the CoSense End-Tidal Carbon Monoxide monitor that assists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the detection of excessive hemolysis in neonates, and other related products. Under the terms of the joint venture agreement, OAHL will invest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 million in tranches to purchase shares of our Capnia subsidiary and as a result of this investment, Capnia will no longer be a wholly-owned subsidiary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 Going forward, OAHL will be responsible for funding the operations of Capnia. In addition, OAHL has the option to buy our remaining interest in Capnia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set forth in the joint venture agreement.</w:t>
      </w:r>
    </w:p>
    <w:p>
      <w:pPr>
        <w:spacing w:after="0" w:line="21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 The Company sold NFI in a stock transaction that was completed on July 18, 2017, pursuant to a Stock Purchase Agreement with Neoforce Holdings, Inc. a wholly-owned subsidiary of Flexicare Medical Limited, a privately-held United Kingdom company.</w:t>
      </w:r>
    </w:p>
    <w:p>
      <w:pPr>
        <w:spacing w:after="0" w:line="18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On October 12, 2017 we announced that the European Medicines Agency’s (EMA) Committee for Orphan Medicinal Products (COMP) issued a positive opinion recommending diazoxide choline for designation as an orphan medicinal product for the treatment of Prader-Willi Syndrome (PWS). The designation has subsequently been granted as EU/3/17/1941.</w:t>
      </w:r>
    </w:p>
    <w:p>
      <w:pPr>
        <w:sectPr>
          <w:pgSz w:w="11900" w:h="16838" w:orient="portrait"/>
          <w:cols w:equalWidth="0" w:num="1">
            <w:col w:w="11420"/>
          </w:cols>
          <w:pgMar w:left="240" w:top="459" w:right="239" w:bottom="1440" w:gutter="0" w:footer="0" w:header="0"/>
        </w:sectPr>
      </w:pP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firstLine="456"/>
        <w:spacing w:after="0" w:line="264" w:lineRule="auto"/>
        <w:rPr>
          <w:sz w:val="20"/>
          <w:szCs w:val="20"/>
          <w:color w:val="auto"/>
        </w:rPr>
      </w:pPr>
      <w:r>
        <w:rPr>
          <w:rFonts w:ascii="Arial" w:cs="Arial" w:eastAsia="Arial" w:hAnsi="Arial"/>
          <w:sz w:val="18"/>
          <w:szCs w:val="18"/>
          <w:color w:val="auto"/>
        </w:rPr>
        <w:t>On October 11, 2017, we announced the issuance of a new patent (9,782,416) from the U.S. Patent and Trademark Office related to the use of pharmaceutical formulations of diazoxide to treat hyperphagia in a subject with PWS. The treatment of hyperphagia is the highest priority unmet need in PWS according to parents and caregivers of PWS patients.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September 25, 2017, we announced that we had received scientific advice from the Committee for Medicinal Products for Human Use (CHMP) of the EMA regarding DCCR for the treatment of PWS. The EMA indicated that a single pivotal trial would support a Marketing Authorisation Application. They also indicated their general acceptance of several key aspects of the proposed development plan, on which general agreement had been reached previously with the FDA. The EMA expressed their support for change in hyperphagia compared to placebo as the primary endpoint for the study. In addition, the dosing paradigm proposed by Soleno for the study was accepted. The EMA also commented that Soleno could treat children with hyperphagia in the study without further toxicology work.</w:t>
      </w:r>
    </w:p>
    <w:p>
      <w:pPr>
        <w:spacing w:after="0" w:line="193"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On September 13, 2017, we announced the issuance of a new patent (9,757,384) from the U.S. Patent and Trademark Office related to the use of pharmaceutical formulations of diazoxide and its salts, such as diazoxide choline, to reduce one or more aggressive behaviors in a subject with PWS or Smith-Magenis syndrome (SMS). This issuance extends protection of the associated claims to 2035.</w:t>
      </w:r>
    </w:p>
    <w:p>
      <w:pPr>
        <w:spacing w:after="0" w:line="18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On July 24, 2017, we announced the announced the sale of our entire interest in NFI, a previously wholly-owned non-strategic subsidiary, which manufacturers and promotes a range of innovative pulmonary resuscitation solutions in the neonatal market, to Flexicare, Inc., a privately-held, leading UK– based manufacturer of airway management, anesthesia and critical care medical devices. The sale occurred on July 18, 2017.</w:t>
      </w:r>
    </w:p>
    <w:p>
      <w:pPr>
        <w:spacing w:after="0" w:line="166"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On July 5, 2017, we announced the receipt of minutes from an FDA scientific guidance meeting. The FDA expressed support for change in hyperphagia score (without a change in weight) compared to placebo as the primary endpoint for the study. In addition, based on the data provided in the meeting briefing information, the dosing paradigm proposed by the Company for the study was accepted. The FDA proposed, and Soleno agreed, that the duration of the randomized, double-blind, placebo-controlled study should be shorter (3-4 months) and that DCCR safety information could be obtained in a long-term, safety extension study.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460" w:firstLine="456"/>
        <w:spacing w:after="0" w:line="342" w:lineRule="auto"/>
        <w:rPr>
          <w:sz w:val="20"/>
          <w:szCs w:val="20"/>
          <w:color w:val="auto"/>
        </w:rPr>
      </w:pPr>
      <w:r>
        <w:rPr>
          <w:rFonts w:ascii="Arial" w:cs="Arial" w:eastAsia="Arial" w:hAnsi="Arial"/>
          <w:sz w:val="16"/>
          <w:szCs w:val="16"/>
          <w:color w:val="auto"/>
        </w:rPr>
        <w:t>As of December 31, 2017, we had twelve full-time employees and six full-time or part-time consultants providing services to us. None of our employees is represented by a labor union or covered by collective bargaining agreements. We consider our relationship with our employees to be good.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principal corporate offices are located at 1235 Radio Road, Suite 110, Redwood City, California 94065 and our telephone number is</w:t>
      </w:r>
    </w:p>
    <w:p>
      <w:pPr>
        <w:spacing w:after="0" w:line="23" w:lineRule="exact"/>
        <w:rPr>
          <w:sz w:val="20"/>
          <w:szCs w:val="20"/>
          <w:color w:val="auto"/>
        </w:rPr>
      </w:pPr>
    </w:p>
    <w:p>
      <w:pPr>
        <w:ind w:right="20" w:firstLine="8"/>
        <w:spacing w:after="0" w:line="271" w:lineRule="auto"/>
        <w:tabs>
          <w:tab w:leader="none" w:pos="435" w:val="left"/>
        </w:tabs>
        <w:numPr>
          <w:ilvl w:val="0"/>
          <w:numId w:val="46"/>
        </w:numPr>
        <w:rPr>
          <w:rFonts w:ascii="Arial" w:cs="Arial" w:eastAsia="Arial" w:hAnsi="Arial"/>
          <w:sz w:val="17"/>
          <w:szCs w:val="17"/>
          <w:color w:val="auto"/>
        </w:rPr>
      </w:pPr>
      <w:r>
        <w:rPr>
          <w:rFonts w:ascii="Arial" w:cs="Arial" w:eastAsia="Arial" w:hAnsi="Arial"/>
          <w:sz w:val="17"/>
          <w:szCs w:val="17"/>
          <w:color w:val="auto"/>
        </w:rPr>
        <w:t>213-8444. We were incorporated in Delaware on August 25, 1999. Our internet address is www.soleno.life. We make available on our website, free of charge, our Annual Report on Form 10-K, Quarterly Reports on Form 10-Q, Current Reports on Form 8-K and any amendments to those reports, as soon as reasonably practicable after we electronically file such materials with, or furnish it to, the Securities Exchange and Commission. Our Securities Exchange and Commission reports can be accessed through the Investor Relations section of our internet website. The information found on our internet website is not part of this or any other report we file with or furnish to the Securities Exchange and Commission.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PROPERTIES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principal facilities consist of office space in Redwood City, California, which also contains space for Capnia’s final assembly and calibration facility for CoSense. We currently occupy approximately 13,436 square feet of office space under a non-cancelable operating lease that terminates in August 2019.</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00"/>
          </w:cols>
          <w:pgMar w:left="240" w:top="459" w:right="3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On February 28, 2017, we settled the Lawsuit by making certain supplemental disclosures in a Current Report on Form 8-K filed with the SEC on February 28, 2017 in connection with the plaintiff’s agreement to voluntarily dismiss plaintiff’s claims in the Lawsuit. We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resulting from the settlement, was approved by the court on April 14, 2017.</w:t>
      </w:r>
    </w:p>
    <w:p>
      <w:pPr>
        <w:spacing w:after="0" w:line="18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459" w:right="2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December 31,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80" w:type="dxa"/>
            <w:vAlign w:val="bottom"/>
            <w:gridSpan w:val="2"/>
          </w:tcPr>
          <w:p>
            <w:pPr>
              <w:ind w:left="1500"/>
              <w:spacing w:after="0"/>
              <w:rPr>
                <w:sz w:val="20"/>
                <w:szCs w:val="20"/>
                <w:color w:val="auto"/>
              </w:rPr>
            </w:pPr>
            <w:r>
              <w:rPr>
                <w:rFonts w:ascii="Arial" w:cs="Arial" w:eastAsia="Arial" w:hAnsi="Arial"/>
                <w:sz w:val="14"/>
                <w:szCs w:val="14"/>
                <w:b w:val="1"/>
                <w:bCs w:val="1"/>
                <w:color w:val="auto"/>
              </w:rPr>
              <w:t>Name</w:t>
            </w:r>
          </w:p>
        </w:tc>
        <w:tc>
          <w:tcPr>
            <w:tcW w:w="6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Age</w:t>
            </w:r>
          </w:p>
        </w:tc>
        <w:tc>
          <w:tcPr>
            <w:tcW w:w="380" w:type="dxa"/>
            <w:vAlign w:val="bottom"/>
          </w:tcPr>
          <w:p>
            <w:pPr>
              <w:spacing w:after="0"/>
              <w:rPr>
                <w:sz w:val="16"/>
                <w:szCs w:val="16"/>
                <w:color w:val="auto"/>
              </w:rPr>
            </w:pPr>
          </w:p>
        </w:tc>
        <w:tc>
          <w:tcPr>
            <w:tcW w:w="6720" w:type="dxa"/>
            <w:vAlign w:val="bottom"/>
          </w:tcPr>
          <w:p>
            <w:pPr>
              <w:ind w:left="312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6720" w:type="dxa"/>
            <w:vAlign w:val="bottom"/>
            <w:tcBorders>
              <w:top w:val="single" w:sz="8" w:color="auto"/>
            </w:tcBorders>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Anish Bhatnagar, M.D.</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47</w:t>
            </w:r>
          </w:p>
        </w:tc>
        <w:tc>
          <w:tcPr>
            <w:tcW w:w="7100" w:type="dxa"/>
            <w:vAlign w:val="bottom"/>
            <w:gridSpan w:val="2"/>
          </w:tcPr>
          <w:p>
            <w:pPr>
              <w:ind w:left="380"/>
              <w:spacing w:after="0"/>
              <w:rPr>
                <w:sz w:val="20"/>
                <w:szCs w:val="20"/>
                <w:color w:val="auto"/>
              </w:rPr>
            </w:pPr>
            <w:r>
              <w:rPr>
                <w:rFonts w:ascii="Arial" w:cs="Arial" w:eastAsia="Arial" w:hAnsi="Arial"/>
                <w:sz w:val="18"/>
                <w:szCs w:val="18"/>
                <w:color w:val="auto"/>
              </w:rPr>
              <w:t>President, Chief Executive Officer and Director</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D. O’Toole*</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7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Senior Vice President, Chief Financial Officer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Anthony Wondka**</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7100" w:type="dxa"/>
            <w:vAlign w:val="bottom"/>
            <w:gridSpan w:val="2"/>
          </w:tcPr>
          <w:p>
            <w:pPr>
              <w:ind w:left="380"/>
              <w:spacing w:after="0"/>
              <w:rPr>
                <w:sz w:val="20"/>
                <w:szCs w:val="20"/>
                <w:color w:val="auto"/>
              </w:rPr>
            </w:pPr>
            <w:r>
              <w:rPr>
                <w:rFonts w:ascii="Arial" w:cs="Arial" w:eastAsia="Arial" w:hAnsi="Arial"/>
                <w:sz w:val="18"/>
                <w:szCs w:val="18"/>
                <w:color w:val="auto"/>
              </w:rPr>
              <w:t>Senior Vice President of Research and Development</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Non-Employee Directors:</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Ernest Mario, Ph.D.(2)</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78</w:t>
            </w:r>
          </w:p>
        </w:tc>
        <w:tc>
          <w:tcPr>
            <w:tcW w:w="7100" w:type="dxa"/>
            <w:vAlign w:val="bottom"/>
            <w:gridSpan w:val="2"/>
          </w:tcPr>
          <w:p>
            <w:pPr>
              <w:ind w:left="380"/>
              <w:spacing w:after="0"/>
              <w:rPr>
                <w:sz w:val="20"/>
                <w:szCs w:val="20"/>
                <w:color w:val="auto"/>
              </w:rPr>
            </w:pPr>
            <w:r>
              <w:rPr>
                <w:rFonts w:ascii="Arial" w:cs="Arial" w:eastAsia="Arial" w:hAnsi="Arial"/>
                <w:sz w:val="18"/>
                <w:szCs w:val="18"/>
                <w:color w:val="auto"/>
              </w:rPr>
              <w:t>Chairman</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Edgar G. Engleman, M.D.***</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7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Steinar J. Engelsen, M.D., M.Sc.***</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66</w:t>
            </w:r>
          </w:p>
        </w:tc>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Harris(1)(2)</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w:t>
            </w:r>
          </w:p>
        </w:tc>
        <w:tc>
          <w:tcPr>
            <w:tcW w:w="7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Stephen Kirnon, Ed.D.***</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Rajen Dalal(2)(3)</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w:t>
            </w:r>
          </w:p>
        </w:tc>
        <w:tc>
          <w:tcPr>
            <w:tcW w:w="7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Mahendra Shah(1)(3)</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71</w:t>
            </w:r>
          </w:p>
        </w:tc>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Collinson(1)(3)</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w:t>
            </w:r>
          </w:p>
        </w:tc>
        <w:tc>
          <w:tcPr>
            <w:tcW w:w="7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Director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Jim Glasheen(1)(3)</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49</w:t>
            </w:r>
          </w:p>
        </w:tc>
        <w:tc>
          <w:tcPr>
            <w:tcW w:w="7100" w:type="dxa"/>
            <w:vAlign w:val="bottom"/>
            <w:gridSpan w:val="2"/>
          </w:tcPr>
          <w:p>
            <w:pPr>
              <w:ind w:left="3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right="6280" w:firstLine="8"/>
        <w:spacing w:after="0" w:line="250" w:lineRule="auto"/>
        <w:tabs>
          <w:tab w:leader="none" w:pos="4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 * resigned on September 11, 2017.</w:t>
      </w:r>
    </w:p>
    <w:p>
      <w:pPr>
        <w:spacing w:after="0"/>
        <w:rPr>
          <w:rFonts w:ascii="Arial" w:cs="Arial" w:eastAsia="Arial" w:hAnsi="Arial"/>
          <w:sz w:val="18"/>
          <w:szCs w:val="18"/>
          <w:color w:val="auto"/>
        </w:rPr>
      </w:pPr>
      <w:r>
        <w:rPr>
          <w:rFonts w:ascii="Arial" w:cs="Arial" w:eastAsia="Arial" w:hAnsi="Arial"/>
          <w:sz w:val="18"/>
          <w:szCs w:val="18"/>
          <w:color w:val="auto"/>
        </w:rPr>
        <w:t>**   transitioned from Soleno Therapeutics to Capnia on or about December 4, 2017.</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resigned from the Board on December 31, 2017.</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i w:val="1"/>
          <w:iCs w:val="1"/>
          <w:color w:val="auto"/>
        </w:rPr>
        <w:t>Anish Bhatnagar, M.D</w:t>
      </w:r>
      <w:r>
        <w:rPr>
          <w:rFonts w:ascii="Arial" w:cs="Arial" w:eastAsia="Arial" w:hAnsi="Arial"/>
          <w:sz w:val="17"/>
          <w:szCs w:val="17"/>
          <w:color w:val="auto"/>
        </w:rPr>
        <w:t>. Dr. Bhatnagar was appointed as our Chief Executive Officer in February 2014. Prior to that, he served as our President and</w:t>
      </w:r>
      <w:r>
        <w:rPr>
          <w:rFonts w:ascii="Arial" w:cs="Arial" w:eastAsia="Arial" w:hAnsi="Arial"/>
          <w:sz w:val="17"/>
          <w:szCs w:val="17"/>
          <w:i w:val="1"/>
          <w:iCs w:val="1"/>
          <w:color w:val="auto"/>
        </w:rPr>
        <w:t xml:space="preserve"> </w:t>
      </w:r>
      <w:r>
        <w:rPr>
          <w:rFonts w:ascii="Arial" w:cs="Arial" w:eastAsia="Arial" w:hAnsi="Arial"/>
          <w:sz w:val="17"/>
          <w:szCs w:val="17"/>
          <w:color w:val="auto"/>
        </w:rPr>
        <w:t>Chief Operating Officer. Dr. Bhatnagar joined us in 2006, and has held positions of increasing responsibility since then. Dr. Bhatnagar is a physician with over 15 years of experience in the medical device and biopharmaceutical industries. His experience spans development of biologics, drugs, drug-device combinations and diagnostic as well as therapeutic medical devices. His prior experience includes working at Coulter Pharmaceuticals, Inc. from 1998 to 2000 and Titan Pharmaceuticals, Inc. from 2000 to 2006. He is the author of several peer-reviewed publications, abstracts and book chapters. He obtained his medical degree at SMS Medical College in Jaipur, India and completed his Residency and Fellowship training in the U.S. at various institutions, including Georgetown University Hospital and the University of Pennsylvania.</w:t>
      </w:r>
    </w:p>
    <w:p>
      <w:pPr>
        <w:spacing w:after="0" w:line="178"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We believe Dr. Bhatnagar is able to make valuable contributions to our board of directors due to his service as an executive officer of our company, including as Chief Executive Officer, extensive knowledge of medical device and pharmaceutical company operations, and extensive experience working with companies, regulators and other stakeholders in the medical device and pharmaceutical industries.</w:t>
      </w:r>
    </w:p>
    <w:p>
      <w:pPr>
        <w:spacing w:after="0" w:line="18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i w:val="1"/>
          <w:iCs w:val="1"/>
          <w:color w:val="auto"/>
        </w:rPr>
        <w:t>David D. O’Toole</w:t>
      </w:r>
      <w:r>
        <w:rPr>
          <w:rFonts w:ascii="Arial" w:cs="Arial" w:eastAsia="Arial" w:hAnsi="Arial"/>
          <w:sz w:val="16"/>
          <w:szCs w:val="16"/>
          <w:color w:val="auto"/>
        </w:rPr>
        <w:t>. Mr. O’Toole was appointed as our Chief Financial Officer in July 2014. He has more than 30 years of experience in the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and finance sectors, and for the past 14 years has focused on the medical device, tools, and diagnostics industry. From September 2012 to June 2014</w:t>
      </w:r>
    </w:p>
    <w:p>
      <w:pPr>
        <w:jc w:val="both"/>
        <w:spacing w:after="0" w:line="277" w:lineRule="auto"/>
        <w:rPr>
          <w:sz w:val="20"/>
          <w:szCs w:val="20"/>
          <w:color w:val="auto"/>
        </w:rPr>
      </w:pPr>
      <w:r>
        <w:rPr>
          <w:rFonts w:ascii="Arial" w:cs="Arial" w:eastAsia="Arial" w:hAnsi="Arial"/>
          <w:sz w:val="17"/>
          <w:szCs w:val="17"/>
          <w:color w:val="auto"/>
        </w:rPr>
        <w:t>Mr. O’Toole was Senior Vice President and Chief Financial Officer at Codexis, Inc., a public company focused on developing biocatalysts. From May 2010 to August 2012 Mr. O’Toole was Vice President and Chief Financial Officer at Response Genetics, Inc., and served from May 2008 to August 2010 as Executive Vice President and Chief Financial Officer of Abraxis Bioscience, Inc. From 1992 to 2008, Mr. O’Toole worked at Deloitte &amp;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Touche LLP, where he served for 12 of those years as a partner. He worked at Arthur Anderson &amp; Co., from 1984 to 1992, as an international tax manager.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Mr. O’Toole received his Bachelor of Science, Accounting from the University of Arizona and is a certified public accountant.</w:t>
      </w:r>
    </w:p>
    <w:p>
      <w:pPr>
        <w:spacing w:after="0" w:line="21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Mr. OToole was able to make valuable contributions as an executive officer of our company as a result of his prior financial experience in related industries that are applicable to us. Mr. O’Toole resigned effective September 11, 2017.</w:t>
      </w:r>
    </w:p>
    <w:p>
      <w:pPr>
        <w:spacing w:after="0" w:line="170"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i w:val="1"/>
          <w:iCs w:val="1"/>
          <w:color w:val="auto"/>
        </w:rPr>
        <w:t>Anthony Wondka</w:t>
      </w:r>
      <w:r>
        <w:rPr>
          <w:rFonts w:ascii="Arial" w:cs="Arial" w:eastAsia="Arial" w:hAnsi="Arial"/>
          <w:sz w:val="17"/>
          <w:szCs w:val="17"/>
          <w:color w:val="auto"/>
        </w:rPr>
        <w:t>. Mr. Wondka was appointed as Senior Vice President of Research and Development of Capnia, Inc. in connection with a joint venture</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entered into on December 4, 2017 with OptAsia Healthcare Limited. Prior to that, he was our Vice President of Research and Development since June 2013 and was a consultant for us from May 2011 to June 2013. He has held management and executive positions in the medical device industry for over 20 years, in large and small companies. From April 2006 to March 2011, Mr. Wondka served as VP of R&amp;D and then VP of Technology and Clinical Affairs for Breathe Technologies, where he invented and co-invented ventilation products that address large unmet needs in chronic obstructive pulmonary disease, or COPD, and obstructive sleep apnea. From July 1997 to April 2006, Mr. Wondka was Director of R&amp;D and VP of Manufacturing at Pulmonx, where he co-invented and led the early development of the Chartis™ diagnostic system and procedure that is used to guide endobronchial lung volume reduction for the treatment of COPD, and is currently being sold in the E.U. Prior to Pulmonx, Mr. Wondka worked at Pfizer subsidiary Shiley (acquired by Covidien) and Bear Medical (acquired by Carefusion), where he held lead roles in engineering and quality assurance, supporting commercialization activities for market leading ear, nose and throat, or ENT, and respiratory products. He holds over 40 issued or pending patents and has a B.S. in Bioengineering from University of California San Diego.</w:t>
      </w:r>
    </w:p>
    <w:p>
      <w:pPr>
        <w:spacing w:after="0" w:line="183"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We believe Mr. Wondka was able to make valuable contributions as an executive officer of our company as a result of his prior technical experience in our industry and related industries.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Ernest Mario, Ph. D</w:t>
      </w:r>
      <w:r>
        <w:rPr>
          <w:rFonts w:ascii="Arial" w:cs="Arial" w:eastAsia="Arial" w:hAnsi="Arial"/>
          <w:sz w:val="16"/>
          <w:szCs w:val="16"/>
          <w:color w:val="auto"/>
        </w:rPr>
        <w:t>. Dr. Mario joined our Board of Directors in August 2007 and served as Chairman and Chief Executive Officer until February 2014</w:t>
      </w:r>
      <w:r>
        <w:rPr>
          <w:rFonts w:ascii="Arial" w:cs="Arial" w:eastAsia="Arial" w:hAnsi="Arial"/>
          <w:sz w:val="16"/>
          <w:szCs w:val="16"/>
          <w:i w:val="1"/>
          <w:iCs w:val="1"/>
          <w:color w:val="auto"/>
        </w:rPr>
        <w:t xml:space="preserve"> </w:t>
      </w:r>
      <w:r>
        <w:rPr>
          <w:rFonts w:ascii="Arial" w:cs="Arial" w:eastAsia="Arial" w:hAnsi="Arial"/>
          <w:sz w:val="16"/>
          <w:szCs w:val="16"/>
          <w:color w:val="auto"/>
        </w:rPr>
        <w:t>when he was named Chairman. From April 2003 to August 2007, Dr. Mario served as Chief Executive Officer and Chairman of Reliant Pharmaceuticals, Inc., a privately held pharmaceutical company that was acquired by GSK for approximately $1.6 billion in 2007. Dr. Mario served as Chief Executive Officer and Chairman of ALZA Corporation, a research-based pharmaceutical company, from November 1997 to December 2001, when ALZA was acquired by Johnson</w:t>
      </w:r>
    </w:p>
    <w:p>
      <w:pPr>
        <w:spacing w:after="0" w:line="2" w:lineRule="exact"/>
        <w:rPr>
          <w:sz w:val="20"/>
          <w:szCs w:val="20"/>
          <w:color w:val="auto"/>
        </w:rPr>
      </w:pPr>
    </w:p>
    <w:p>
      <w:pPr>
        <w:jc w:val="both"/>
        <w:ind w:right="20" w:firstLine="8"/>
        <w:spacing w:after="0" w:line="281" w:lineRule="auto"/>
        <w:tabs>
          <w:tab w:leader="none" w:pos="185" w:val="left"/>
        </w:tabs>
        <w:numPr>
          <w:ilvl w:val="0"/>
          <w:numId w:val="48"/>
        </w:numPr>
        <w:rPr>
          <w:rFonts w:ascii="Arial" w:cs="Arial" w:eastAsia="Arial" w:hAnsi="Arial"/>
          <w:sz w:val="16"/>
          <w:szCs w:val="16"/>
          <w:color w:val="auto"/>
        </w:rPr>
      </w:pPr>
      <w:r>
        <w:rPr>
          <w:rFonts w:ascii="Arial" w:cs="Arial" w:eastAsia="Arial" w:hAnsi="Arial"/>
          <w:sz w:val="16"/>
          <w:szCs w:val="16"/>
          <w:color w:val="auto"/>
        </w:rPr>
        <w:t>Johnson for approximately $12 billion. Previously he served as Chief Executive Officer and Co-Chairman of ALZA from August 1993 to November 1997. From January 1992 until March 1993, Dr. Mario served as Deputy Chairman of Glaxo Holdings plc., a pharmaceutical company, and as Chief Executive from May 1989 to March 1993. Dr. Mario has current and past service on a number of corporate boards including Boston Scientific Corporation, Celgene Inc.</w:t>
      </w:r>
    </w:p>
    <w:p>
      <w:pPr>
        <w:spacing w:after="0" w:line="2" w:lineRule="exact"/>
        <w:rPr>
          <w:rFonts w:ascii="Arial" w:cs="Arial" w:eastAsia="Arial" w:hAnsi="Arial"/>
          <w:sz w:val="16"/>
          <w:szCs w:val="16"/>
          <w:color w:val="auto"/>
        </w:rPr>
      </w:pPr>
    </w:p>
    <w:p>
      <w:pPr>
        <w:ind w:right="160"/>
        <w:spacing w:after="0" w:line="302" w:lineRule="auto"/>
        <w:rPr>
          <w:rFonts w:ascii="Arial" w:cs="Arial" w:eastAsia="Arial" w:hAnsi="Arial"/>
          <w:sz w:val="16"/>
          <w:szCs w:val="16"/>
          <w:color w:val="auto"/>
        </w:rPr>
      </w:pPr>
      <w:r>
        <w:rPr>
          <w:rFonts w:ascii="Arial" w:cs="Arial" w:eastAsia="Arial" w:hAnsi="Arial"/>
          <w:sz w:val="16"/>
          <w:szCs w:val="16"/>
          <w:color w:val="auto"/>
        </w:rPr>
        <w:t>(current), Chimerix, Inc. (current), Kindred Biosciences Inc., Tonix Pharmaceuticals Holding Corp. (current) and XenoPort Inc. Dr. Mario earned his M.S. and Ph.D. in physical sciences at the University of Rhode Island and a B.S. in pharmacy at Rutgers. He holds honorary doctorates from the University of Rhode Island and Rutgers University. In 2007, he was awarded the Remington Medal by the American Pharmacists’ Association, pharmacy’s highest honor.</w:t>
      </w:r>
    </w:p>
    <w:p>
      <w:pPr>
        <w:spacing w:after="0" w:line="155"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believe Dr. Mario is able to make valuable contributions to our board of directors due to his extensive knowledge of our company, the industry, and our competitors, his extensive experience in risk oversight, quality and business strategy as a result of serving in leadership roles at multiple companies, his status as a significant stockholder and his prior service as our Chief Executive Officer.</w:t>
      </w:r>
    </w:p>
    <w:p>
      <w:pPr>
        <w:spacing w:after="0" w:line="181" w:lineRule="exact"/>
        <w:rPr>
          <w:sz w:val="20"/>
          <w:szCs w:val="20"/>
          <w:color w:val="auto"/>
        </w:rPr>
      </w:pPr>
    </w:p>
    <w:p>
      <w:pPr>
        <w:ind w:right="260" w:firstLine="456"/>
        <w:spacing w:after="0" w:line="272" w:lineRule="auto"/>
        <w:rPr>
          <w:sz w:val="20"/>
          <w:szCs w:val="20"/>
          <w:color w:val="auto"/>
        </w:rPr>
      </w:pPr>
      <w:r>
        <w:rPr>
          <w:rFonts w:ascii="Arial" w:cs="Arial" w:eastAsia="Arial" w:hAnsi="Arial"/>
          <w:sz w:val="17"/>
          <w:szCs w:val="17"/>
          <w:i w:val="1"/>
          <w:iCs w:val="1"/>
          <w:color w:val="auto"/>
        </w:rPr>
        <w:t>Edgar G. Engleman, M.D</w:t>
      </w:r>
      <w:r>
        <w:rPr>
          <w:rFonts w:ascii="Arial" w:cs="Arial" w:eastAsia="Arial" w:hAnsi="Arial"/>
          <w:sz w:val="17"/>
          <w:szCs w:val="17"/>
          <w:color w:val="auto"/>
        </w:rPr>
        <w:t>. Dr. Engleman was a member of our board of directors from June 2001 until December 2017. He is a founding member of</w:t>
      </w:r>
      <w:r>
        <w:rPr>
          <w:rFonts w:ascii="Arial" w:cs="Arial" w:eastAsia="Arial" w:hAnsi="Arial"/>
          <w:sz w:val="17"/>
          <w:szCs w:val="17"/>
          <w:i w:val="1"/>
          <w:iCs w:val="1"/>
          <w:color w:val="auto"/>
        </w:rPr>
        <w:t xml:space="preserve"> </w:t>
      </w:r>
      <w:r>
        <w:rPr>
          <w:rFonts w:ascii="Arial" w:cs="Arial" w:eastAsia="Arial" w:hAnsi="Arial"/>
          <w:sz w:val="17"/>
          <w:szCs w:val="17"/>
          <w:color w:val="auto"/>
        </w:rPr>
        <w:t>Vivo Ventures, LLC (formerly BioAsia Investments) and since 1990 has served as Professor of Pathology and Medicine at Stanford University School of Medicine, where he oversees the Stanford Blood Center as well as his own immunology research group. An editor of numerous scientific journals and the inventor of multiple patented technologies, Dr. Engleman has authored more than 250 publications in medical and scientific journals and has trained more than 200 graduate students and postdoctoral fellows. Dr. Engleman has co-founded a number of biopharmaceutical companies including Cetus Immune Corporation (acquired by Chiron Corporation), Genelabs Technologies, Inc., (acquired by GlaxoSmithKline plc), National Medical Audit, and Dendreon Corporation. He is the lead inventor of the technology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underlying Provenge, Dendreon’s cancer vaccine, which was approved in 2010 to treat asymptomatic or minimally symptomatic metastatic hormone-refractory prostate cancer. Dr. Engleman currently serves on the boards of several private biotechnology companies, including Gryphon Therapeutics, Inc., Naryx Pharma, Inc., Eiger BioPharma, Inc., Nuveta, Inc. and Semnur Pharmaceuticals, Inc. He received his M.D. from Columbia University School of Medicine and his B.A. from Harvard University.</w:t>
      </w:r>
    </w:p>
    <w:p>
      <w:pPr>
        <w:spacing w:after="0" w:line="18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believe Dr. Engleman was able to make valuable contributions to our board of directors due to his extensive knowledge of the healthcare industry, his medical expertise, his service on other company boards of directors, and his understanding of our company.</w:t>
      </w:r>
    </w:p>
    <w:p>
      <w:pPr>
        <w:spacing w:after="0" w:line="170"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i w:val="1"/>
          <w:iCs w:val="1"/>
          <w:color w:val="auto"/>
        </w:rPr>
        <w:t>Steinar J. Engelsen, M.D., M.Sc., CEFA</w:t>
      </w:r>
      <w:r>
        <w:rPr>
          <w:rFonts w:ascii="Arial" w:cs="Arial" w:eastAsia="Arial" w:hAnsi="Arial"/>
          <w:sz w:val="17"/>
          <w:szCs w:val="17"/>
          <w:color w:val="auto"/>
        </w:rPr>
        <w:t>. Dr. Engelsen was a member of our board of directors from April 2004 until December 2017. Since November</w:t>
      </w:r>
      <w:r>
        <w:rPr>
          <w:rFonts w:ascii="Arial" w:cs="Arial" w:eastAsia="Arial" w:hAnsi="Arial"/>
          <w:sz w:val="17"/>
          <w:szCs w:val="17"/>
          <w:i w:val="1"/>
          <w:iCs w:val="1"/>
          <w:color w:val="auto"/>
        </w:rPr>
        <w:t xml:space="preserve"> </w:t>
      </w:r>
      <w:r>
        <w:rPr>
          <w:rFonts w:ascii="Arial" w:cs="Arial" w:eastAsia="Arial" w:hAnsi="Arial"/>
          <w:sz w:val="17"/>
          <w:szCs w:val="17"/>
          <w:color w:val="auto"/>
        </w:rPr>
        <w:t>1996, Dr. Engelsen has been a partner of Teknoinvest AS, a venture capital firm based in Norway. From June 1989 until October 1996, Dr. Engelsen held various management positions within Hafslund Nycomed AS, a pharmaceutical company based in Europe, and affiliated companies. He was responsible for therapeutic research and development, most recently serving as Senior Vice President, Research and Development of Nycomed Pharma AS from January 1994 until October 1996. He currently serves on the board of directors of Insmed, Inc. In addition, from January to November 2000, Dr. Engelsen was acting Chief Executive Officer of Centaur Pharmaceuticals, Inc., a biopharmaceutical company. Dr. Engelsen also served as Chairman of the board of directors of Centaur. Dr. Engelsen received his M.Sc. in Nuclear Chemistry and his M.D. from the University of Oslo, and is a Certified European Financial Analyst from The Norwegian School of Economics.</w:t>
      </w:r>
    </w:p>
    <w:p>
      <w:pPr>
        <w:spacing w:after="0" w:line="17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believe Dr. Engelsen was able to make valuable contributions to our board of directors due to his extensive healthcare management experience, his financial and business leadership and expertise resulting from serving as a director or executive officer of multiple companies, and his understanding of our company.</w:t>
      </w:r>
    </w:p>
    <w:p>
      <w:pPr>
        <w:spacing w:after="0" w:line="18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William G. Harris</w:t>
      </w:r>
      <w:r>
        <w:rPr>
          <w:rFonts w:ascii="Arial" w:cs="Arial" w:eastAsia="Arial" w:hAnsi="Arial"/>
          <w:sz w:val="18"/>
          <w:szCs w:val="18"/>
          <w:color w:val="auto"/>
        </w:rPr>
        <w:t>. Mr. Harris has been a member of our board of directors since June 2014. Since 2001, he has been the Senior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Finance and Chief Financial Officer of Xenoport, Inc. From 1996 to 2001, he held several positions with Coulter Pharmaceutical, Inc., a biotechnology company engaged in the development of novel therapies for the treatment of cancer and autoimmune diseases, the most recent of which was Senior Vice President and Chief Financial Officer, Corixa Corp., a developer of immunotherapeutic products, which was acquired by Coulter Pharmaceutical in 2000. Prior to Coulter Pharmaceutical, from 1990 to 1996, Mr. Harris held several positions at Gilead Sciences, Inc., the most recent of which was director of finance. Mr. Harris received a B.A. from the University of California, San Diego and an M.B.A. from Santa Clara University, Leavey School of Business and Administration.</w:t>
      </w:r>
    </w:p>
    <w:p>
      <w:pPr>
        <w:spacing w:after="0" w:line="18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believe Mr. Harris is able to make valuable contributions to our board of directors due to his vast experience as a finance professional in the biomedical and pharmaceutical industries.</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Stephen Kirnon, Ed.D</w:t>
      </w:r>
      <w:r>
        <w:rPr>
          <w:rFonts w:ascii="Arial" w:cs="Arial" w:eastAsia="Arial" w:hAnsi="Arial"/>
          <w:sz w:val="16"/>
          <w:szCs w:val="16"/>
          <w:color w:val="auto"/>
        </w:rPr>
        <w:t>. Dr. Kirnon was a member of our board of directors from July 2002 until December 2017. He has over 20 years of operational</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 biomedical organizations. Since January 2009, he has served as the Co-founder and CEO of PharmaPlan LLC. From January 2012 until July 2013 he served as Vice President, Co-Lead Life Science Practice at Witt/Kieffer, Ford, Hadelman, Lloyd Corp. Prior to that, Dr. Kirnon was the President and Chief Executive Officer of Pepgen Corporation, a biopharmaceutical company based in Alameda, California, specializing in autoimmune diseases. He was formerly the President and CEO of Target Protein Technologies, Inc., a pharmaceutical company based in San Diego and specializing in the development of pharmaceutical compounds targeted to specific tissues and organs of the human body. Prior to TPT, he was the President and COO and a member of the board of Yamanouchi Pharma Technologies, Inc., which is responsible for developing and commercializing Yamanouchi’s proprietary drug delivery technologies as well as the U.S. development and manufacture of Yamanouchi’s pharmaceuticals. Previously, Dr. Kirnon was the President of the Drug Delivery Division of Cygnus, Inc., successfully leading that Division into profitability and subsequently through sale of its business. Dr. Kirnon has also held various business development, sales, and marketing positions at Cygnus, Biogenex Laboratories, Inc., and GlaxoSmithKline plc. Dr. Kirnon received his doctorate in organization change and transformational leadership from as well as his M.B.A. from Pepperdine University, where he is an Adjunct Professor. He received a B.A. degree in Biochemistry from Harvard University. He is also a trustee of the New England College of Optometry.</w:t>
      </w:r>
    </w:p>
    <w:p>
      <w:pPr>
        <w:spacing w:after="0" w:line="16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We believe Dr. Kirnon was able to make valuable contributions to our board of directors due to his extensive operational experience in the biomedical and pharmaceutical industries, and his knowledge of our company.</w:t>
      </w:r>
    </w:p>
    <w:p>
      <w:pPr>
        <w:spacing w:after="0" w:line="17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Rajen Dalai</w:t>
      </w:r>
      <w:r>
        <w:rPr>
          <w:rFonts w:ascii="Arial" w:cs="Arial" w:eastAsia="Arial" w:hAnsi="Arial"/>
          <w:sz w:val="18"/>
          <w:szCs w:val="18"/>
          <w:color w:val="auto"/>
        </w:rPr>
        <w:t>. Mr. Dalai joined our Board of Directors in April 2016. Mr. Dalal has served as the CEO and board member of several medical device</w:t>
      </w:r>
      <w:r>
        <w:rPr>
          <w:rFonts w:ascii="Arial" w:cs="Arial" w:eastAsia="Arial" w:hAnsi="Arial"/>
          <w:sz w:val="18"/>
          <w:szCs w:val="18"/>
          <w:i w:val="1"/>
          <w:iCs w:val="1"/>
          <w:color w:val="auto"/>
        </w:rPr>
        <w:t xml:space="preserve"> </w:t>
      </w:r>
      <w:r>
        <w:rPr>
          <w:rFonts w:ascii="Arial" w:cs="Arial" w:eastAsia="Arial" w:hAnsi="Arial"/>
          <w:sz w:val="18"/>
          <w:szCs w:val="18"/>
          <w:color w:val="auto"/>
        </w:rPr>
        <w:t>companies including from 2011-2015, ReLIA Diagnostic Systems, Inc., a point-of-care diagnostics company selling blood tests used in emergency medicine. Mr. Dalal also served from 2008 to 2010 on the board of Singapore based A-Bio Pharma and Dx Assays, from 2006 to 2008 as CEO and director of Aviir, a medical device company which commercialized multi-protein biomarker test for detecting risk of acute myocardial infarction, from 2003 to 2008 on the board of directors for Vermillion, a public ovarian cancer diagnostics company, from 2002 to 2005 as CEO and a director of Guava Technologies, which commercialized a low cost bench top flow cytometer for HIV/AIDS testing (US FDA cleared), and from 2000 to 2002 on the HHS Committee for Blood Safety and Availability. Mr. Dalal was previously with Chiron as President of its Blood Testing division (HIV/HCV/retroviral nucleic acid and immune testing) as well as its Vice President, Corporate Development. Prior to working in biotech, Mr. Dalai was at McKinsey &amp; Co in New York and Cleveland. He is a graduate of the University of Chicago, MIT and St. Xavier’s College, Bombay with degrees in business, biochemical engineering and chemistry respectively.</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00"/>
          </w:cols>
          <w:pgMar w:left="240" w:top="459" w:right="259" w:bottom="1440" w:gutter="0" w:footer="0" w:header="0"/>
          <w:type w:val="continuous"/>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We believe Mr. Dalal is able to make a valuable contribution to our board of directors due to his extensive operational experience and board oversight in a diverse range of healthcare companies.</w:t>
      </w:r>
    </w:p>
    <w:p>
      <w:pPr>
        <w:spacing w:after="0" w:line="17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 xml:space="preserve">Stuart J.M Collinson, Ph.D. </w:t>
      </w:r>
      <w:r>
        <w:rPr>
          <w:rFonts w:ascii="Arial" w:cs="Arial" w:eastAsia="Arial" w:hAnsi="Arial"/>
          <w:sz w:val="18"/>
          <w:szCs w:val="18"/>
          <w:color w:val="auto"/>
        </w:rPr>
        <w:t>Dr. Collinson has been a member of our board of directors since March 2017. He currently serves as a partner at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Ventures, a venture capital firm. Previously he was Chairman and CEO of Aurora Biosciences. Dr. Collinson is currently the Chief Executive Officer and member of the board of Tioga Pharmaceuticals from 2005 and Arcturus Therapeutics from 2014. He was a member of the boards of Affinium Pharmaceuticals from 2007 to 2014, Oxagen from 2001 to 2012 and VertexPharmaceuticals from 2002 to 2011. Dr. Collinson held senior management positions with Glaxo Wellcome from December 1994 to June 1998, most recently serving as Co-Chairman, Hospital and Critical Care Therapy Management Team and Director of Hospital and Critical Care. Dr. Collinson received his Ph.D. in physical chemistry from the University of Oxford, England and his M.B.A. from Harvard University.</w:t>
      </w:r>
    </w:p>
    <w:p>
      <w:pPr>
        <w:spacing w:after="0" w:line="18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We believe Dr. Collinson is able to make valuable contributions to our Board of Directors due to his significant financial experience and his expertise in our industry.</w:t>
      </w:r>
    </w:p>
    <w:p>
      <w:pPr>
        <w:spacing w:after="0" w:line="17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Mahendra G. Shah, Ph.D. </w:t>
      </w:r>
      <w:r>
        <w:rPr>
          <w:rFonts w:ascii="Arial" w:cs="Arial" w:eastAsia="Arial" w:hAnsi="Arial"/>
          <w:sz w:val="16"/>
          <w:szCs w:val="16"/>
          <w:color w:val="auto"/>
        </w:rPr>
        <w:t>Dr. Shah has been a member of our board of directors since March 2017. Dr. Shah has been with at Vivo Capital, LLC, a</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focused investment firm, since March 2010, and is currently serving as its managing director. Dr. Shah is the founder and executive chairman of Semnur Pharmaceuticals. Dr. Shah previously served as chairman of the board of Essentialis, as a board member of Bolt Therapeutics, Impel Neuropharma, Fortis Inc., Crinetic Pharmaceuticals, Verona Pharma and a member of the board of trustees of St. John’s University. He is also a board member and charter member of EPPIC and a charter member of TIE. From September 2005 to December 2009, he was the founder, chairman and CEO of NextWave Pharmaceuticals, a pediatric focused specialty pharmaceutical company, which was acquired by Pfizer. From 1993 to May 2003, he was the chairman and CEO of First Horizon Pharmaceuticals, a publicly traded specialty pharmaceutical company before it was sold to Shionogi Pharmaceuticals. From 1991 to October 1999, he was vice president of E. J. Financial Enterprises, Inc., a healthcare fund management company. He previously served on the boards of Biotie therapies (BITI), Unimed Pharmaceuticals (UMED), Introgen Therapeutics (INGN), Inpharmakon, Protomed, Structural Bioinformatics, and Zarix. From 1987 to 1991 he was the senior director of new business development with Fujisawa USA (Astellas). Prior to that time he worked in various scientific and management positions with Schering-Plough and Bristol Myers-Squibb. Dr. Shah received his Ph.D. in industrial pharmacy from St. John’s University and his Bachelor’s and Master’s Degree in Pharmacy from L.M. College of Pharmacy in Gujarat, India.</w:t>
      </w:r>
    </w:p>
    <w:p>
      <w:pPr>
        <w:spacing w:after="0" w:line="16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We believe Dr. Shah is able to make a valuable contribution to our Board of Directors due to his vast experience as a finance professional in the biomedical and pharmaceutical industries.</w:t>
      </w:r>
    </w:p>
    <w:p>
      <w:pPr>
        <w:spacing w:after="0" w:line="170"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i w:val="1"/>
          <w:iCs w:val="1"/>
          <w:color w:val="auto"/>
        </w:rPr>
        <w:t>James Glasheen</w:t>
      </w:r>
      <w:r>
        <w:rPr>
          <w:rFonts w:ascii="Arial" w:cs="Arial" w:eastAsia="Arial" w:hAnsi="Arial"/>
          <w:sz w:val="17"/>
          <w:szCs w:val="17"/>
          <w:color w:val="auto"/>
        </w:rPr>
        <w:t>. Dr. Glasheen has been a member of our Board of Directors since March 2017. Since 2002, Dr. Glasheen has served as a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partner with Technology Partners, a venture capital firm that focuses on clean tech and life science companies. Prior to his work at Technology Partners, he served as Managing Director of CIT Venture Capital. From 1996 to 2000, he was a leader within McKinsey &amp; Company’s Pharmaceutical and Medical Products Practice. Dr. Glasheen holds a B.S. from Duke University and an M.A. and Ph.D. from Harvard University.</w:t>
      </w:r>
    </w:p>
    <w:p>
      <w:pPr>
        <w:spacing w:after="0" w:line="171"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We believe Dr. Glasheen is able to make valuable contributions to our Board of Directors due to his experience facilitating the growth of venture-backed companies, his experiences with McKinsey &amp; Company and his consumer medical company expertise.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Our business and affairs are managed under the direction of our board of directors, which currently consists of seven members. The members of our board of directors were elected in compliance with the provisions of our amended and restated certificate of incorporation. None of our stockholders have any special rights regarding the election or designation of members of our board of directors.</w:t>
      </w:r>
    </w:p>
    <w:p>
      <w:pPr>
        <w:spacing w:after="0" w:line="181" w:lineRule="exact"/>
        <w:rPr>
          <w:sz w:val="20"/>
          <w:szCs w:val="20"/>
          <w:color w:val="auto"/>
        </w:rPr>
      </w:pPr>
    </w:p>
    <w:p>
      <w:pPr>
        <w:jc w:val="both"/>
        <w:ind w:right="160" w:firstLine="456"/>
        <w:spacing w:after="0" w:line="286" w:lineRule="auto"/>
        <w:rPr>
          <w:sz w:val="20"/>
          <w:szCs w:val="20"/>
          <w:color w:val="auto"/>
        </w:rPr>
      </w:pPr>
      <w:r>
        <w:rPr>
          <w:rFonts w:ascii="Arial" w:cs="Arial" w:eastAsia="Arial" w:hAnsi="Arial"/>
          <w:sz w:val="17"/>
          <w:szCs w:val="17"/>
          <w:color w:val="auto"/>
        </w:rPr>
        <w:t>In accordance with our amended and restated certificate of incorporation, our board of directors is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are divided among the three classes as follows:</w:t>
      </w:r>
    </w:p>
    <w:p>
      <w:pPr>
        <w:spacing w:after="0" w:line="71"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Class I directors are Dr. Shah and Mr. Dalal, and their terms will expire at our annual meeting of stockholders to be held later in 2018;</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 director is Dr. Glasheen, and the terms will expire at our annual meeting of stockholders to be held in 2019; and</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Class III directors are Drs. Bhatnagar, Collinson and Mario and Mr. Harris, and their terms will expire at our annual meeting of stockholders to be held in 2020.</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We expect that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could potentially delay or prevent a change of our management or a change in control of our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Under the listing requirements and rules of The NASDAQ Capital Market, or NASDAQ, independent directors must comprise a majority of a listed company’s board of directors, subject to certain phase-ins.</w:t>
      </w:r>
    </w:p>
    <w:p>
      <w:pPr>
        <w:spacing w:after="0" w:line="17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performed a review of its composition, the composition of its committees, and the independence of each director. Based upon information requested from and provided by each director concerning such director’s background, employment and affiliations, including family relationships, our board of directors determined that Messrs. Dalal and Harris, and Drs. Glasheen, Shah and Collinson have no relationships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NASDAQ. In making this determination, our board of directors considered the current and prior relationships that each non-employee director has with our company, any other transactional relationships a non-employee director may have with our company, and all other facts and circumstances our board of directors deemed relevant in determining their independence, including the beneficial ownership of our capital stock held by each non-employee director and any of his and our respective affiliates.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board of directors has a Chairman, Dr. Mario, who has authority, among other things, to preside over board of directors meetings, and to call special meetings of the board of directors. Accordingly, the Chairman has substantial ability to shape the work of our board of directors. We currently believe that separation of the roles of Chairman and Chief Executive Officer reinforces the leadership role of our board of directors in its oversight of the business and affairs of our company. In addition, we currently believe that having a separate Chairman creates an environment that is more conducive to objective evaluation and oversight of management’s performance, increasing management accountability and improving the ability of our board of directors to monitor whether management’s actions are in the best interests of our company and its stockholders. However, no single leadership model is right for all companies and at all times. Our board of directors recognizes that depending on the circumstances, other leadership models, such as combining the role of Chairman with the role of Chief Executive Officer, might be appropriate. As a result, our board of directors may periodically review its leadership structure.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Our board of directors has the authority to appoint committees to perform certain management and administration functions. Our board of directors has an audit committee, a compensation committee and a nominating and corporate governance committee. The composition and responsibilities of each committee are described below. Members will serve on these committees until their resignation or until otherwise determined by our board of directors. The inclusion of our website address in this prospectus does not incorporate by reference the information on or accessible through our website into this prospectus.</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audit committee consists of James Glasheen, Stuart Collinson and William G. Harris, each of whom satisfies the independence requirements under NASDAQ listing standards and Rule 10A-3(b)(1) of the Exchange Act. The chairperson of our audit committee is Mr. Harris. Each member of our audit committee can read and understand fundamental financial statements in accordance with audit committee requirements. In arriving at this determination, our board of directors has examined each audit committee member’s scope of experience and the nature of their employment in the corporate finance sector.</w:t>
      </w:r>
    </w:p>
    <w:p>
      <w:pPr>
        <w:spacing w:after="0" w:line="154"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Our audit committee oversees our corporate accounting and financial reporting process and assists our board of directors in oversight of the integrity of our financial statements, our compliance with legal and regulatory requirements, our independent auditor’s qualifications, independence and performance and our internal accounting and financial controls. Our audit committee is responsible for the appointment, compensation, retention and oversight of our independent auditors. Our board of directors has determined that Mr. Harris is an audit committee financial expert, as defined by the rules promulgated by the Securities Exchange and Commission.</w:t>
      </w:r>
    </w:p>
    <w:p>
      <w:pPr>
        <w:spacing w:after="0" w:line="188"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 xml:space="preserve">The charter of the audit committee is available on our website at </w:t>
      </w:r>
      <w:r>
        <w:rPr>
          <w:rFonts w:ascii="Arial" w:cs="Arial" w:eastAsia="Arial" w:hAnsi="Arial"/>
          <w:sz w:val="18"/>
          <w:szCs w:val="18"/>
          <w:i w:val="1"/>
          <w:iCs w:val="1"/>
          <w:color w:val="auto"/>
        </w:rPr>
        <w:t>www.soleno.life</w:t>
      </w:r>
      <w:r>
        <w:rPr>
          <w:rFonts w:ascii="Arial" w:cs="Arial" w:eastAsia="Arial" w:hAnsi="Arial"/>
          <w:sz w:val="18"/>
          <w:szCs w:val="18"/>
          <w:color w:val="auto"/>
        </w:rPr>
        <w:t>. The inclusion of our website address in this prospectus does not include or incorporate by reference into this prospectus the information on or accessible through our website.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right="200" w:firstLine="456"/>
        <w:spacing w:after="0" w:line="312" w:lineRule="auto"/>
        <w:rPr>
          <w:sz w:val="20"/>
          <w:szCs w:val="20"/>
          <w:color w:val="auto"/>
        </w:rPr>
      </w:pPr>
      <w:r>
        <w:rPr>
          <w:rFonts w:ascii="Arial" w:cs="Arial" w:eastAsia="Arial" w:hAnsi="Arial"/>
          <w:sz w:val="16"/>
          <w:szCs w:val="16"/>
          <w:color w:val="auto"/>
        </w:rPr>
        <w:t>Our compensation committee consists of William G. Harris, Rajen Dalal, Mahendra Shah and Ernest Mario, each of whom our board of directors has determined to be independent under NASDAQ listing standards, a “non-employee director” as defined in Rule 16b-3 promulgated under the Exchange Act, and an “outside director” as that term is defined in Section 162(m) of the Code. The chairperson of our compensation committee is Dr. Shah.</w:t>
      </w:r>
    </w:p>
    <w:p>
      <w:pPr>
        <w:spacing w:after="0" w:line="14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compensation committee oversees our compensation policies, plans and benefits programs and assists our board of directors in meeting its responsibilities with regard to oversight and determination of executive compensation. In addition, our compensation committee reviews and makes recommendations to our board of directors with respect to our major compensation plans, policies and programs and assesses whether our compensation structure establishes appropriate incentives for officers and employees.</w:t>
      </w:r>
    </w:p>
    <w:p>
      <w:pPr>
        <w:spacing w:after="0" w:line="18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 xml:space="preserve">The charter of the compensation committee is available on our website at </w:t>
      </w:r>
      <w:r>
        <w:rPr>
          <w:rFonts w:ascii="Arial" w:cs="Arial" w:eastAsia="Arial" w:hAnsi="Arial"/>
          <w:sz w:val="18"/>
          <w:szCs w:val="18"/>
          <w:i w:val="1"/>
          <w:iCs w:val="1"/>
          <w:color w:val="auto"/>
        </w:rPr>
        <w:t>www.soleno.life</w:t>
      </w:r>
      <w:r>
        <w:rPr>
          <w:rFonts w:ascii="Arial" w:cs="Arial" w:eastAsia="Arial" w:hAnsi="Arial"/>
          <w:sz w:val="18"/>
          <w:szCs w:val="18"/>
          <w:color w:val="auto"/>
        </w:rPr>
        <w:t>. The inclusion of our website address in this prospectus does not include or incorporate by reference into this prospectus the information on or accessible through our website.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nominating and corporate governance committee consists of James Glasheen, Rajen Dalal, Mahendra Shah and Stuart Collinson, each of whom our board of directors has determined to be independent under NASDAQ listing standards. The chairperson of our nominating and corporate governance committee is Dr. Glasheen.</w:t>
      </w:r>
    </w:p>
    <w:p>
      <w:pPr>
        <w:spacing w:after="0" w:line="181"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Our nominating and corporate governance committee is responsible for making recommendations to our board of directors regarding candidates for directorships and the size and composition of the board of directors and its committees. In addition, our nominating and corporate governance committee is responsible for reviewing and making recommendations to our board of directors on matters concerning corporate governance and conflicts of interest.</w:t>
      </w:r>
    </w:p>
    <w:p>
      <w:pPr>
        <w:spacing w:after="0" w:line="147" w:lineRule="exact"/>
        <w:rPr>
          <w:sz w:val="20"/>
          <w:szCs w:val="20"/>
          <w:color w:val="auto"/>
        </w:rPr>
      </w:pPr>
    </w:p>
    <w:p>
      <w:pPr>
        <w:ind w:right="40" w:firstLine="456"/>
        <w:spacing w:after="0" w:line="308" w:lineRule="auto"/>
        <w:rPr>
          <w:sz w:val="20"/>
          <w:szCs w:val="20"/>
          <w:color w:val="auto"/>
        </w:rPr>
      </w:pPr>
      <w:r>
        <w:rPr>
          <w:rFonts w:ascii="Arial" w:cs="Arial" w:eastAsia="Arial" w:hAnsi="Arial"/>
          <w:sz w:val="17"/>
          <w:szCs w:val="17"/>
          <w:color w:val="auto"/>
        </w:rPr>
        <w:t xml:space="preserve">The charter of the nominating and corporate governance committee is available on our website at </w:t>
      </w:r>
      <w:r>
        <w:rPr>
          <w:rFonts w:ascii="Arial" w:cs="Arial" w:eastAsia="Arial" w:hAnsi="Arial"/>
          <w:sz w:val="17"/>
          <w:szCs w:val="17"/>
          <w:i w:val="1"/>
          <w:iCs w:val="1"/>
          <w:color w:val="auto"/>
        </w:rPr>
        <w:t>www.soleno.life</w:t>
      </w:r>
      <w:r>
        <w:rPr>
          <w:rFonts w:ascii="Arial" w:cs="Arial" w:eastAsia="Arial" w:hAnsi="Arial"/>
          <w:sz w:val="17"/>
          <w:szCs w:val="17"/>
          <w:color w:val="auto"/>
        </w:rPr>
        <w:t>. The inclusion of our website address in this prospectus does not include or incorporate by reference into this prospectus the information on or accessible through our website.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12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Our board of directors oversees an enterprise-wide approach to risk management, designed to support the achievement of business objectives, including organizational and strategic objectives, to improve long-term organizational performance and enhance stockholder value. The involvement of our board of directors in setting our business strategy is a key part of its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assessment of management’s plans for risk management and its determination of what constitutes an appropriate level of risk for our company. The participation of our board of directors in our risk oversight process includes receiving regular reports from members of senior management on areas of material risk to our company, including operational, financial, legal and regulatory, and strategic and reputational risks.</w:t>
      </w:r>
    </w:p>
    <w:p>
      <w:pPr>
        <w:spacing w:after="0" w:line="166"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While our board of directors has the ultimate responsibility for the risk management process, senior management and various committees of our board of directors also have responsibility for certain areas of risk management.</w:t>
      </w:r>
    </w:p>
    <w:p>
      <w:pPr>
        <w:spacing w:after="0" w:line="170" w:lineRule="exact"/>
        <w:rPr>
          <w:sz w:val="20"/>
          <w:szCs w:val="20"/>
          <w:color w:val="auto"/>
        </w:rPr>
      </w:pPr>
    </w:p>
    <w:p>
      <w:pPr>
        <w:jc w:val="both"/>
        <w:ind w:right="140" w:firstLine="456"/>
        <w:spacing w:after="0" w:line="279" w:lineRule="auto"/>
        <w:rPr>
          <w:sz w:val="20"/>
          <w:szCs w:val="20"/>
          <w:color w:val="auto"/>
        </w:rPr>
      </w:pPr>
      <w:r>
        <w:rPr>
          <w:rFonts w:ascii="Arial" w:cs="Arial" w:eastAsia="Arial" w:hAnsi="Arial"/>
          <w:sz w:val="17"/>
          <w:szCs w:val="17"/>
          <w:color w:val="auto"/>
        </w:rPr>
        <w:t>Our senior management team is responsible for day-to-day risk management and regularly reports on risks to our full board of directors or a relevant committee. Our finance and regulatory personnel serve as the primary monitoring and evaluation function for company-wide policies and procedures, and manage the day-to-day oversight of the risk management strategy for our ongoing business. This oversight includes identifying, evaluating, and addressing potential risks that may exist at the enterprise, strategic, financial, operational, compliance and reporting levels.</w:t>
      </w:r>
    </w:p>
    <w:p>
      <w:pPr>
        <w:spacing w:after="0" w:line="171" w:lineRule="exact"/>
        <w:rPr>
          <w:sz w:val="20"/>
          <w:szCs w:val="20"/>
          <w:color w:val="auto"/>
        </w:rPr>
      </w:pPr>
    </w:p>
    <w:p>
      <w:pPr>
        <w:jc w:val="both"/>
        <w:ind w:right="220" w:firstLine="456"/>
        <w:spacing w:after="0" w:line="312" w:lineRule="auto"/>
        <w:rPr>
          <w:sz w:val="20"/>
          <w:szCs w:val="20"/>
          <w:color w:val="auto"/>
        </w:rPr>
      </w:pPr>
      <w:r>
        <w:rPr>
          <w:rFonts w:ascii="Arial" w:cs="Arial" w:eastAsia="Arial" w:hAnsi="Arial"/>
          <w:sz w:val="16"/>
          <w:szCs w:val="16"/>
          <w:color w:val="auto"/>
        </w:rPr>
        <w:t>Our audit committee focuses on monitoring and discussing our major financial risk exposures and the steps management has taken to monitor and control such exposures, including our risk assessment and risk management policies. As appropriate, the audit committee provides reports to and receive direction from the full board of directors regarding our risk management policies and guidelines, as well as the audit committee’s risk oversight activities.</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addition, our compensation committee assesses our compensation policies to confirm that the compensation policies and practices do not encourage unnecessary risk taking. The compensation committee reviews and discusses the relationship between risk management policies and practices, corporate strategy and senior executive compensation and, when appropriate, report on the findings from the discussions to our board of directors. Our compensation committee intends to set performance metrics that will create incentives for our senior executives that encourage an appropriate level of risk-taking that is commensurate with our short-term and long-term strategies.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20" w:firstLine="456"/>
        <w:spacing w:after="0" w:line="302" w:lineRule="auto"/>
        <w:rPr>
          <w:sz w:val="20"/>
          <w:szCs w:val="20"/>
          <w:color w:val="auto"/>
        </w:rPr>
      </w:pPr>
      <w:r>
        <w:rPr>
          <w:rFonts w:ascii="Arial" w:cs="Arial" w:eastAsia="Arial" w:hAnsi="Arial"/>
          <w:sz w:val="16"/>
          <w:szCs w:val="16"/>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Arial" w:cs="Arial" w:eastAsia="Arial" w:hAnsi="Arial"/>
          <w:sz w:val="16"/>
          <w:szCs w:val="16"/>
          <w:i w:val="1"/>
          <w:iCs w:val="1"/>
          <w:color w:val="auto"/>
        </w:rPr>
        <w:t>www.soleno.life</w:t>
      </w:r>
      <w:r>
        <w:rPr>
          <w:rFonts w:ascii="Arial" w:cs="Arial" w:eastAsia="Arial" w:hAnsi="Arial"/>
          <w:sz w:val="16"/>
          <w:szCs w:val="16"/>
          <w:color w:val="auto"/>
        </w:rPr>
        <w:t>. We intend to disclose any amendments to the code, or any waivers of its requirements, on our website to the extent required by the applicable rules and exchange requirements. The inclusion of our website address in this prospectus does not incorporate by reference the information on or accessible through our website into this prospectus.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None of the members of our compensation committee has ever been an officer or employee of our company. None of our executive officers serve, or have served during the last fiscal year, as a member of a board of directors, compensation committee or other board committee performing equivalent functions of any entity that has one or more executive officers serving on our board directors or on our compensation committee.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Directors who are employees do not receive any additional compensation for their service on our board of directors. We reimburse our non-employee directors for their reasonable out-of-pocket costs and travel expenses in connection with their attendance at board of directors and committee meetings.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compensation earned by our non-employee directors during the fiscal year ended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3000" w:type="dxa"/>
            <w:vAlign w:val="bottom"/>
            <w:vMerge w:val="restart"/>
          </w:tcPr>
          <w:p>
            <w:pPr>
              <w:spacing w:after="0"/>
              <w:rPr>
                <w:sz w:val="14"/>
                <w:szCs w:val="14"/>
                <w:color w:val="auto"/>
              </w:rPr>
            </w:pPr>
          </w:p>
        </w:tc>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Cash</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Option</w:t>
            </w:r>
          </w:p>
        </w:tc>
        <w:tc>
          <w:tcPr>
            <w:tcW w:w="240" w:type="dxa"/>
            <w:vAlign w:val="bottom"/>
          </w:tcPr>
          <w:p>
            <w:pPr>
              <w:spacing w:after="0"/>
              <w:rPr>
                <w:sz w:val="14"/>
                <w:szCs w:val="14"/>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Stock</w:t>
            </w:r>
          </w:p>
        </w:tc>
        <w:tc>
          <w:tcPr>
            <w:tcW w:w="6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40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3000" w:type="dxa"/>
            <w:vAlign w:val="bottom"/>
          </w:tcPr>
          <w:p>
            <w:pPr>
              <w:spacing w:after="0"/>
              <w:rPr>
                <w:sz w:val="15"/>
                <w:szCs w:val="15"/>
                <w:color w:val="auto"/>
              </w:rPr>
            </w:pPr>
          </w:p>
        </w:tc>
        <w:tc>
          <w:tcPr>
            <w:tcW w:w="13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w:t>
            </w:r>
          </w:p>
        </w:tc>
        <w:tc>
          <w:tcPr>
            <w:tcW w:w="8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Awards(1)</w:t>
            </w:r>
          </w:p>
        </w:tc>
        <w:tc>
          <w:tcPr>
            <w:tcW w:w="240" w:type="dxa"/>
            <w:vAlign w:val="bottom"/>
          </w:tcPr>
          <w:p>
            <w:pPr>
              <w:spacing w:after="0"/>
              <w:rPr>
                <w:sz w:val="15"/>
                <w:szCs w:val="15"/>
                <w:color w:val="auto"/>
              </w:rPr>
            </w:pPr>
          </w:p>
        </w:tc>
        <w:tc>
          <w:tcPr>
            <w:tcW w:w="10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0"/>
              </w:rPr>
              <w:t>Awards</w:t>
            </w: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Edgar G. Engleman(2)</w:t>
            </w:r>
          </w:p>
        </w:tc>
        <w:tc>
          <w:tcPr>
            <w:tcW w:w="30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8,750</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88"/>
              </w:rPr>
              <w:t>$ 19,707</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$26,250</w:t>
            </w:r>
          </w:p>
        </w:tc>
        <w:tc>
          <w:tcPr>
            <w:tcW w:w="4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$54,707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Ernie Mario(3)</w:t>
            </w:r>
          </w:p>
        </w:tc>
        <w:tc>
          <w:tcPr>
            <w:tcW w:w="318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15,000</w:t>
            </w:r>
          </w:p>
        </w:tc>
        <w:tc>
          <w:tcPr>
            <w:tcW w:w="860" w:type="dxa"/>
            <w:vAlign w:val="bottom"/>
            <w:gridSpan w:val="2"/>
          </w:tcPr>
          <w:p>
            <w:pPr>
              <w:spacing w:after="0"/>
              <w:rPr>
                <w:sz w:val="20"/>
                <w:szCs w:val="20"/>
                <w:color w:val="auto"/>
              </w:rPr>
            </w:pPr>
            <w:r>
              <w:rPr>
                <w:rFonts w:ascii="Arial" w:cs="Arial" w:eastAsia="Arial" w:hAnsi="Arial"/>
                <w:sz w:val="18"/>
                <w:szCs w:val="18"/>
                <w:color w:val="auto"/>
              </w:rPr>
              <w:t>$ 19,707</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$45,000</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$79,707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Steinar J. Engelsen(4)</w:t>
            </w:r>
          </w:p>
        </w:tc>
        <w:tc>
          <w:tcPr>
            <w:tcW w:w="318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14,000</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$ 19,707</w:t>
            </w:r>
          </w:p>
        </w:tc>
        <w:tc>
          <w:tcPr>
            <w:tcW w:w="12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$42,000</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$75,707</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Stephen Kirnon(5)</w:t>
            </w:r>
          </w:p>
        </w:tc>
        <w:tc>
          <w:tcPr>
            <w:tcW w:w="3180" w:type="dxa"/>
            <w:vAlign w:val="bottom"/>
            <w:gridSpan w:val="2"/>
          </w:tcPr>
          <w:p>
            <w:pPr>
              <w:ind w:left="30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13,625</w:t>
            </w:r>
          </w:p>
        </w:tc>
        <w:tc>
          <w:tcPr>
            <w:tcW w:w="860" w:type="dxa"/>
            <w:vAlign w:val="bottom"/>
            <w:gridSpan w:val="2"/>
          </w:tcPr>
          <w:p>
            <w:pPr>
              <w:spacing w:after="0"/>
              <w:rPr>
                <w:sz w:val="20"/>
                <w:szCs w:val="20"/>
                <w:color w:val="auto"/>
              </w:rPr>
            </w:pPr>
            <w:r>
              <w:rPr>
                <w:rFonts w:ascii="Arial" w:cs="Arial" w:eastAsia="Arial" w:hAnsi="Arial"/>
                <w:sz w:val="18"/>
                <w:szCs w:val="18"/>
                <w:color w:val="auto"/>
              </w:rPr>
              <w:t>$ 19,707</w:t>
            </w:r>
          </w:p>
        </w:tc>
        <w:tc>
          <w:tcPr>
            <w:tcW w:w="128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$40,875</w:t>
            </w:r>
          </w:p>
        </w:tc>
        <w:tc>
          <w:tcPr>
            <w:tcW w:w="6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$74,207</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G. Harris(6)</w:t>
            </w:r>
          </w:p>
        </w:tc>
        <w:tc>
          <w:tcPr>
            <w:tcW w:w="3180" w:type="dxa"/>
            <w:vAlign w:val="bottom"/>
            <w:gridSpan w:val="2"/>
            <w:shd w:val="clear" w:color="auto" w:fill="CCEEFF"/>
          </w:tcPr>
          <w:p>
            <w:pPr>
              <w:ind w:left="30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13,750</w:t>
            </w: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$ 19,707</w:t>
            </w:r>
          </w:p>
        </w:tc>
        <w:tc>
          <w:tcPr>
            <w:tcW w:w="128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$41,250</w:t>
            </w:r>
          </w:p>
        </w:tc>
        <w:tc>
          <w:tcPr>
            <w:tcW w:w="6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9"/>
              </w:rPr>
              <w:t>$74,707</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000" w:type="dxa"/>
            <w:vAlign w:val="bottom"/>
          </w:tcPr>
          <w:p>
            <w:pPr>
              <w:ind w:left="176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92" w:name="page93"/>
    <w:bookmarkEnd w:id="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76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3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460" w:type="dxa"/>
            <w:vAlign w:val="bottom"/>
            <w:tcBorders>
              <w:top w:val="single" w:sz="8" w:color="0000EE"/>
            </w:tcBorders>
            <w:vMerge w:val="restart"/>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4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Rajen Dalal(7)</w:t>
            </w:r>
          </w:p>
        </w:tc>
        <w:tc>
          <w:tcPr>
            <w:tcW w:w="3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$9,625</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$19,707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James Glasheen (8)</w:t>
            </w:r>
          </w:p>
        </w:tc>
        <w:tc>
          <w:tcPr>
            <w:tcW w:w="3480" w:type="dxa"/>
            <w:vAlign w:val="bottom"/>
          </w:tcPr>
          <w:p>
            <w:pPr>
              <w:jc w:val="right"/>
              <w:ind w:right="70"/>
              <w:spacing w:after="0"/>
              <w:rPr>
                <w:sz w:val="20"/>
                <w:szCs w:val="20"/>
                <w:color w:val="auto"/>
              </w:rPr>
            </w:pPr>
            <w:r>
              <w:rPr>
                <w:rFonts w:ascii="Arial" w:cs="Arial" w:eastAsia="Arial" w:hAnsi="Arial"/>
                <w:sz w:val="18"/>
                <w:szCs w:val="18"/>
                <w:color w:val="auto"/>
              </w:rPr>
              <w:t>$2,375</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$27,207</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$30,000</w:t>
            </w:r>
          </w:p>
        </w:tc>
        <w:tc>
          <w:tcPr>
            <w:tcW w:w="820" w:type="dxa"/>
            <w:vAlign w:val="bottom"/>
          </w:tcPr>
          <w:p>
            <w:pPr>
              <w:jc w:val="right"/>
              <w:spacing w:after="0"/>
              <w:rPr>
                <w:sz w:val="20"/>
                <w:szCs w:val="20"/>
                <w:color w:val="auto"/>
              </w:rPr>
            </w:pPr>
            <w:r>
              <w:rPr>
                <w:rFonts w:ascii="Arial" w:cs="Arial" w:eastAsia="Arial" w:hAnsi="Arial"/>
                <w:sz w:val="18"/>
                <w:szCs w:val="18"/>
                <w:color w:val="auto"/>
              </w:rPr>
              <w:t>$59,582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Collinson (9)</w:t>
            </w:r>
          </w:p>
        </w:tc>
        <w:tc>
          <w:tcPr>
            <w:tcW w:w="3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$2,363</w:t>
            </w:r>
          </w:p>
        </w:tc>
        <w:tc>
          <w:tcPr>
            <w:tcW w:w="9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$27,207</w:t>
            </w:r>
          </w:p>
        </w:tc>
        <w:tc>
          <w:tcPr>
            <w:tcW w:w="9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$28,875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Mahendra Shah (10)</w:t>
            </w:r>
          </w:p>
        </w:tc>
        <w:tc>
          <w:tcPr>
            <w:tcW w:w="3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$27,207</w:t>
            </w: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$26,250</w:t>
            </w:r>
          </w:p>
        </w:tc>
        <w:tc>
          <w:tcPr>
            <w:tcW w:w="820" w:type="dxa"/>
            <w:vAlign w:val="bottom"/>
          </w:tcPr>
          <w:p>
            <w:pPr>
              <w:jc w:val="right"/>
              <w:spacing w:after="0"/>
              <w:rPr>
                <w:sz w:val="20"/>
                <w:szCs w:val="20"/>
                <w:color w:val="auto"/>
              </w:rPr>
            </w:pPr>
            <w:r>
              <w:rPr>
                <w:rFonts w:ascii="Arial" w:cs="Arial" w:eastAsia="Arial" w:hAnsi="Arial"/>
                <w:sz w:val="18"/>
                <w:szCs w:val="18"/>
                <w:color w:val="auto"/>
              </w:rPr>
              <w:t>$53,457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5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 this column reflect the aggregate grant date fair value of each option award granted during the fiscal year, computed in accordance with FASB ASC Topic 718. The valuation assumptions used in determining such amounts are described in Note 6 and Note 9 to our financial statements included in this prospectus. The table below lists the aggregate number of shares and additional information with respect to the outstanding option awards held by each of our non-employee directors.</w:t>
      </w:r>
    </w:p>
    <w:p>
      <w:pPr>
        <w:spacing w:after="0" w:line="2"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Dr. Engleman joined our Board in June 2001. During 2017, Dr. Engelman was granted 9,027 shares of our common stock, of which 100% of the shares vest on the earlier of the 12 month anniversary of the date of grant or the day before the next annual meeting of stockholders. Dr. Engleman resigned from our Board effective December 31, 2017.</w:t>
      </w:r>
    </w:p>
    <w:p>
      <w:pPr>
        <w:spacing w:after="0" w:line="1" w:lineRule="exact"/>
        <w:rPr>
          <w:rFonts w:ascii="Arial" w:cs="Arial" w:eastAsia="Arial" w:hAnsi="Arial"/>
          <w:sz w:val="18"/>
          <w:szCs w:val="18"/>
          <w:color w:val="auto"/>
        </w:rPr>
      </w:pPr>
    </w:p>
    <w:p>
      <w:pPr>
        <w:ind w:left="460" w:right="120" w:hanging="452"/>
        <w:spacing w:after="0" w:line="265"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Dr. Mario joined our Board in August 2007. During 2017, Dr. Mario was granted 9,027 shares of our common stock, of which 100% of the shares vest on the earlier of the 12 month anniversary of the date of grant or the day before the next annual meeting of stockholders.</w:t>
      </w:r>
    </w:p>
    <w:p>
      <w:pPr>
        <w:ind w:left="460" w:right="1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Dr. Engelsen joined our Board in April 2004. During 2017, Dr. Engelsen was granted 9,027 shares of our common stock, of which 100% of the shares vest on the earlier of the 12 month anniversary of the date of grant or the day before the next annual meeting of stockholders. Dr. Engelsen resigned from our Board effective December 31, 2017.</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Dr. Kirnon joined our Board in July 2002. During 2017, Dr. Kirnon was granted 9,027 shares of our common stock, of which 100% of the shares vest on the earlier of the 12 month anniversary of the date of grant or the day before the next annual meeting of stockholders. Dr. Kirnon resigned from our Board effective December 31, 2017.</w:t>
      </w:r>
    </w:p>
    <w:p>
      <w:pPr>
        <w:spacing w:after="0" w:line="1"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Harris joined our Board in June 2014. During 2017, Mr. Harris was granted 9,027 shares of our common stock, of which 100% of the shares vest on the earlier of the 12 month anniversary of the date of grant or the day before the next annual meeting of stockholders.</w:t>
      </w:r>
    </w:p>
    <w:p>
      <w:pPr>
        <w:ind w:left="460" w:right="80" w:hanging="452"/>
        <w:spacing w:after="0" w:line="250"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Mr. Dalal joined our Board in April 2016. During 2017, Mr. Dalal was granted 9,027 shares of our common stock, of which 100% of the shares vest on the earlier of the 12 month anniversary of the date of grant or the day before the next annual meeting of stockholders.</w:t>
      </w:r>
    </w:p>
    <w:p>
      <w:pPr>
        <w:jc w:val="both"/>
        <w:ind w:left="460" w:right="4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Dr. Glasheen joined our Board in March 2017. During 2017, Dr. Glasheen was granted an option to purchase 9,027 shares, of which 100% of the shares vest on the earlier of the 12 month anniversary of the date of grant or the day before the next annual meeting of stockholders, and an option to purchase 4,000 shares, which vests as to 1/48th of the shares each month, in each case subject to continued service through each such date.</w:t>
      </w:r>
    </w:p>
    <w:p>
      <w:pPr>
        <w:spacing w:after="0" w:line="2" w:lineRule="exact"/>
        <w:rPr>
          <w:rFonts w:ascii="Arial" w:cs="Arial" w:eastAsia="Arial" w:hAnsi="Arial"/>
          <w:sz w:val="16"/>
          <w:szCs w:val="16"/>
          <w:color w:val="auto"/>
        </w:rPr>
      </w:pPr>
    </w:p>
    <w:p>
      <w:pPr>
        <w:ind w:left="460" w:right="260" w:hanging="452"/>
        <w:spacing w:after="0" w:line="281"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Dr. Collinson joined our Board in March 2017. During 2017, Dr. Collinson was granted an option to purchase 9,027 shares, of which 100% of the shares vest on the earlier of the 12 month anniversary of the date of grant or the day before the next annual meeting of stockholders, and an option to purchase 4,000 shares, which vests as to 1/48th of the shares each month, in each case subject to continued service through each such date</w:t>
      </w:r>
    </w:p>
    <w:p>
      <w:pPr>
        <w:spacing w:after="0" w:line="2" w:lineRule="exact"/>
        <w:rPr>
          <w:rFonts w:ascii="Arial" w:cs="Arial" w:eastAsia="Arial" w:hAnsi="Arial"/>
          <w:sz w:val="16"/>
          <w:szCs w:val="16"/>
          <w:color w:val="auto"/>
        </w:rPr>
      </w:pPr>
    </w:p>
    <w:p>
      <w:pPr>
        <w:ind w:left="460" w:right="100" w:hanging="452"/>
        <w:spacing w:after="0" w:line="277" w:lineRule="auto"/>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Dr. Shah joined our Board in March 2017. During 2017, Dr. Shah was granted an option to purchase 9,027 shares, of which 100% of the shares vest on the earlier of the 12 month anniversary of the date of grant or the day before the next annual meeting of stockholders, and an option to purchase 4,000 shares, which vests as to 1/48th of the shares each month, in each case subject to continued service through each such date</w:t>
      </w:r>
    </w:p>
    <w:p>
      <w:pPr>
        <w:spacing w:after="0" w:line="17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board of directors has adopted a non-employee director compensation policy pursuant to which we will compensate our non-employee directors with a combination of cash and equity. Each such director will receive an annual base cash retainer of $35,000 for such service, to be paid quarterly in the form of shares of our common stock. Each non-employee director will receive an annual stock option grant to purchase that number of shares representing, as of the date of grant, $32,500 of value, which shall be granted effective as of the date of each annual stockholder meeting, and share vest as to 100% of the shares on the earlier of the 12 month anniversary of the date of grant or the day before the next annual stockholder meeting. New members elected to the board of directors shall receive a stock option grant to purchase 20,000 shares of common stock, which shall vest monthly over four years. The policy also provides that we compensate certain members of our Board of Directors for service on our committees as follows:</w:t>
      </w:r>
    </w:p>
    <w:p>
      <w:pPr>
        <w:spacing w:after="0" w:line="73" w:lineRule="exact"/>
        <w:rPr>
          <w:sz w:val="20"/>
          <w:szCs w:val="20"/>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chair or executive chair of our board of directors will receive an annual cash retainer of $25,000 for such service, paid quarterly;</w:t>
      </w:r>
    </w:p>
    <w:p>
      <w:pPr>
        <w:spacing w:after="0" w:line="130" w:lineRule="exact"/>
        <w:rPr>
          <w:rFonts w:ascii="Arial" w:cs="Arial" w:eastAsia="Arial" w:hAnsi="Arial"/>
          <w:sz w:val="18"/>
          <w:szCs w:val="18"/>
          <w:color w:val="auto"/>
        </w:rPr>
      </w:pPr>
    </w:p>
    <w:p>
      <w:pPr>
        <w:ind w:left="660" w:right="70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chairperson of our audit committee will receive an annual cash retainer of $15,000 for such service and each other member of the audit committee will receive an annual cash retainer of $7,500 for such service, paid quarterly;</w:t>
      </w:r>
    </w:p>
    <w:p>
      <w:pPr>
        <w:spacing w:after="0" w:line="75" w:lineRule="exact"/>
        <w:rPr>
          <w:rFonts w:ascii="Arial" w:cs="Arial" w:eastAsia="Arial" w:hAnsi="Arial"/>
          <w:sz w:val="18"/>
          <w:szCs w:val="18"/>
          <w:color w:val="auto"/>
        </w:rPr>
      </w:pPr>
    </w:p>
    <w:p>
      <w:pPr>
        <w:ind w:left="660" w:right="460" w:hanging="206"/>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chairperson of our compensation committee will receive an annual cash retainer of $10,000 for such service and each other member of the compensation committee will receive an annual cash retainer of $5,000 for such service, paid quarterly; and</w:t>
      </w:r>
    </w:p>
    <w:p>
      <w:pPr>
        <w:spacing w:after="0" w:line="75" w:lineRule="exact"/>
        <w:rPr>
          <w:rFonts w:ascii="Arial" w:cs="Arial" w:eastAsia="Arial" w:hAnsi="Arial"/>
          <w:sz w:val="18"/>
          <w:szCs w:val="18"/>
          <w:color w:val="auto"/>
        </w:rPr>
      </w:pPr>
    </w:p>
    <w:p>
      <w:pPr>
        <w:ind w:left="660" w:right="340" w:hanging="206"/>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chairperson of our nominating and corporate governance committee will receive an annual cash retainer of $7,000 for such service and each other member of the nominating and corporate governance committee will receive an annual cash retainer of $3,500, paid quarterly.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46"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As an emerging growth company, we have opted to comply with the executive compensation disclosure rules applicable to “smaller reporting companies,” as such term is defined in the rules promulgated under the Securities Act, which require compensation disclosure for our principal executive officer and the two most highly compensated executive officers other than our principal executive officer. Our named executive officers for the year ended December 31, 2017 are:</w:t>
      </w:r>
    </w:p>
    <w:p>
      <w:pPr>
        <w:spacing w:after="0" w:line="92" w:lineRule="exact"/>
        <w:rPr>
          <w:sz w:val="20"/>
          <w:szCs w:val="20"/>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Anish Bhatnagar, M.D., our Chief Executive Officer, President and Chief Operating Officer;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David D. O’Toole, our Senior Vice President, Chief Financial Officer;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Anthony Wondka, our Senior Vice President, Research &amp; Development.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Throughout this section, we refer to these three officers as our named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Summary Compensation Table</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Summary Compensation Table below sets forth information regarding the compensation awarded to or earned by our named executive officers during the years ended December 31, 2017, 2016, and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Non-equity</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Nonqualified</w:t>
            </w: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7"/>
              </w:rPr>
              <w:t>Option</w:t>
            </w:r>
          </w:p>
        </w:tc>
        <w:tc>
          <w:tcPr>
            <w:tcW w:w="102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Deferred</w:t>
            </w: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All Other</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9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Salary</w:t>
            </w:r>
          </w:p>
        </w:tc>
        <w:tc>
          <w:tcPr>
            <w:tcW w:w="8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8"/>
              </w:rPr>
              <w:t>Bonus(1)</w:t>
            </w: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Incentive Plan</w:t>
            </w:r>
          </w:p>
        </w:tc>
        <w:tc>
          <w:tcPr>
            <w:tcW w:w="10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420" w:type="dxa"/>
            <w:vAlign w:val="bottom"/>
            <w:gridSpan w:val="2"/>
            <w:vMerge w:val="continue"/>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December 31,</w:t>
            </w:r>
          </w:p>
        </w:tc>
        <w:tc>
          <w:tcPr>
            <w:tcW w:w="820" w:type="dxa"/>
            <w:vAlign w:val="bottom"/>
            <w:gridSpan w:val="2"/>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Awards</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Awards(2)</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Earnings</w:t>
            </w: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Compensation</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0"/>
              </w:rPr>
              <w:t>Anish Bhatnagar</w:t>
            </w:r>
          </w:p>
        </w:tc>
        <w:tc>
          <w:tcPr>
            <w:tcW w:w="2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$446,000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230,000</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612,000</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1,288,000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w w:val="96"/>
              </w:rPr>
              <w:t>Chief Executive Officer, President and Chief</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Operating Officer</w:t>
            </w: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$460,000</w:t>
            </w: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499,243</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959,243</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$435,156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185,000</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570,100</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1,190,256</w:t>
            </w:r>
          </w:p>
        </w:tc>
        <w:tc>
          <w:tcPr>
            <w:tcW w:w="0" w:type="dxa"/>
            <w:vAlign w:val="bottom"/>
          </w:tcPr>
          <w:p>
            <w:pPr>
              <w:spacing w:after="0"/>
              <w:rPr>
                <w:sz w:val="1"/>
                <w:szCs w:val="1"/>
                <w:color w:val="auto"/>
              </w:rPr>
            </w:pPr>
          </w:p>
        </w:tc>
      </w:tr>
      <w:tr>
        <w:trPr>
          <w:trHeight w:val="216"/>
        </w:trPr>
        <w:tc>
          <w:tcPr>
            <w:tcW w:w="3420" w:type="dxa"/>
            <w:vAlign w:val="bottom"/>
            <w:gridSpan w:val="2"/>
          </w:tcPr>
          <w:p>
            <w:pPr>
              <w:spacing w:after="0"/>
              <w:rPr>
                <w:sz w:val="20"/>
                <w:szCs w:val="20"/>
                <w:color w:val="auto"/>
              </w:rPr>
            </w:pPr>
            <w:r>
              <w:rPr>
                <w:rFonts w:ascii="Arial" w:cs="Arial" w:eastAsia="Arial" w:hAnsi="Arial"/>
                <w:sz w:val="18"/>
                <w:szCs w:val="18"/>
                <w:color w:val="auto"/>
              </w:rPr>
              <w:t>David D. O’Toole</w:t>
            </w:r>
          </w:p>
        </w:tc>
        <w:tc>
          <w:tcPr>
            <w:tcW w:w="820" w:type="dxa"/>
            <w:vAlign w:val="bottom"/>
          </w:tcPr>
          <w:p>
            <w:pPr>
              <w:jc w:val="right"/>
              <w:spacing w:after="0"/>
              <w:rPr>
                <w:sz w:val="20"/>
                <w:szCs w:val="20"/>
                <w:color w:val="auto"/>
              </w:rPr>
            </w:pPr>
            <w:r>
              <w:rPr>
                <w:rFonts w:ascii="Arial" w:cs="Arial" w:eastAsia="Arial" w:hAnsi="Arial"/>
                <w:sz w:val="18"/>
                <w:szCs w:val="18"/>
                <w:color w:val="auto"/>
              </w:rPr>
              <w:t>2017</w:t>
            </w:r>
          </w:p>
        </w:tc>
        <w:tc>
          <w:tcPr>
            <w:tcW w:w="14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$229,000</w:t>
            </w: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129,000</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358,000</w:t>
            </w:r>
          </w:p>
        </w:tc>
        <w:tc>
          <w:tcPr>
            <w:tcW w:w="0" w:type="dxa"/>
            <w:vAlign w:val="bottom"/>
          </w:tcPr>
          <w:p>
            <w:pPr>
              <w:spacing w:after="0"/>
              <w:rPr>
                <w:sz w:val="1"/>
                <w:szCs w:val="1"/>
                <w:color w:val="auto"/>
              </w:rPr>
            </w:pPr>
          </w:p>
        </w:tc>
      </w:tr>
      <w:tr>
        <w:trPr>
          <w:trHeight w:val="202"/>
        </w:trPr>
        <w:tc>
          <w:tcPr>
            <w:tcW w:w="3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Vice President, Chief Financial</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Officer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$300,000</w:t>
            </w: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125,133</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425,133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18"/>
                <w:szCs w:val="18"/>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$265,000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47,950</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108,732</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421,682</w:t>
            </w: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Wondka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$270,000</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270,000</w:t>
            </w:r>
          </w:p>
        </w:tc>
        <w:tc>
          <w:tcPr>
            <w:tcW w:w="0" w:type="dxa"/>
            <w:vAlign w:val="bottom"/>
          </w:tcPr>
          <w:p>
            <w:pPr>
              <w:spacing w:after="0"/>
              <w:rPr>
                <w:sz w:val="1"/>
                <w:szCs w:val="1"/>
                <w:color w:val="auto"/>
              </w:rPr>
            </w:pPr>
          </w:p>
        </w:tc>
      </w:tr>
      <w:tr>
        <w:trPr>
          <w:trHeight w:val="202"/>
        </w:trPr>
        <w:tc>
          <w:tcPr>
            <w:tcW w:w="3420" w:type="dxa"/>
            <w:vAlign w:val="bottom"/>
            <w:gridSpan w:val="2"/>
          </w:tcPr>
          <w:p>
            <w:pPr>
              <w:spacing w:after="0" w:line="201" w:lineRule="exact"/>
              <w:rPr>
                <w:sz w:val="20"/>
                <w:szCs w:val="20"/>
                <w:color w:val="auto"/>
              </w:rPr>
            </w:pPr>
            <w:r>
              <w:rPr>
                <w:rFonts w:ascii="Arial" w:cs="Arial" w:eastAsia="Arial" w:hAnsi="Arial"/>
                <w:sz w:val="18"/>
                <w:szCs w:val="18"/>
                <w:color w:val="auto"/>
              </w:rPr>
              <w:t>Senior Vice President, Research &amp;</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ind w:left="180"/>
              <w:spacing w:after="0"/>
              <w:rPr>
                <w:sz w:val="20"/>
                <w:szCs w:val="20"/>
                <w:color w:val="auto"/>
              </w:rPr>
            </w:pPr>
            <w:r>
              <w:rPr>
                <w:rFonts w:ascii="Arial" w:cs="Arial" w:eastAsia="Arial" w:hAnsi="Arial"/>
                <w:sz w:val="18"/>
                <w:szCs w:val="18"/>
                <w:color w:val="auto"/>
              </w:rPr>
              <w:t>Development</w:t>
            </w:r>
          </w:p>
        </w:tc>
        <w:tc>
          <w:tcPr>
            <w:tcW w:w="820" w:type="dxa"/>
            <w:vAlign w:val="bottom"/>
          </w:tcPr>
          <w:p>
            <w:pPr>
              <w:jc w:val="right"/>
              <w:spacing w:after="0"/>
              <w:rPr>
                <w:sz w:val="20"/>
                <w:szCs w:val="20"/>
                <w:color w:val="auto"/>
              </w:rPr>
            </w:pPr>
            <w:r>
              <w:rPr>
                <w:rFonts w:ascii="Arial" w:cs="Arial" w:eastAsia="Arial" w:hAnsi="Arial"/>
                <w:sz w:val="18"/>
                <w:szCs w:val="18"/>
                <w:color w:val="auto"/>
              </w:rPr>
              <w:t>2016</w:t>
            </w:r>
          </w:p>
        </w:tc>
        <w:tc>
          <w:tcPr>
            <w:tcW w:w="14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$266,500</w:t>
            </w:r>
          </w:p>
        </w:tc>
        <w:tc>
          <w:tcPr>
            <w:tcW w:w="100" w:type="dxa"/>
            <w:vAlign w:val="bottom"/>
          </w:tcPr>
          <w:p>
            <w:pPr>
              <w:spacing w:after="0"/>
              <w:rPr>
                <w:sz w:val="20"/>
                <w:szCs w:val="20"/>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73,346</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339,846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$262,375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45,500</w:t>
            </w:r>
          </w:p>
        </w:tc>
        <w:tc>
          <w:tcPr>
            <w:tcW w:w="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111,476</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419,351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320" w:hanging="452"/>
        <w:spacing w:after="0" w:line="258"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Bonus awards for executives are accrued ratably throughout the year and are subject to review and approval by the Compensation Committee of the Board of Directors subsequent to the year in which they are earned and accrued.</w:t>
      </w:r>
    </w:p>
    <w:p>
      <w:pPr>
        <w:spacing w:after="0" w:line="1" w:lineRule="exact"/>
        <w:rPr>
          <w:rFonts w:ascii="Arial" w:cs="Arial" w:eastAsia="Arial" w:hAnsi="Arial"/>
          <w:sz w:val="18"/>
          <w:szCs w:val="18"/>
          <w:color w:val="auto"/>
        </w:rPr>
      </w:pPr>
    </w:p>
    <w:p>
      <w:pPr>
        <w:jc w:val="both"/>
        <w:ind w:left="460" w:right="200" w:hanging="452"/>
        <w:spacing w:after="0" w:line="277"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amounts in this column reflect the aggregate grant date fair value of each option award granted during the fiscal years ended December 31, 2017, 2016 and 2015, as applicable, computed in accordance with FASB ASC Topic 718. The valuation assumptions used in determining such amounts are described in the Notes to our audited financial statements for the year ended December 31, 2017, 2016 and 2015.</w:t>
      </w:r>
    </w:p>
    <w:p>
      <w:pPr>
        <w:spacing w:after="0" w:line="173"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8"/>
          <w:szCs w:val="18"/>
          <w:b w:val="1"/>
          <w:bCs w:val="1"/>
          <w:i w:val="1"/>
          <w:iCs w:val="1"/>
          <w:color w:val="auto"/>
        </w:rPr>
        <w:t>Employment offer letters and Employment Agreements</w:t>
      </w:r>
    </w:p>
    <w:p>
      <w:pPr>
        <w:spacing w:after="0" w:line="225" w:lineRule="exact"/>
        <w:rPr>
          <w:sz w:val="20"/>
          <w:szCs w:val="20"/>
          <w:color w:val="auto"/>
        </w:rPr>
      </w:pPr>
    </w:p>
    <w:p>
      <w:pPr>
        <w:ind w:right="180" w:firstLine="456"/>
        <w:spacing w:after="0" w:line="273" w:lineRule="auto"/>
        <w:rPr>
          <w:sz w:val="20"/>
          <w:szCs w:val="20"/>
          <w:color w:val="auto"/>
        </w:rPr>
      </w:pPr>
      <w:r>
        <w:rPr>
          <w:rFonts w:ascii="Arial" w:cs="Arial" w:eastAsia="Arial" w:hAnsi="Arial"/>
          <w:sz w:val="17"/>
          <w:szCs w:val="17"/>
          <w:color w:val="auto"/>
        </w:rPr>
        <w:t>We have entered into employment agreements with our named executive officers. The employment agreements provide for “at-will” employment and set forth the terms and conditions of employment, including annual base salary, target bonus opportunity, equity compensation, severance benefits and eligibility to participate in our employee benefit plans and programs. In connection with their employment, our named executive officers were each also required to execute our standard proprietary information and inventions agreement. The material terms of these employment agreements are summarized below. These summaries are qualified in their entirety by reference to the actual text of the employment agreements, which were filed as exhibits to the Current Report on Form 8-K that was filed with the SEC on May 20, 2015.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 with Anish Bhatnagar</w:t>
      </w:r>
    </w:p>
    <w:p>
      <w:pPr>
        <w:spacing w:after="0" w:line="117"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We entered into an employment agreement with Dr. Bhatnagar, dated May 15, 2015, pursuant to which Dr. Bhatnagar serves as our President and Chief Executive Officer. The agreement provides for “at-will” employment and sets forth certain agreed upon terms and conditions of employment. Dr. Bhatnagar’s current annual base salary is $460,000.</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 with David D. O’Toole</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We entered into an employment agreement with Mr. O’Toole, dated May 15, 2015, pursuant to which Mr. O’Toole serves as our Senior Vice President, Chief Financial Officer. The agreement provides for “at-will” employment and sets forth certain agreed upon terms and conditions of employment. Mr. O’Toole’s annual base salary was $300,000. Mr. O’Toole resigned effective September 11, 2017.</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Agreement with Anthony Wondka</w:t>
      </w:r>
    </w:p>
    <w:p>
      <w:pPr>
        <w:spacing w:after="0" w:line="11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We entered into an employment agreement with Mr. Wondka, dated May 15, 2015, pursuant to which Mr. Wondka serves as our Senior Vice President, Research and Development. The agreement provides for “at-will” employment and sets forth certain agreed upon terms and conditions of employment. Mr. Wondka’s annual base salary was $266,500. Mr. Wondka transitioned to be Sr. Vice President, Research &amp; Development of Capnia, Inc.</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payments and benefits upon termination or change of control</w:t>
      </w:r>
    </w:p>
    <w:p>
      <w:pPr>
        <w:spacing w:after="0" w:line="11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b w:val="1"/>
          <w:bCs w:val="1"/>
          <w:i w:val="1"/>
          <w:iCs w:val="1"/>
          <w:color w:val="auto"/>
        </w:rPr>
        <w:t>Dr. Bhatnagar</w:t>
      </w:r>
      <w:r>
        <w:rPr>
          <w:rFonts w:ascii="Arial" w:cs="Arial" w:eastAsia="Arial" w:hAnsi="Arial"/>
          <w:sz w:val="18"/>
          <w:szCs w:val="18"/>
          <w:color w:val="auto"/>
        </w:rPr>
        <w:t>. Pursuant to Dr. Bhatnagar’s employment agreement, if Dr. Bhatnagar’s employment is terminated without “Cause” (as defined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Dr. Bhatnagar’s employment agreement) or resignation by the employee for “Good Reason” (as defined in Dr. Bhatnagar’s employment agreement), and subject to Dr. Bhatnagar signing and not revoking a separation agreement and release of claims, then Dr. Bhatnagar will be entitled to the following severance payments and benefits:</w:t>
      </w:r>
    </w:p>
    <w:p>
      <w:pPr>
        <w:spacing w:after="0" w:line="92" w:lineRule="exact"/>
        <w:rPr>
          <w:sz w:val="20"/>
          <w:szCs w:val="20"/>
          <w:color w:val="auto"/>
        </w:rPr>
      </w:pPr>
    </w:p>
    <w:p>
      <w:pPr>
        <w:ind w:left="900" w:hanging="325"/>
        <w:spacing w:after="0" w:line="25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Dr. Bhatnagar’s termination or resignation occurs prior to six (6) months before a Change in Control (as defined in Dr. Bhatnagar’s employment agreement) of the Company: (i) continuing payments of severance pay at a rate equal to Dr. Bhatnagar’s base salary rate for fifteen (15) months from the date of such termination without Cause or resignation for Good Reason; (ii) if Dr. Bhatnagar elects continuation coverage pursuant to the Consolidated Budget Reconciliation Act of 1985 (“COBRA”), then the Company will reimburse Dr. Bhatnagar on the last day of each month for a period ending fifteen (15) months after Dr. Bhatnagar’s termination date for the COBRA premiums paid during such period for such coverage (at the coverage levels in effect immediately prior to Dr. Bhatnagar’s termination); and (iii) twenty-five percent (25%) of any unvested equity awards held by Dr. Bhatnagar as of the date of such termination without Cause or resignation for Good Reason shall immediately vest and become fully exercisable;</w:t>
      </w:r>
    </w:p>
    <w:p>
      <w:pPr>
        <w:spacing w:after="0" w:line="97"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If such termination or resignation occurs within six (6) months prior to, or twelve (12) months following, a Change in Control of the Company:</w:t>
      </w:r>
    </w:p>
    <w:p>
      <w:pPr>
        <w:spacing w:after="0" w:line="46" w:lineRule="exact"/>
        <w:rPr>
          <w:rFonts w:ascii="Arial" w:cs="Arial" w:eastAsia="Arial" w:hAnsi="Arial"/>
          <w:sz w:val="16"/>
          <w:szCs w:val="16"/>
          <w:color w:val="auto"/>
        </w:rPr>
      </w:pPr>
    </w:p>
    <w:p>
      <w:pPr>
        <w:ind w:left="900"/>
        <w:spacing w:after="0" w:line="288" w:lineRule="auto"/>
        <w:rPr>
          <w:rFonts w:ascii="Arial" w:cs="Arial" w:eastAsia="Arial" w:hAnsi="Arial"/>
          <w:sz w:val="16"/>
          <w:szCs w:val="16"/>
          <w:color w:val="auto"/>
        </w:rPr>
      </w:pPr>
      <w:r>
        <w:rPr>
          <w:rFonts w:ascii="Arial" w:cs="Arial" w:eastAsia="Arial" w:hAnsi="Arial"/>
          <w:sz w:val="16"/>
          <w:szCs w:val="16"/>
          <w:color w:val="auto"/>
        </w:rPr>
        <w:t>(i) continuing payments of severance pay at a rate equal to Dr. Bhatnagar’s base salary rate for eighteen (18) months from the date of such termination without Cause or resignation for Good Reason; (ii) if Dr. Bhatnagar elects continuation coverage pursuant to COBRA, then the Company will reimburse Dr. Bhatnagar on the last day of each month for a period ending eighteen (18) months after Dr. Bhatnagar’s termination date for the COBRA premiums paid during such period for such coverage (at the coverage levels in effect immediately prior to Dr. Bhatnagar’s termination); (iii) a payment equal to one hundred fifty percent (150%) the annual target bonus opportunity for the year in which Dr. Bhatnagar is terminated without Cause or resigns for Good Reason; and (iv) one hundred percent (100%) of any unvested equity awards held by Dr. Bhatnagar as of the date of such termination without Cause or resignation for Good Reason shall immediately vest and become fully exercisable; and</w:t>
      </w:r>
    </w:p>
    <w:p>
      <w:pPr>
        <w:spacing w:after="0" w:line="74" w:lineRule="exact"/>
        <w:rPr>
          <w:rFonts w:ascii="Arial" w:cs="Arial" w:eastAsia="Arial" w:hAnsi="Arial"/>
          <w:sz w:val="16"/>
          <w:szCs w:val="16"/>
          <w:color w:val="auto"/>
        </w:rPr>
      </w:pPr>
    </w:p>
    <w:p>
      <w:pPr>
        <w:jc w:val="both"/>
        <w:ind w:left="900" w:right="520" w:hanging="325"/>
        <w:spacing w:after="0" w:line="264"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Dr. Bhatnagar is terminated without Cause or resigns for Good Reason during the term of Dr. Bhatnagar’s employment agreement, then Dr. Bhatnagar’s shall have one y.ear following such termination without Cause or resignation for Good Reason to exercise any then vested options.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Mr. O’Toole</w:t>
      </w:r>
      <w:r>
        <w:rPr>
          <w:rFonts w:ascii="Arial" w:cs="Arial" w:eastAsia="Arial" w:hAnsi="Arial"/>
          <w:sz w:val="17"/>
          <w:szCs w:val="17"/>
          <w:color w:val="auto"/>
        </w:rPr>
        <w:t>. Pursuant to Mr. O’Toole’s employment agreement, if Mr. O’Toole’s employment was terminated without “Cause” (as defined in</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O’Toole’s employment agreement) or resignation by the employee for “Good Reason” (as defined in Mr. O’Toole’s employment agreement), and subject to Mr. O’Toole signing and not revoking a separation agreement and release of claims, then Mr. O’Toole would be entitled to the following severance payments and benefits:</w:t>
      </w:r>
    </w:p>
    <w:p>
      <w:pPr>
        <w:spacing w:after="0" w:line="96" w:lineRule="exact"/>
        <w:rPr>
          <w:sz w:val="20"/>
          <w:szCs w:val="20"/>
          <w:color w:val="auto"/>
        </w:rPr>
      </w:pPr>
    </w:p>
    <w:p>
      <w:pPr>
        <w:ind w:left="900" w:right="520" w:hanging="325"/>
        <w:spacing w:after="0" w:line="291"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if Mr. O’Toole’s termination or resignation occurred prior to three (3) months before a Change in Control (as defined in Mr. O’Toole’s employment agreement) of the Company: (i) continuing payments of severance pay at a rate equal to Mr. O’Toole’s base salary rate for six</w:t>
      </w:r>
    </w:p>
    <w:p>
      <w:pPr>
        <w:ind w:left="900"/>
        <w:spacing w:after="0"/>
        <w:rPr>
          <w:rFonts w:ascii="Arial" w:cs="Arial" w:eastAsia="Arial" w:hAnsi="Arial"/>
          <w:sz w:val="16"/>
          <w:szCs w:val="16"/>
          <w:color w:val="auto"/>
        </w:rPr>
      </w:pPr>
      <w:r>
        <w:rPr>
          <w:rFonts w:ascii="Arial" w:cs="Arial" w:eastAsia="Arial" w:hAnsi="Arial"/>
          <w:sz w:val="18"/>
          <w:szCs w:val="18"/>
          <w:color w:val="auto"/>
        </w:rPr>
        <w:t>(6) months from the date of such termination without Cause or resignation for Good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line="264" w:lineRule="auto"/>
        <w:rPr>
          <w:sz w:val="20"/>
          <w:szCs w:val="20"/>
          <w:color w:val="auto"/>
        </w:rPr>
      </w:pPr>
      <w:r>
        <w:rPr>
          <w:rFonts w:ascii="Arial" w:cs="Arial" w:eastAsia="Arial" w:hAnsi="Arial"/>
          <w:sz w:val="18"/>
          <w:szCs w:val="18"/>
          <w:color w:val="auto"/>
        </w:rPr>
        <w:t>Reason; and (ii) if Mr. O’Toole elected continuation coverage pursuant to COBRA, then the Company will reimburse Mr. O’Toole on the last day of each month for a period ending six (6) months after Mr. O’Toole’s termination date for the COBRA premiums paid during such period for such coverage (at the coverage levels in effect immediately prior to Mr. O’Toole’s termination); and</w:t>
      </w:r>
    </w:p>
    <w:p>
      <w:pPr>
        <w:spacing w:after="0" w:line="87" w:lineRule="exact"/>
        <w:rPr>
          <w:sz w:val="20"/>
          <w:szCs w:val="20"/>
          <w:color w:val="auto"/>
        </w:rPr>
      </w:pPr>
    </w:p>
    <w:p>
      <w:pPr>
        <w:ind w:left="900" w:hanging="325"/>
        <w:spacing w:after="0" w:line="290"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Mr. O’Toole’s termination or resignation occurred within three (3) months prior to, or six (6) months following, a Change in Control of the Company: (i) continuing payments of severance pay at a rate equal to Mr. O’Toole’s base salary rate for twelve (12) months from the date of such termination without Cause or resignation for Good Reason; (ii) if Mr. O’Toole elected continuation coverage pursuant to COBRA, then the Company will reimburse Mr. O’Toole on the last day of each month for a period ending twelve (12) months after Mr. O’Toole’s termination date for the COBRA premiums paid during such period for such coverage (at the coverage levels in effect immediately prior to Mr. O’Toole’s termination); (iii) a payment equal to one hundred percent (100%) the annual target bonus opportunity for the year in which Mr. O’Toole was terminated without Cause or resigned for Good Reason; and (iv) one hundred percent (100%) of any unvested equity awards held by Mr. O’Toole as of the date of such termination without Cause or resignation for Good Reason shall immediately vest and become fully exercisable.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Mr. Wondka</w:t>
      </w:r>
      <w:r>
        <w:rPr>
          <w:rFonts w:ascii="Arial" w:cs="Arial" w:eastAsia="Arial" w:hAnsi="Arial"/>
          <w:sz w:val="17"/>
          <w:szCs w:val="17"/>
          <w:color w:val="auto"/>
        </w:rPr>
        <w:t>. Pursuant to Mr. Wondka’s employment agreement, if Mr. Wondka’s employment was terminated without “Cause” (as defined in</w:t>
      </w:r>
    </w:p>
    <w:p>
      <w:pPr>
        <w:spacing w:after="0" w:line="3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Mr. Wondka’s employment agreement) or resignation by the employee for “Good Reason” (as defined in Mr. Wondka’s employment agreement), and subject to Mr. Wondka signing and not revoking a separation agreement and release of claims, then Mr. Wondka would be entitled to the following severance payments and benefits:</w:t>
      </w:r>
    </w:p>
    <w:p>
      <w:pPr>
        <w:spacing w:after="0" w:line="96" w:lineRule="exact"/>
        <w:rPr>
          <w:sz w:val="20"/>
          <w:szCs w:val="20"/>
          <w:color w:val="auto"/>
        </w:rPr>
      </w:pPr>
    </w:p>
    <w:p>
      <w:pPr>
        <w:ind w:left="900" w:right="520" w:hanging="325"/>
        <w:spacing w:after="0" w:line="291"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Mr. Wondka’s termination or resignation occurred prior to three (3) months before a Change in Control (as defined in Mr. Wondka’s employment agreement) of the Company: (i) continuing payments of severance pay at a rate equal to Mr. Wondka’s base salary rate for six</w:t>
      </w:r>
    </w:p>
    <w:p>
      <w:pPr>
        <w:ind w:left="900" w:right="240"/>
        <w:spacing w:after="0" w:line="254" w:lineRule="auto"/>
        <w:rPr>
          <w:rFonts w:ascii="Arial" w:cs="Arial" w:eastAsia="Arial" w:hAnsi="Arial"/>
          <w:sz w:val="16"/>
          <w:szCs w:val="16"/>
          <w:color w:val="auto"/>
        </w:rPr>
      </w:pPr>
      <w:r>
        <w:rPr>
          <w:rFonts w:ascii="Arial" w:cs="Arial" w:eastAsia="Arial" w:hAnsi="Arial"/>
          <w:sz w:val="18"/>
          <w:szCs w:val="18"/>
          <w:color w:val="auto"/>
        </w:rPr>
        <w:t>(6) months from the date of such termination without Cause or resignation for Good Reason; and (ii) if Mr. Wondka elected continuation coverage pursuant to COBRA, then the Company will reimburse Mr. Wondka on the last day of each month for a period ending six (6) months after Mr. Wondka’s termination date for the COBRA premiums paid during such period for such coverage (at the coverage levels in effect immediately prior to Mr. Wondka’s termination); and</w:t>
      </w:r>
    </w:p>
    <w:p>
      <w:pPr>
        <w:spacing w:after="0" w:line="95"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If Mr. Wondka’s termination or resignation occurred within three (3) months prior to, or six (6) months following, a Change in Control of the Company: (i) continuing payments of severance pay at a rate equal to Mr. Wondka’s base salary rate for twelve (12) months from the date of such termination without Cause or resignation for Good Reason; (ii) if Mr. Wondka elected continuation coverage pursuant to COBRA, then the Company will reimburse Mr. Wondka on the last day of each month for a period ending twelve (12) months after Mr. Wondka’s termination date for the COBRA premiums paid during such period for such coverage (at the coverage levels in effect immediately prior to Mr. Wondka’s termination); (iii) a payment equal to one hundred percent (100%) the annual target bonus opportunity for the year in which Mr. Wondka was terminated without Cause or resigned for Good Reason; and (iv) one hundred percent (100%) of any unvested equity awards held by Mr. Wondka as of the date of such termination without Cause or resignation for Good Reason shall immediately vest and become fully exercisable.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December 31, 2017</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information regarding outstanding equity awards held by our named executive officers as of December 31, 2017.</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2"/>
              </w:rPr>
              <w:t>Number of Securities Underlying</w:t>
            </w:r>
          </w:p>
        </w:tc>
        <w:tc>
          <w:tcPr>
            <w:tcW w:w="880" w:type="dxa"/>
            <w:vAlign w:val="bottom"/>
            <w:gridSpan w:val="3"/>
          </w:tcPr>
          <w:p>
            <w:pPr>
              <w:ind w:left="40"/>
              <w:spacing w:after="0"/>
              <w:rPr>
                <w:sz w:val="20"/>
                <w:szCs w:val="20"/>
                <w:color w:val="auto"/>
              </w:rPr>
            </w:pPr>
            <w:r>
              <w:rPr>
                <w:rFonts w:ascii="Arial" w:cs="Arial" w:eastAsia="Arial" w:hAnsi="Arial"/>
                <w:sz w:val="14"/>
                <w:szCs w:val="14"/>
                <w:b w:val="1"/>
                <w:bCs w:val="1"/>
                <w:color w:val="auto"/>
              </w:rPr>
              <w:t>Option</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2"/>
        </w:trPr>
        <w:tc>
          <w:tcPr>
            <w:tcW w:w="5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Unexercised Options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Exercise</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2"/>
        </w:trPr>
        <w:tc>
          <w:tcPr>
            <w:tcW w:w="5700" w:type="dxa"/>
            <w:vAlign w:val="bottom"/>
            <w:gridSpan w:val="2"/>
            <w:vMerge w:val="continue"/>
          </w:tcPr>
          <w:p>
            <w:pPr>
              <w:spacing w:after="0"/>
              <w:rPr>
                <w:sz w:val="12"/>
                <w:szCs w:val="12"/>
                <w:color w:val="auto"/>
              </w:rPr>
            </w:pPr>
          </w:p>
        </w:tc>
        <w:tc>
          <w:tcPr>
            <w:tcW w:w="1240" w:type="dxa"/>
            <w:vAlign w:val="bottom"/>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Grant Date</w:t>
            </w:r>
          </w:p>
        </w:tc>
        <w:tc>
          <w:tcPr>
            <w:tcW w:w="134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w w:val="92"/>
              </w:rPr>
              <w:t>Exercisable</w:t>
            </w:r>
          </w:p>
        </w:tc>
        <w:tc>
          <w:tcPr>
            <w:tcW w:w="9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Unexercisable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7"/>
              </w:rPr>
              <w:t>Price</w:t>
            </w:r>
          </w:p>
        </w:tc>
        <w:tc>
          <w:tcPr>
            <w:tcW w:w="94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96"/>
        </w:trPr>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4"/>
              </w:rPr>
              <w:t>Anish</w:t>
            </w:r>
          </w:p>
        </w:tc>
        <w:tc>
          <w:tcPr>
            <w:tcW w:w="5300" w:type="dxa"/>
            <w:vAlign w:val="bottom"/>
            <w:tcBorders>
              <w:top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Bhatnagar</w:t>
            </w:r>
          </w:p>
        </w:tc>
        <w:tc>
          <w:tcPr>
            <w:tcW w:w="8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6/27/2008</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2,333(1)</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17.40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9/25/2018</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10/15/2008</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1,666(1)</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17.40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10/15/2018</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11/12/2014</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76,191(2)</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9,858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35.70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11/12/2024</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1/11/2015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37,199(2)</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1/11/2025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5/15/2015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22,032(4)</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7,967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23.30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5/15/2025</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1/10/2016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28,750(3)</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31,250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1/10/2026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6/8/2016</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41,410(2)</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18,824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6.00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6/8/2026</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4/19/2017</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128,926(4)</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207,861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4/19/2027</w:t>
            </w:r>
          </w:p>
        </w:tc>
        <w:tc>
          <w:tcPr>
            <w:tcW w:w="0" w:type="dxa"/>
            <w:vAlign w:val="bottom"/>
          </w:tcPr>
          <w:p>
            <w:pPr>
              <w:spacing w:after="0"/>
              <w:rPr>
                <w:sz w:val="1"/>
                <w:szCs w:val="1"/>
                <w:color w:val="auto"/>
              </w:rPr>
            </w:pP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David O’Toole</w:t>
            </w: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11/12/2014</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19,871(4)</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35.70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11/12/2024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1/11/2015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4,866(4)</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1/11/2025</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5/15/2015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3,375(3)</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23.30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5/15/2025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1/10/2016</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5,250(3)</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8.05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1/10/2026</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6/8/2016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8,800(4)</w:t>
            </w:r>
          </w:p>
        </w:tc>
        <w:tc>
          <w:tcPr>
            <w:tcW w:w="13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6/8/2026</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4/19/2017</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22,184(4)</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2.95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4/19/2027</w:t>
            </w:r>
          </w:p>
        </w:tc>
        <w:tc>
          <w:tcPr>
            <w:tcW w:w="0" w:type="dxa"/>
            <w:vAlign w:val="bottom"/>
          </w:tcPr>
          <w:p>
            <w:pPr>
              <w:spacing w:after="0"/>
              <w:rPr>
                <w:sz w:val="1"/>
                <w:szCs w:val="1"/>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Anthony Wondka</w:t>
            </w: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6/3/2013</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2,183(5)</w:t>
            </w:r>
          </w:p>
        </w:tc>
        <w:tc>
          <w:tcPr>
            <w:tcW w:w="13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6/3/2023</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11/12/2014</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11,087(4)</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35.70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11/12/2024</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1/11/2015</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2,670(4)</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676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9.00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1/11/2025</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5/15/2015</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4,780(3)</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23.30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5/15/2025</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1/10/2016</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3,831(3)</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4,168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8.05</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1/10/2026</w:t>
            </w:r>
          </w:p>
        </w:tc>
        <w:tc>
          <w:tcPr>
            <w:tcW w:w="0" w:type="dxa"/>
            <w:vAlign w:val="bottom"/>
          </w:tcPr>
          <w:p>
            <w:pPr>
              <w:spacing w:after="0"/>
              <w:rPr>
                <w:sz w:val="1"/>
                <w:szCs w:val="1"/>
                <w:color w:val="auto"/>
              </w:rPr>
            </w:pPr>
          </w:p>
        </w:tc>
      </w:tr>
      <w:tr>
        <w:trPr>
          <w:trHeight w:val="216"/>
        </w:trPr>
        <w:tc>
          <w:tcPr>
            <w:tcW w:w="40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6/8/2016</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4,978(4)</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6.00</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7289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71" w:lineRule="exact"/>
        <w:rPr>
          <w:sz w:val="20"/>
          <w:szCs w:val="20"/>
          <w:color w:val="auto"/>
        </w:rPr>
      </w:pPr>
    </w:p>
    <w:p>
      <w:pPr>
        <w:ind w:left="460" w:right="300" w:hanging="452"/>
        <w:spacing w:after="0" w:line="25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options listed are fully vested or are subject to an early exercise right and may be exercised in full prior to vesting of the shares underlying such options. Vesting of all options is subject to continued service on each vesting date.</w:t>
      </w:r>
    </w:p>
    <w:p>
      <w:pPr>
        <w:spacing w:after="0" w:line="1" w:lineRule="exact"/>
        <w:rPr>
          <w:rFonts w:ascii="Arial" w:cs="Arial" w:eastAsia="Arial" w:hAnsi="Arial"/>
          <w:sz w:val="18"/>
          <w:szCs w:val="18"/>
          <w:color w:val="auto"/>
        </w:rPr>
      </w:pPr>
    </w:p>
    <w:p>
      <w:pPr>
        <w:ind w:left="460" w:right="6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shares subject to the stock option vest over a four-year period as follows: 50% of the shares underlying the options vest immediately on the vesting commencement date, and thereafter 1/48th of the shares vest each month, subject to the officer’s continued service to us through each vesting date.</w:t>
      </w:r>
    </w:p>
    <w:p>
      <w:pPr>
        <w:spacing w:after="0" w:line="1" w:lineRule="exact"/>
        <w:rPr>
          <w:rFonts w:ascii="Arial" w:cs="Arial" w:eastAsia="Arial" w:hAnsi="Arial"/>
          <w:sz w:val="16"/>
          <w:szCs w:val="16"/>
          <w:color w:val="auto"/>
        </w:rPr>
      </w:pPr>
    </w:p>
    <w:p>
      <w:pPr>
        <w:ind w:left="460" w:right="900" w:hanging="452"/>
        <w:spacing w:after="0" w:line="250"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shares subject to the stock option vest over a four-year period as follows: 1/48th of the shares vest each month beginning on the vesting commencement date, subject to the officer’s continued service to us through each vesting date.</w:t>
      </w:r>
    </w:p>
    <w:p>
      <w:pPr>
        <w:ind w:left="460" w:right="120" w:hanging="452"/>
        <w:spacing w:after="0" w:line="281" w:lineRule="auto"/>
        <w:tabs>
          <w:tab w:leader="none" w:pos="4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shares subject to the stock option vest over a four-year period as follows: 25% of the shares underlying the option vest immediately on the vesting commencement date and thereafter 1/48th of the shares vest each month, subject to the officer’s continued service to us through each vesting date.</w:t>
      </w:r>
    </w:p>
    <w:p>
      <w:pPr>
        <w:spacing w:after="0" w:line="1"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shares subject to the stock option vest over a four-year period as follows: 25% of the shares underlying the option vest on the one-year anniversary of the vesting commencement date, and thereafter 1/36th of the shares vest each month, subject to the officer’s continued service to us through each vesting date.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1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We have adopted the 2014 Equity Incentive Plan, or the 2014 Plan. Our 2014 Plan provides for the grant of incentive stock options (within the meaning of Section 422 of the Code), or ISOs, to our employees and any of our parent and subsidiary corporations’ employees, and for the grant of nonstatutory stock options, or NSOs, restricted stock, restricted stock units, stock appreciation rights, performance units and performance shares to our employees, directors and consultants, and our parent and subsidiary corporations’ employees and consultants.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Subject to the provisions of our 2014 Plan, the administrator has the power to determine the terms of the awards, including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price, the number of shares subject to each such award, the exercisability of the awards, and the form of consideration, if any, payable upon exercise. The administrator also has the authority to amend existing awards to reduce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with a higher or lower exercise price.</w:t>
      </w:r>
    </w:p>
    <w:p>
      <w:pPr>
        <w:spacing w:after="0" w:line="18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The exercise price of options granted under our 2014 Plan must at least be equal to the fair market value of our common stock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 of grant. The term of an incentive stock option may not exceed ten years, except that with respect to any participant who owns more than 10% of the voting power of all classes of our outstanding stock, the term must not exceed five years and the exercise price must equal at least 110% of the fair market value on the grant date. Subject to the provisions of our 2014 Plan, the administrator will determine the term of all other options.</w:t>
      </w:r>
    </w:p>
    <w:p>
      <w:pPr>
        <w:spacing w:after="0" w:line="154"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After the termination of service of an employee, director or consultant, he or she may exercise his or her option or stock appreciation right for the period of time stated in his or her award agreement. Generally, if termination is due to death or disability, the option or stock appreciation right will remain exercisable for twelve months. In all other cases, the option or stock appreciation right will generally remain exercisable for three months following the termination of service. However, in no event may an option be exercised later than the expiration of its term.</w:t>
      </w:r>
    </w:p>
    <w:p>
      <w:pPr>
        <w:spacing w:after="0" w:line="17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b w:val="1"/>
          <w:bCs w:val="1"/>
          <w:i w:val="1"/>
          <w:iCs w:val="1"/>
          <w:color w:val="auto"/>
        </w:rPr>
        <w:t>Stock Appreciation Rights</w:t>
      </w:r>
      <w:r>
        <w:rPr>
          <w:rFonts w:ascii="Arial" w:cs="Arial" w:eastAsia="Arial" w:hAnsi="Arial"/>
          <w:sz w:val="17"/>
          <w:szCs w:val="17"/>
          <w:color w:val="auto"/>
        </w:rPr>
        <w:t>. Stock appreciation rights may be granted under our 2014 Plan. Stock appreciation rights allow the recipient to receive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appreciation in the fair market value of our common stock between the exercise date and the date of grant. Subject to the provisions of our 2014 Plan, the administrator determines the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7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b w:val="1"/>
          <w:bCs w:val="1"/>
          <w:i w:val="1"/>
          <w:iCs w:val="1"/>
          <w:color w:val="auto"/>
        </w:rPr>
        <w:t>Restricted Stock</w:t>
      </w:r>
      <w:r>
        <w:rPr>
          <w:rFonts w:ascii="Arial" w:cs="Arial" w:eastAsia="Arial" w:hAnsi="Arial"/>
          <w:sz w:val="17"/>
          <w:szCs w:val="17"/>
          <w:color w:val="auto"/>
        </w:rPr>
        <w:t>. Restricted stock may be granted under our 2014 Plan. Restricted stock awards are grants of shares of our common stock that vest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accordance with terms and conditions established by the administrator. The administrator determines the number of shares of restricted stock granted and may impose whatever conditions to vesting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Shares of restricted stock that do not vest are subject to our right of repurchase or forfeiture.</w:t>
      </w:r>
    </w:p>
    <w:p>
      <w:pPr>
        <w:spacing w:after="0" w:line="17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Restricted stock units may be granted under our 2014 Plan. Restricted stock units are bookkeeping entries representing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equal to the fair market value of one share of our common stock. The administrator will determine the terms and conditions of restricted stock units, including the number of units granted, the vesting criteria (which may include accomplishing specified performance criteria or continued service to us), and the form and timing of payment. The administrator, in its sole discretion, may accelerate the time at which any restrictions will lapse or be removed.</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72" w:lineRule="auto"/>
        <w:rPr>
          <w:sz w:val="20"/>
          <w:szCs w:val="20"/>
          <w:color w:val="auto"/>
        </w:rPr>
      </w:pPr>
      <w:r>
        <w:rPr>
          <w:rFonts w:ascii="Arial" w:cs="Arial" w:eastAsia="Arial" w:hAnsi="Arial"/>
          <w:sz w:val="17"/>
          <w:szCs w:val="17"/>
          <w:b w:val="1"/>
          <w:bCs w:val="1"/>
          <w:i w:val="1"/>
          <w:iCs w:val="1"/>
          <w:color w:val="auto"/>
        </w:rPr>
        <w:t>Performance Units and Performance Shares</w:t>
      </w:r>
      <w:r>
        <w:rPr>
          <w:rFonts w:ascii="Arial" w:cs="Arial" w:eastAsia="Arial" w:hAnsi="Arial"/>
          <w:sz w:val="17"/>
          <w:szCs w:val="17"/>
          <w:color w:val="auto"/>
        </w:rPr>
        <w:t>. Performance units and performance shares may be granted under our 2014 Plan. Performance units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performance shares are awards that will result in a payment to a participant only if performance goals established by the administrator are achieved or the awards otherwise vest. The administrator will establish organizational or individual performance goals in its discretion, which, depending on the extent to which they are met, will determine the number or the value of performance units and performance shares to be paid out to participants. After the grant of a performance unit or performance share, the administrator, in its sole discretion, may reduce or waive any performance objectives or other vesting provisions for such performance units or performance shares. The administrator, in its sole discretion, may pay earned performance units or performance shares in the form of cash, in shares, or in some combination thereof.</w:t>
      </w:r>
    </w:p>
    <w:p>
      <w:pPr>
        <w:spacing w:after="0" w:line="178"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b w:val="1"/>
          <w:bCs w:val="1"/>
          <w:i w:val="1"/>
          <w:iCs w:val="1"/>
          <w:color w:val="auto"/>
        </w:rPr>
        <w:t>Non-Employee Directors</w:t>
      </w:r>
      <w:r>
        <w:rPr>
          <w:rFonts w:ascii="Arial" w:cs="Arial" w:eastAsia="Arial" w:hAnsi="Arial"/>
          <w:sz w:val="18"/>
          <w:szCs w:val="18"/>
          <w:color w:val="auto"/>
        </w:rPr>
        <w:t>. Our 2014 Plan provides that all non-employee directors will be eligible to receive all types of awards (except for ISOs)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2014 Plan. Please see the description of our non-employee director compensation above under “Management — Non-Employee Director Compensation.”</w:t>
      </w:r>
    </w:p>
    <w:p>
      <w:pPr>
        <w:spacing w:after="0" w:line="18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Unless the administrator provides otherwise, our 2014 Plan generally does not allow for the transfer of awards,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recipient of an award may exercise an award during his or her lifetime.</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b w:val="1"/>
          <w:bCs w:val="1"/>
          <w:i w:val="1"/>
          <w:iCs w:val="1"/>
          <w:color w:val="auto"/>
        </w:rPr>
        <w:t>Certain Adjustments</w:t>
      </w:r>
      <w:r>
        <w:rPr>
          <w:rFonts w:ascii="Arial" w:cs="Arial" w:eastAsia="Arial" w:hAnsi="Arial"/>
          <w:sz w:val="17"/>
          <w:szCs w:val="17"/>
          <w:color w:val="auto"/>
        </w:rPr>
        <w:t>. In the event of certain changes in our capitalization, to prevent diminution or enlargement of the benefits or potential benefits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under the 2014 Plan, the administrator will adjust the number and class of shares that may be delivered under the 2014 Plan or the number, class and price of shares covered by each outstanding award, and the numerical share limits set forth in the 2014 Plan.</w:t>
      </w:r>
    </w:p>
    <w:p>
      <w:pPr>
        <w:spacing w:after="0" w:line="166"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b w:val="1"/>
          <w:bCs w:val="1"/>
          <w:i w:val="1"/>
          <w:iCs w:val="1"/>
          <w:color w:val="auto"/>
        </w:rPr>
        <w:t>Merger or Change in Control</w:t>
      </w:r>
      <w:r>
        <w:rPr>
          <w:rFonts w:ascii="Arial" w:cs="Arial" w:eastAsia="Arial" w:hAnsi="Arial"/>
          <w:sz w:val="18"/>
          <w:szCs w:val="18"/>
          <w:color w:val="auto"/>
        </w:rPr>
        <w:t>. Our 2014 Plan provides that in the event of a merger or change in control, as defined in the 2014 Plan, each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treated as the administrator determines, including that the successor corporation or its parent or subsidiary will assume or substitute an equivalent award for each outstanding award. The administrator will not be required to treat all awards similarly. If there is no assumption or substitution of outstanding awards, the awards will fully vest, all restrictions will lapse, all performance goals or other vesting criteria will be deemed achieved at 100% of target levels and the awards will become fully exercisable.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adopted the 2014 Employee Stock Purchase Plan, or the ESPP.</w:t>
      </w:r>
    </w:p>
    <w:p>
      <w:pPr>
        <w:spacing w:after="0" w:line="22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b w:val="1"/>
          <w:bCs w:val="1"/>
          <w:i w:val="1"/>
          <w:iCs w:val="1"/>
          <w:color w:val="auto"/>
        </w:rPr>
        <w:t>Plan Administration</w:t>
      </w:r>
      <w:r>
        <w:rPr>
          <w:rFonts w:ascii="Arial" w:cs="Arial" w:eastAsia="Arial" w:hAnsi="Arial"/>
          <w:sz w:val="18"/>
          <w:szCs w:val="18"/>
          <w:color w:val="auto"/>
        </w:rPr>
        <w:t>. Our compensation committee administers the ESPP, and has full and exclusive authority to interpret the terms of the plan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 eligibility to participate, subject to the conditions of the plan as described below.</w:t>
      </w:r>
    </w:p>
    <w:p>
      <w:pPr>
        <w:spacing w:after="0" w:line="170"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b w:val="1"/>
          <w:bCs w:val="1"/>
          <w:i w:val="1"/>
          <w:iCs w:val="1"/>
          <w:color w:val="auto"/>
        </w:rPr>
        <w:t>Eligibility</w:t>
      </w:r>
      <w:r>
        <w:rPr>
          <w:rFonts w:ascii="Arial" w:cs="Arial" w:eastAsia="Arial" w:hAnsi="Arial"/>
          <w:sz w:val="16"/>
          <w:szCs w:val="16"/>
          <w:color w:val="auto"/>
        </w:rPr>
        <w:t>. Generally, all of our employees are eligible to participate if they are employed by us, or any participating subsidiary, for at least 20 hours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week and more than five months in any calendar year. However, an employee may not be granted rights to purchase stock under the ESPP if such employee:</w:t>
      </w:r>
    </w:p>
    <w:p>
      <w:pPr>
        <w:spacing w:after="0" w:line="29" w:lineRule="exact"/>
        <w:rPr>
          <w:sz w:val="20"/>
          <w:szCs w:val="20"/>
          <w:color w:val="auto"/>
        </w:rPr>
      </w:pPr>
    </w:p>
    <w:p>
      <w:pPr>
        <w:ind w:left="900" w:right="4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immediately after the grant would own stock possessing 5% or more of the total combined voting power or value of all classes of our capital stock; or</w:t>
      </w:r>
    </w:p>
    <w:p>
      <w:pPr>
        <w:spacing w:after="0" w:line="75" w:lineRule="exact"/>
        <w:rPr>
          <w:rFonts w:ascii="Arial" w:cs="Arial" w:eastAsia="Arial" w:hAnsi="Arial"/>
          <w:sz w:val="18"/>
          <w:szCs w:val="18"/>
          <w:color w:val="auto"/>
        </w:rPr>
      </w:pPr>
    </w:p>
    <w:p>
      <w:pPr>
        <w:ind w:left="900" w:right="300" w:hanging="325"/>
        <w:spacing w:after="0" w:line="277"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hold rights to purchase stock under all of our employee stock purchase plans that accrue at a rate that exceeds $25,000 worth of stock for each calendar year.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Offering Periods</w:t>
      </w:r>
      <w:r>
        <w:rPr>
          <w:rFonts w:ascii="Arial" w:cs="Arial" w:eastAsia="Arial" w:hAnsi="Arial"/>
          <w:sz w:val="18"/>
          <w:szCs w:val="18"/>
          <w:color w:val="auto"/>
        </w:rPr>
        <w:t>. Our ESPP is intended to qualify under Section 423 of the Code. Each offering period includes purchase periods, which will be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six months commencing with one exercise date and ending with the next exercise date. The offering periods are scheduled to start on the first trading day on or after and of each year, except for the first offering period, which will commence on such future date as our board of directors may determine.</w:t>
      </w:r>
    </w:p>
    <w:p>
      <w:pPr>
        <w:spacing w:after="0" w:line="18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Our ESPP permits participants to purchase shares of common stock through payroll deductions of up to 15.0% of their eligible compensation. A participant may purchase a maximum of shares during a six-month period.</w:t>
      </w:r>
    </w:p>
    <w:p>
      <w:pPr>
        <w:spacing w:after="0" w:line="17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Exercise of Purchase Right</w:t>
      </w:r>
      <w:r>
        <w:rPr>
          <w:rFonts w:ascii="Arial" w:cs="Arial" w:eastAsia="Arial" w:hAnsi="Arial"/>
          <w:sz w:val="18"/>
          <w:szCs w:val="18"/>
          <w:color w:val="auto"/>
        </w:rPr>
        <w:t>. Amounts deducted and accumulated by the participant will be used to purchase shares of our common stock at the end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six month purchase period. The purchase price of the shares will be 85.0% of the lower of the fair market value of our common stock on the first trading day of each offering period or on the exercise date. If the fair market value of our common stock on the exercise date is less than the fair market value on the first trading day of the offering period, participants will be withdrawn from the current offering period following their purchase of shares on the purchase date and will be automatically re-enrolled in a new offering period. Participants may end their participation at any time during an offering period and will be paid their accrued contributions that have not yet been used to purchase shares of common stock. Participation ends automatically upon termination of employment with us.</w:t>
      </w:r>
    </w:p>
    <w:p>
      <w:pPr>
        <w:spacing w:after="0" w:line="189"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b w:val="1"/>
          <w:bCs w:val="1"/>
          <w:i w:val="1"/>
          <w:iCs w:val="1"/>
          <w:color w:val="auto"/>
        </w:rPr>
        <w:t>Non-Transferability</w:t>
      </w:r>
      <w:r>
        <w:rPr>
          <w:rFonts w:ascii="Arial" w:cs="Arial" w:eastAsia="Arial" w:hAnsi="Arial"/>
          <w:sz w:val="18"/>
          <w:szCs w:val="18"/>
          <w:color w:val="auto"/>
        </w:rPr>
        <w:t>. A participant may not transfer rights granted under the ESPP. If the compensation committee permits the transfer of rights, it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be done by will, the laws of descent and distribution, or as otherwise provided under the ESPP.</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b w:val="1"/>
          <w:bCs w:val="1"/>
          <w:i w:val="1"/>
          <w:iCs w:val="1"/>
          <w:color w:val="auto"/>
        </w:rPr>
        <w:t>Merger or Change in Control</w:t>
      </w:r>
      <w:r>
        <w:rPr>
          <w:rFonts w:ascii="Arial" w:cs="Arial" w:eastAsia="Arial" w:hAnsi="Arial"/>
          <w:sz w:val="18"/>
          <w:szCs w:val="18"/>
          <w:color w:val="auto"/>
        </w:rPr>
        <w:t>. In the event of our merger or change in control, as defined under the ESPP, a successor corporation may assume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substitute each outstanding purchase right. If the successor corporation refuses to assume or substitute for the outstanding purchase right, the offering period then in progress will be shortened, and a new exercise date will be set.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8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dilution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ESPP, the administrator will adjust the number and class of shares that may be delivered under the ESPP, the purchase price per share and the number of shares covered by each option and the numerical share limits set forth in the ESPP.</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b w:val="1"/>
          <w:bCs w:val="1"/>
          <w:i w:val="1"/>
          <w:iCs w:val="1"/>
          <w:color w:val="auto"/>
        </w:rPr>
        <w:t>Amendment; Termination</w:t>
      </w:r>
      <w:r>
        <w:rPr>
          <w:rFonts w:ascii="Arial" w:cs="Arial" w:eastAsia="Arial" w:hAnsi="Arial"/>
          <w:sz w:val="18"/>
          <w:szCs w:val="18"/>
          <w:color w:val="auto"/>
        </w:rPr>
        <w:t>. Our ESPP will automatically terminate in 2034, unless we terminate it sooner. Our board of directors has the authority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 suspend, or terminate our ESPP, except that, subject to certain exceptions described in the ESPP, no such action may adversely affect any outstanding rights to purchase stock under our ESPP.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Our named executive officers are eligible to participate in our employee benefit plans, including our medical, dental, vision, group life, and accidental death and dismemberment insurance plans, in each case, on the same basis as all of our other employees. We maintain a 401(k) plan for the benefit of our eligible employees, including our named executive officers, as discussed in the section below entitled “Employee benefit plans — 401(k) Plan.”</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1999 Stock Plan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board of directors and stockholders adopted our 1999 Incentive Stock Plan, or the 1999 Plan, in October 1999. Our 1999 Plan provided for the grant of nonstatutory stock options, or NSOs, and stock purchase rights to employees and consultants of ours or any parent or subsidiary of ours and to our directors. Our 1999 Plan also provided for the grant of incentive stock options, or ISOs (within the meaning of Section 422 of the Code), to employees of ours or any parent or subsidiary of ours. Our 1999 Stock Plan expired by its terms on October 5, 2009 and, accordingly, no further grants will be made under our 1999 Stock Plan. However, any outstanding awards granted under our 1999 Plan will remain outstanding, subject to the terms of our 1999 Plan and the applicable award agreements, until such awards are exercised or otherwise terminate or expire by their terms.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b w:val="1"/>
          <w:bCs w:val="1"/>
          <w:i w:val="1"/>
          <w:iCs w:val="1"/>
          <w:color w:val="auto"/>
        </w:rPr>
        <w:t>Plan administration</w:t>
      </w:r>
      <w:r>
        <w:rPr>
          <w:rFonts w:ascii="Arial" w:cs="Arial" w:eastAsia="Arial" w:hAnsi="Arial"/>
          <w:sz w:val="17"/>
          <w:szCs w:val="17"/>
          <w:color w:val="auto"/>
        </w:rPr>
        <w:t>. Our board of directors, or a duly authorized committee of our board of directors, may administer our 1999 Plan.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of our 1999 Plan, the administrator has the authority to determine the terms of awards, including recipients, the exercise or purchase price of the awards (if any), the number of shares subject to awards, the vesting schedule applicable to the awards, and any transfer restrictions or rights of repurchase. Additionally, the administrator has the authority to determine the fair market value of our common stock, to determine whether and under what circumstances an option may be settled in cash instead of common stock, to reduce the exercise price of an option to the then-current fair market value of our common stock, to initiate an option exchange program whereby outstanding options are exchanged for options with a lower exercise price, and to allow optionees to satisfy withholding tax obligations by electing to have us withhold otherwise deliverable shares. The administrator also has the authority to prescribe, amend, and rescind rules and regulations relating to the 1999 Plan and to construe and interpret the terms of the 1999 Plan and awards granted pursuant to the 1999 Plan. All decisions, interpretations and other actions of our board of directors will be final and binding.</w:t>
      </w:r>
    </w:p>
    <w:p>
      <w:pPr>
        <w:spacing w:after="0" w:line="18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could be granted under the 1999 Plan. The exercise price of nonstatutory stock options granted under our 1999 Plan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least be equal to 85% of the fair market value of our common stock on the date of grant, and the exercise price of incentive stock options granted under our 1999 Plan must at least be equal to the fair market value of our common stock on the date of grant, except that with respect to any participant who owns more than 10% of the voting power of all classes of our outstanding stock, the exercise price of any option must equal to at least 110% of the fair market value on the grant date. The term of a stock option may not exceed 10 years, except that with respect to any participant who owns more than 10% of the voting power of all classes of our outstanding stock, the term of an incentive stock option must not exceed 5 years.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death or disability, the option will remain exercisable for 12 months. In all other cases, the option will generally remain exercisable for three months following the termination of service. However, in no event may an option be exercised later than the expiration of its term. Subject to the provisions of our 1999 Plan, the administrator determined the other terms of options.</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b w:val="1"/>
          <w:bCs w:val="1"/>
          <w:i w:val="1"/>
          <w:iCs w:val="1"/>
          <w:color w:val="auto"/>
        </w:rPr>
        <w:t>Stock Purchase Rights</w:t>
      </w:r>
      <w:r>
        <w:rPr>
          <w:rFonts w:ascii="Arial" w:cs="Arial" w:eastAsia="Arial" w:hAnsi="Arial"/>
          <w:sz w:val="17"/>
          <w:szCs w:val="17"/>
          <w:color w:val="auto"/>
        </w:rPr>
        <w:t>. Restricted stock could be issued pursuant to the exercise or stock purchase rights granted under our 1999 Plan. Restricted stock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consists of shares of our common stock that vest in accordance with terms and conditions established by the administrator. The administrator determined the number of shares of restricted stock granted to any employee, director or consultant and, subject to the provisions of our 1999 Plan, determined the terms and conditions of such awards. The administrator could impose whatever conditions to vesting it determined to be appropriate (for example, the administrator may have set restrictions based on the achievement of specific performance goals or continued service to us); provided, however, that the administrator, in its sole discretion, may accelerate the time at which any restrictions will lapse or be removed. Holders of restricted stock generally have voting and dividend rights with respect to such shares upon issuance without regard to vesting, unless the administrator provided otherwise. Shares of restricted stock that do not vest are subject to our right of repurchase or forfeiture.</w:t>
      </w:r>
    </w:p>
    <w:p>
      <w:pPr>
        <w:spacing w:after="0" w:line="179"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Our 1999 Plan does not allow for the transfer of awards, and only the recipient of an award may exercise an award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his or her lifetime.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1999 Plan, the administrator will adjust the number and class of shares that may be delivered under the 1999 Plan or the number, class and price of shares covered by each outstanding award.</w:t>
      </w:r>
    </w:p>
    <w:p>
      <w:pPr>
        <w:spacing w:after="0" w:line="18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b w:val="1"/>
          <w:bCs w:val="1"/>
          <w:i w:val="1"/>
          <w:iCs w:val="1"/>
          <w:color w:val="auto"/>
        </w:rPr>
        <w:t>Dissolution or Liquidation</w:t>
      </w:r>
      <w:r>
        <w:rPr>
          <w:rFonts w:ascii="Arial" w:cs="Arial" w:eastAsia="Arial" w:hAnsi="Arial"/>
          <w:sz w:val="18"/>
          <w:szCs w:val="18"/>
          <w:color w:val="auto"/>
        </w:rPr>
        <w:t>. In the event of our proposed dissolution or liquidation, the administrator will notify participants as soon as practicable.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administrator may allow for awards to be exercised until 15 days prior to such transaction as to all of the shares subject to such awards, including shares which would not otherwise be exercisable. In addition, the administrator may provide that any repurchase option of ours will lapse, so long as the proposed dissolution or liquidation takes place at the time and in the manner contemplated. All awards will terminate immediately prior to the consummation of such proposed transaction.</w:t>
      </w:r>
    </w:p>
    <w:p>
      <w:pPr>
        <w:spacing w:after="0" w:line="188"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b w:val="1"/>
          <w:bCs w:val="1"/>
          <w:i w:val="1"/>
          <w:iCs w:val="1"/>
          <w:color w:val="auto"/>
        </w:rPr>
        <w:t>Merger or Asset Sale</w:t>
      </w:r>
      <w:r>
        <w:rPr>
          <w:rFonts w:ascii="Arial" w:cs="Arial" w:eastAsia="Arial" w:hAnsi="Arial"/>
          <w:sz w:val="18"/>
          <w:szCs w:val="18"/>
          <w:color w:val="auto"/>
        </w:rPr>
        <w:t>. Our 1999 Plan provides that in the event of a merger or sale of substantially all of the assets of our company, each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award will be assumed or an equivalent award will be substituted by the successor corporation or its parent or subsidiary. If the successor corporation or its parent or subsidiary does not assume or substitute an equivalent award for any outstanding award, then such award will fully vest, and the administrator will notify the holder of the award that such award will be fully exercisable for a period of 15 days from the date of such notice. The award will then terminate upon the expiration of the specified period of time.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Plan amendment or termination</w:t>
      </w:r>
      <w:r>
        <w:rPr>
          <w:rFonts w:ascii="Arial" w:cs="Arial" w:eastAsia="Arial" w:hAnsi="Arial"/>
          <w:sz w:val="18"/>
          <w:szCs w:val="18"/>
          <w:color w:val="auto"/>
        </w:rPr>
        <w:t>. Our board of directors has the authority to amend our 1999 Plan, provided that such action does not impair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rights of any participant without such participant’s written consent.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2010 Stock Plan</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board of directors and stockholders adopted our 2010 Plan in May 2010. Our 2010 Plan provided for the grant of NSOs, stock appreciation rights, restricted stock, and restricted stock units to employees and consultants of ours or any parent or subsidiary of ours and to our directors. Our 2010 Plan also provides for the grant of ISOs (within the meaning of Section 422 of the Code) to employees of ours or any parent or subsidiary of ours. Our 2010 Stock Plan was terminated in connection with our IPO, and accordingly, no further grants will be made under our 2010 Plan. However, any outstanding awards granted under our 2010 Plan will remain outstanding, subject to the terms of our 2010 Plan and the applicable award agreements, until such awards are exercised or otherwise terminate or expire by their terms.</w:t>
      </w:r>
    </w:p>
    <w:p>
      <w:pPr>
        <w:spacing w:after="0" w:line="193"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b w:val="1"/>
          <w:bCs w:val="1"/>
          <w:i w:val="1"/>
          <w:iCs w:val="1"/>
          <w:color w:val="auto"/>
        </w:rPr>
        <w:t>Plan administration</w:t>
      </w:r>
      <w:r>
        <w:rPr>
          <w:rFonts w:ascii="Arial" w:cs="Arial" w:eastAsia="Arial" w:hAnsi="Arial"/>
          <w:sz w:val="17"/>
          <w:szCs w:val="17"/>
          <w:color w:val="auto"/>
        </w:rPr>
        <w:t>. Our board of directors, or a duly authorized committee of our board of directors, may administer our 2010 Plan. Subject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terms of our 2010 Plan, the administrator will have the power to administer the 2010 Plan, including but not limited to the power to interpret the terms of the 2010 Plan and awards granted under it; to create, amend, and revoke rules relating to the 2010 Plan, including creating sub-plans; and to determine the terms of the awards, including the exercise price, the number of shares subject to each such award, the exercisability of the awards, and the form of consideration, if any, payable upon exercise. The administrator will also have the authority to amend existing awards to reduce or increase their exercise price, to allow participants the opportunity to transfer outstanding awards to a financial institution or other person or entity selected by the administrator, and to institute an exchange program by which outstanding awards may be surrendered in exchange for awards of the same type which may have a higher or lower exercise price or different terms, awards of a different type, or cash.</w:t>
      </w:r>
    </w:p>
    <w:p>
      <w:pPr>
        <w:spacing w:after="0" w:line="179"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Stock Options</w:t>
      </w:r>
      <w:r>
        <w:rPr>
          <w:rFonts w:ascii="Arial" w:cs="Arial" w:eastAsia="Arial" w:hAnsi="Arial"/>
          <w:sz w:val="16"/>
          <w:szCs w:val="16"/>
          <w:color w:val="auto"/>
        </w:rPr>
        <w:t>. Stock options could be granted under the 2010 Plan. The exercise price of options granted under our 2010 Plan must at least be equal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fair market value of our common stock on the date of grant. The term of a stock option may not exceed 10 years, except that with respect to an ISO granted to a participant who owns more than 10% of the voting power of all classes of our outstanding stock, the term must not exceed 5 years and the exercise price must equal at least 110% of the fair market value on the grant date. The administrator determined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30 days (or 6 months in the case of a termination due to death or disability) or such longer period of time stated in his or her option agreement. However, in no event may an option be exercised later than the expiration of its term. Subject to the provisions of our 2010 Plan, the administrator determines the other terms of options.</w:t>
      </w:r>
    </w:p>
    <w:p>
      <w:pPr>
        <w:spacing w:after="0" w:line="16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Stock appreciation rights could be granted under our 2010 Plan. Stock appreciation rights allow the recipient to receive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appreciation in the fair market value of our common stock between the exercise date and the date of grant. Stock appreciation rights may not have a term exceeding 10 years.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our 2010 Plan, the administrator determined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92"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Restricted stock could be granted under our 2010 Plan. Restricted stock awards are grants of shares of our common stock that vest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terms and conditions established by the administrator. The administrator determines the number of shares of restricted stock granted to any employee, director or consultant and, subject to the provisions of our 2010 Plan, determined the terms and conditions of such awards. The administrator could impose whatever conditions to vesting it determined to be appropriate (for example, the administrator may have set restrictions based on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achievement of specific performance goals or continued service to us); provided, however, that the administrator, in its sole discretion, may accelerate the time at which any restrictions will lapse or be removed. Recipients of restricted stock awards generally have voting and dividend rights with respect to such shares upon grant without regard to vesting, unless the administrator provided otherwise. Shares of restricted stock that do not vest are subject to our right of repurchase or forfeiture.</w:t>
      </w:r>
    </w:p>
    <w:p>
      <w:pPr>
        <w:spacing w:after="0" w:line="18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color w:val="auto"/>
        </w:rPr>
        <w:t>. Restricted stock units could be granted under our 2010 Plan. Restricted stock units are bookkeeping entries representing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equal to the fair market value of one share of our common stock. Subject to the provisions of our 2010 Plan, the administrator determined the terms and conditions of restricted stock units, including the vesting criteria (which may include accomplishing specified performance criteria or continued service to us) and the form and timing of payment. Notwithstanding the foregoing, the administrator, in its sole discretion, may accelerate the time at which any restrictions will lapse or be removed.</w:t>
      </w:r>
    </w:p>
    <w:p>
      <w:pPr>
        <w:spacing w:after="0" w:line="188"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b w:val="1"/>
          <w:bCs w:val="1"/>
          <w:i w:val="1"/>
          <w:iCs w:val="1"/>
          <w:color w:val="auto"/>
        </w:rPr>
        <w:t>Non-Transferability of Awards</w:t>
      </w:r>
      <w:r>
        <w:rPr>
          <w:rFonts w:ascii="Arial" w:cs="Arial" w:eastAsia="Arial" w:hAnsi="Arial"/>
          <w:sz w:val="18"/>
          <w:szCs w:val="18"/>
          <w:color w:val="auto"/>
        </w:rPr>
        <w:t>. Unless the administrator provided otherwise, our 2010 Plan generally does not allow for the transfer of awards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the recipient of an award may exercise an award during his or her lifetime.</w:t>
      </w:r>
    </w:p>
    <w:p>
      <w:pPr>
        <w:spacing w:after="0" w:line="170"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b w:val="1"/>
          <w:bCs w:val="1"/>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 potential benefits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under the 2010 Plan, the administrator will adjust the number and class of shares that may be delivered under the Plan or the number, class, and price of shares covered by each outstanding award, and the numerical share limits set forth in the 2010 Plan. In the event of our proposed liquidation or dissolution, the administrator will notify participants as soon as practicable and all awards will terminate immediately prior to the consummation of such proposed transaction.</w:t>
      </w:r>
    </w:p>
    <w:p>
      <w:pPr>
        <w:spacing w:after="0" w:line="188"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b w:val="1"/>
          <w:bCs w:val="1"/>
          <w:i w:val="1"/>
          <w:iCs w:val="1"/>
          <w:color w:val="auto"/>
        </w:rPr>
        <w:t>Dissolution or Liquidation</w:t>
      </w:r>
      <w:r>
        <w:rPr>
          <w:rFonts w:ascii="Arial" w:cs="Arial" w:eastAsia="Arial" w:hAnsi="Arial"/>
          <w:sz w:val="18"/>
          <w:szCs w:val="18"/>
          <w:color w:val="auto"/>
        </w:rPr>
        <w:t>. In the event of our proposed dissolution or liquidation, the administrator will notify participants as soon as practicable,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 awards will terminate immediately prior to the consummation of such proposed transaction.</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b w:val="1"/>
          <w:bCs w:val="1"/>
          <w:i w:val="1"/>
          <w:iCs w:val="1"/>
          <w:color w:val="auto"/>
        </w:rPr>
        <w:t>Change in control</w:t>
      </w:r>
      <w:r>
        <w:rPr>
          <w:rFonts w:ascii="Arial" w:cs="Arial" w:eastAsia="Arial" w:hAnsi="Arial"/>
          <w:sz w:val="17"/>
          <w:szCs w:val="17"/>
          <w:color w:val="auto"/>
        </w:rPr>
        <w:t>. Our 2010 Plan provides that in the event of a change in control, as defined under our 2010 Plan, each outstanding award will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the administrator determines, except that if a successor corporation or its parent or subsidiary does not assume or substitute an equivalent award for any outstanding award, then such award will fully vest, all restrictions on such award will lapse, all performance goals or other vesting criteria applicable to such award will be deemed achieved at 100% of target levels and such award will become fully exercisable, if applicable, for a specified period prior to the transaction. The award will then terminate upon the expiration of the specified period of time.</w:t>
      </w:r>
    </w:p>
    <w:p>
      <w:pPr>
        <w:spacing w:after="0" w:line="173"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b w:val="1"/>
          <w:bCs w:val="1"/>
          <w:i w:val="1"/>
          <w:iCs w:val="1"/>
          <w:color w:val="auto"/>
        </w:rPr>
        <w:t>Plan amendment or termination</w:t>
      </w:r>
      <w:r>
        <w:rPr>
          <w:rFonts w:ascii="Arial" w:cs="Arial" w:eastAsia="Arial" w:hAnsi="Arial"/>
          <w:sz w:val="18"/>
          <w:szCs w:val="18"/>
          <w:color w:val="auto"/>
        </w:rPr>
        <w:t>. Our board of directors has the authority to amend our 2010 Plan, provided that such action does not impair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rights of any participant without such participant’s written consent.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We maintain a retirement savings plan, or 401(k) plan, that provides eligible U.S. employees with an opportunity to save for retirement on a tax advantaged basis. Under our 401(k) plan, eligible employees may defer eligible compensation subject to applicable annual contribution limits imposed by the Code. Employees’ pre-tax contributions are allocated to each participant’s individual account. Participants are immediately and fully vested in their contributions. We do not currently provide an employer match on employee contributions. The 401(k) plan is intended to be qualified under Section 401(a) of the Code with the 401(k) plan’s related trust intended to be tax exempt under Section 501(a) of the Code. As a tax-qualified retirement plan, contributions to the 401(k) plan and earnings on those contributions are not taxable to the employees until distributed from the 401(k) plan.</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describe below transactions and series of similar transactions that we were or will be a party to in which (i) an executive officer, director, nominee for election as a director, beneficial owner of more than 5% of any class of our common stock or any member of the immediate family of any of the foregoing persons and (ii) the amount involved exceeds $120,000.</w:t>
      </w:r>
    </w:p>
    <w:p>
      <w:pPr>
        <w:spacing w:after="0" w:line="154"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Common Stock Financing</w:t>
      </w:r>
    </w:p>
    <w:p>
      <w:pPr>
        <w:spacing w:after="0" w:line="117"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December 11, 2017, we entered into the Unit Purchase Agreement with the selling stockholders pursuant to which we sold and issued 8,141,116 immediately separable units at a price per unit of $1.84 for aggregate gross proceeds of approximately $15,000,000. Each unit consisted of one share of our common stock and a warrant to purchase 0.74 of a share of our common stock at an exercise price of $2.00 per share, for an aggregate of 8,141,116 Shares and corresponding warrants to purchase 6,024,425 Warrant Shares, together referred to as the Resale Shares. We also granted certain registration rights to the selling stockholders pursuant to the Unit Purchase Agreement pursuant to which, among other things, we are preparing and filing this registration statement with the SEC to register for resale the Resale Shares.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members of our board of directors, including Drs. Engleman and Shah, are affiliates of the selling stockholders:</w:t>
      </w:r>
    </w:p>
    <w:p>
      <w:pPr>
        <w:spacing w:after="0" w:line="131" w:lineRule="exact"/>
        <w:rPr>
          <w:sz w:val="20"/>
          <w:szCs w:val="20"/>
          <w:color w:val="auto"/>
        </w:rPr>
      </w:pPr>
    </w:p>
    <w:p>
      <w:pPr>
        <w:ind w:left="900" w:right="60" w:hanging="325"/>
        <w:spacing w:after="0" w:line="259"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Entities affiliated with Vivo Ventures, which are affiliated with Drs. Engleman and Shah, purchased an aggregate of 1,085,480 shares of common stock in the 2017 PIPE Offering (approximately 13.3% of the shares of common stock issued in the 2017 PIPE Offering) and warrants to purchase an aggregate of 803,255 shares of common stock (approximately 13.3% of the warrants issued in the 2017 PIPE Offering for an aggregate investment of approximately $2 million).</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with Essentialis, Inc. and Common Stock Financing</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7, 2017, we entered into common stock purchase agreements, or the Common Stock Purchase Agreements, with certain new and existing investors who previously delivered non-binding indications of interest to us to participate in a financing of up to $8 million in connection with the Merger with Essentialis. Under the terms of the Common Stock Purchase Agreements, we agreed to sell to the purchasers, in a private placement, an aggregate of 1,666,666 shares of common stock, par value $0.001 per share, at a purchase price of $4.80 per share for gross proceeds of approximately $8 million, or the Concurrent Financing. The Concurrent Financing closed concurrently with the closing of the Merger on March 7, 2017. In accordance with the Merger Agreement, Company E Merger Sub, Inc. was merged with and into Essentialis, with Essentialis as the surviving corporation and wholly-owned subsidiary of us.</w:t>
      </w:r>
    </w:p>
    <w:p>
      <w:pPr>
        <w:spacing w:after="0" w:line="1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Under the terms of the Merger Agreement, in connection with the closing of the transactions contemplated by the Merger Agreement, the former holders of Essentialis stock received an aggregate of 3,788,388 shares of our common stock. At the closing, we held back an aggregate of 182,678 shares of common stock as partial recourse to satisfy indemnification claims made by us under the Merger Agreement, and such shares of common stock were issued to Essentialis stockholders on the one year anniversary of the closing (subject to the limitations set forth in the Merger Agreement). We are also obligated to issue an additional 913,389 shares of our common stock to Essentialis stockholders upon the achievement of a development milestone associated with Essentialis’ product. Following the issuance of the shares held back by us and assuming that we issue all of the shares of common stock upon the achievement of the development milestone, we would issue a total of 4,879,455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$35 million to Essentialis stockholders. The merger consideration described above will be reduced by any such shares of our common stock issuable, or cash earnout payments payable, to Essentialis’ management carve-out plan participants and other service providers of Essentialis, in each case, in accordance with the terms of the Merger Agreement.</w:t>
      </w:r>
    </w:p>
    <w:p>
      <w:pPr>
        <w:spacing w:after="0" w:line="132"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Certain members of our board of directors, including Drs. Engleman, Shah, Glasheen and Collinson, were affiliates to investors in the Concurrent Financing and stockholders of Essentialis entitled to a portion of the Merger consideration:</w:t>
      </w:r>
    </w:p>
    <w:p>
      <w:pPr>
        <w:spacing w:after="0" w:line="76" w:lineRule="exact"/>
        <w:rPr>
          <w:sz w:val="20"/>
          <w:szCs w:val="20"/>
          <w:color w:val="auto"/>
        </w:rPr>
      </w:pPr>
    </w:p>
    <w:p>
      <w:pPr>
        <w:ind w:left="900" w:right="240" w:hanging="325"/>
        <w:spacing w:after="0" w:line="25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Entities affiliated with Vivo Ventures, which are affiliated with Drs. Engleman and Shah, purchased 282,092 shares of common stock in the Concurrent Financing (approximately 16.9% of the shares of common stock issued in the Concurrent Financing for an aggregate investment of $1,354,043.16) and received 1,165,563 shares (approximately 30.8% of the shares of common stock issued to Essentialis stockholders in the Merger at an aggregate value of $3,962,914.20). Additionally, Dr. Shah received an aggregate of $82,949.12 of the Merger consideration as a participant in Essentialis’ management carve-out plan.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14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Entities affiliated with Technology Partners, which is affiliated with Dr. Glasheen purchased 266,579 shares of common stock in the Concurrent Financing (approximately 16.0% of the shares of common stock issued in the Concurrent Financing) for an aggregate investment of $1,279,582.64 and received 1,143,558 shares (approximately 30.2% of the shares of common stock issued to Essentialis stockholders in the Merger) at an aggregate value of $3,888,097.20.</w:t>
      </w:r>
    </w:p>
    <w:p>
      <w:pPr>
        <w:spacing w:after="0" w:line="92"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Entities affiliated with Forward Ventures, which is affiliated with Dr. Collinson purchased 284,661 shares of common stock in the Concurrent Financing (approximately 17.1% of the shares of common stock issued in the Financing) for an aggregate investment of $1,366,374.20 and received 1,165,684 shares (approximately 30.8% of the shares of common stock issued to Essentialis stockholders in the Merger) at an aggregate value of $3,963,325.60.</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 to Executive Officers</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We have granted, and will in the future grant, stock options and other equity awards to our named executive officers, other executive officers and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certain of our directors. See the sections of this prospectus entitled “Management — Non-Employee Director Compensation” and “Executive Compensation.”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right="60" w:firstLine="456"/>
        <w:spacing w:after="0" w:line="308" w:lineRule="auto"/>
        <w:rPr>
          <w:sz w:val="20"/>
          <w:szCs w:val="20"/>
          <w:color w:val="auto"/>
        </w:rPr>
      </w:pPr>
      <w:r>
        <w:rPr>
          <w:rFonts w:ascii="Arial" w:cs="Arial" w:eastAsia="Arial" w:hAnsi="Arial"/>
          <w:sz w:val="17"/>
          <w:szCs w:val="17"/>
          <w:color w:val="auto"/>
        </w:rPr>
        <w:t>We have also entered into indemnification agreements with our directors and certain of our executive officers. The indemnification agreements and our certificate of incorporation and bylaws require us to indemnify our directors and officers to the fullest extent permitted by Delaware law.</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prior consent of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first be presented to our audit committee for review, consideration and approval. In approving or rejecting any such proposal, our audit committee is to consider the material facts of the transaction, including, but not limited to, whether the transaction is on terms no less favorable than terms generally available to an unaffiliated third party under the same or similar circumstances and the extent of the related person’s interest in the transaction.</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OWNERSHIP OF CERTAIN BENEFICIAL OWNERS AND MANAGEMENT OF SOLENO THERAPEUTICS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sets forth certain information with respect to the beneficial ownership of our common stock as of December 31, 2017, for:</w:t>
      </w:r>
    </w:p>
    <w:p>
      <w:pPr>
        <w:spacing w:after="0" w:line="142" w:lineRule="exact"/>
        <w:rPr>
          <w:sz w:val="20"/>
          <w:szCs w:val="20"/>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or group of affiliated persons, who beneficially owned more than 5% of Soleno Therapeutics common stock.</w:t>
      </w:r>
    </w:p>
    <w:p>
      <w:pPr>
        <w:spacing w:after="0" w:line="22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our common stock that they beneficially owned, subject to applicable community property laws.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percentage ownership is based on 19,238,972 shares of our common stock outstanding as of December 31, 2017.</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Unless otherwise indicated below, the address of each beneficial owner listed in the table below is c/o Soleno Therapeutics, Inc., 1235 Radio Road, Suite 110, Redwood City, California 94065. Beneficial ownership representing less than 1% is denoted with an asterisk (*).</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600" w:type="dxa"/>
            <w:vAlign w:val="bottom"/>
          </w:tcPr>
          <w:p>
            <w:pPr>
              <w:spacing w:after="0"/>
              <w:rPr>
                <w:sz w:val="14"/>
                <w:szCs w:val="14"/>
                <w:color w:val="auto"/>
              </w:rPr>
            </w:pPr>
          </w:p>
        </w:tc>
        <w:tc>
          <w:tcPr>
            <w:tcW w:w="232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Shares Beneficially Owned</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1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Number of Shares</w:t>
            </w:r>
          </w:p>
        </w:tc>
        <w:tc>
          <w:tcPr>
            <w:tcW w:w="460" w:type="dxa"/>
            <w:vAlign w:val="bottom"/>
            <w:tcBorders>
              <w:top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6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5% Stockholders</w:t>
            </w:r>
          </w:p>
        </w:tc>
        <w:tc>
          <w:tcPr>
            <w:tcW w:w="4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Entities Associated with Vivo Ventures Fund V, L.P. (1)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5,080,471</w:t>
            </w:r>
          </w:p>
        </w:tc>
        <w:tc>
          <w:tcPr>
            <w:tcW w:w="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25.03%</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Technology Partners (2)</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1,410,138</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Entities Associated with Forward Ventures V, L.P. (3)</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1,450,346</w:t>
            </w:r>
          </w:p>
        </w:tc>
        <w:tc>
          <w:tcPr>
            <w:tcW w:w="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Oracle Partners, LP (4)</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4,532,971</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21.42%</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Birchview Fund, LLC (5)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1,180,465</w:t>
            </w:r>
          </w:p>
        </w:tc>
        <w:tc>
          <w:tcPr>
            <w:tcW w:w="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Jack W. Schuler (6)</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4,532,971</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21.42%</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683 Capital Partners, LP (7)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1,416,555</w:t>
            </w:r>
          </w:p>
        </w:tc>
        <w:tc>
          <w:tcPr>
            <w:tcW w:w="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6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Ernest Mario (8)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497,721</w:t>
            </w:r>
          </w:p>
        </w:tc>
        <w:tc>
          <w:tcPr>
            <w:tcW w:w="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Anish Bhatnagar (9)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370,459</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Anthony Wondka (10)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30,980</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Edgar G. Engleman (1) (11)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5,089,437</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25.06%</w:t>
            </w: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Steinar J. Engelsen (12)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43,126</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Kirnon (13)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William G. Harris (14)</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31,580</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D. O’Toole (15)</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73,397</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Rajen Dalal (16)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15,491</w:t>
            </w:r>
          </w:p>
        </w:tc>
        <w:tc>
          <w:tcPr>
            <w:tcW w:w="5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Mahendra Shah (17)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24,603</w:t>
            </w: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gridSpan w:val="2"/>
          </w:tcPr>
          <w:p>
            <w:pPr>
              <w:spacing w:after="0"/>
              <w:rPr>
                <w:sz w:val="20"/>
                <w:szCs w:val="20"/>
                <w:color w:val="auto"/>
              </w:rPr>
            </w:pPr>
            <w:r>
              <w:rPr>
                <w:rFonts w:ascii="Arial" w:cs="Arial" w:eastAsia="Arial" w:hAnsi="Arial"/>
                <w:sz w:val="18"/>
                <w:szCs w:val="18"/>
                <w:color w:val="auto"/>
              </w:rPr>
              <w:t>Stuart Collinson (2) (18)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1,456,464</w:t>
            </w:r>
          </w:p>
        </w:tc>
        <w:tc>
          <w:tcPr>
            <w:tcW w:w="5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Glasheen (3) (19)</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1,416,443</w:t>
            </w:r>
          </w:p>
        </w:tc>
        <w:tc>
          <w:tcPr>
            <w:tcW w:w="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7.36%</w:t>
            </w: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All current directors and executive officers as a group (12 Persons) (20)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9,074,570</w:t>
            </w:r>
          </w:p>
        </w:tc>
        <w:tc>
          <w:tcPr>
            <w:tcW w:w="5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43.45%</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(1%).</w:t>
      </w:r>
    </w:p>
    <w:p>
      <w:pPr>
        <w:spacing w:after="0" w:line="23" w:lineRule="exact"/>
        <w:rPr>
          <w:sz w:val="20"/>
          <w:szCs w:val="20"/>
          <w:color w:val="auto"/>
        </w:rPr>
      </w:pPr>
    </w:p>
    <w:p>
      <w:pPr>
        <w:ind w:left="460" w:hanging="452"/>
        <w:spacing w:after="0" w:line="28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December 31, 2017, upon the exercise of warrants: (a) 4,933,076 shares of common stock held by Vivo Ventures Fund, V, L.P., consisting of (W) 3,888,136 shares of outstanding common stock, (X) zero shares of common stock subject to outstanding options that are vested and exercisable within sixty days of December 31, 2017, and (Y) 1,044,940 shares of common stock issuable upon the exercise of warrants (assuming an exercise date of December 31, 2017); (b) 57,923 shares of common stock held by Vivo Ventures V Affiliates Fund, LP., consisting of (W) 45,660 shares of outstanding common stock, (X) zero shares of common stock subject to outstanding options that are vested and exercisable within sixty days of December 31, 2017, and (Y) 12,263 shares of common stock issuable upon the exercise of warrants (assuming an exercise date of December 31, 2017); (c) 46,254 shares of common stock held by BDF IV Annex Fund, L.P., consisting of (W) 45,413 shares of outstanding common stock, (X) zero shares of common stock subject to outstanding options that are vested and exercisable within sixty days of December 31, 2017, and (Y) 841 shares of common stock issuable upon the exercise of warrants (assuming an exercise date of December 31, 2017);</w:t>
      </w:r>
    </w:p>
    <w:p>
      <w:pPr>
        <w:spacing w:after="0" w:line="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(d) 33,588 shares of common stock held by Biotechnology Development Fund IV, L.P., consisting of (W) 33,388 shares of outstanding common stock,</w:t>
      </w:r>
    </w:p>
    <w:p>
      <w:pPr>
        <w:spacing w:after="0" w:line="32" w:lineRule="exact"/>
        <w:rPr>
          <w:rFonts w:ascii="Arial" w:cs="Arial" w:eastAsia="Arial" w:hAnsi="Arial"/>
          <w:sz w:val="16"/>
          <w:szCs w:val="16"/>
          <w:color w:val="auto"/>
        </w:rPr>
      </w:pPr>
    </w:p>
    <w:p>
      <w:pPr>
        <w:ind w:left="460"/>
        <w:spacing w:after="0" w:line="251" w:lineRule="auto"/>
        <w:rPr>
          <w:rFonts w:ascii="Arial" w:cs="Arial" w:eastAsia="Arial" w:hAnsi="Arial"/>
          <w:sz w:val="16"/>
          <w:szCs w:val="16"/>
          <w:color w:val="auto"/>
        </w:rPr>
      </w:pPr>
      <w:r>
        <w:rPr>
          <w:rFonts w:ascii="Arial" w:cs="Arial" w:eastAsia="Arial" w:hAnsi="Arial"/>
          <w:sz w:val="18"/>
          <w:szCs w:val="18"/>
          <w:color w:val="auto"/>
        </w:rPr>
        <w:t>(X) zero shares of common stock subject to outstanding options that are vested and exercisable within sixty days of December 31, 2017, and (Y) 200shares of common stock issuable upon the exercise of warrants (assuming an exercise date of December 31, 2017); (e) 618 shares of common stock held by Biotechnology Development Fund IV Affiliates, L.P., consisting of (W) 615 shares of outstanding common stock, (X) zero shares of common stock subject to outstanding options that are vested and exercisable within sixty days of December 31, 2017, and (Y) 3 shares of common stock issuable upon the exercise of warrants (assuming an exercise date of December 31, 2017); and (f) 13,889 shares of common stock held by Vivo Capital LLC, consisting of (W) 9,012 shares of outstanding common stock, (X) zero shares of common stock subject to outstanding options that are vested and exercisable within sixty days of December 31, 2017, and (Y) zero shares of common stock issuable upon the exercise of warrants (assuming an exercise date of December 31, 2017). Vivo Ventures V Fund LLC (Vivo V LLC), is the sole general partner of both of Vivo Ventures Fund V, L.P. and Vivo Ventures V</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67" w:lineRule="auto"/>
        <w:rPr>
          <w:sz w:val="20"/>
          <w:szCs w:val="20"/>
          <w:color w:val="auto"/>
        </w:rPr>
      </w:pPr>
      <w:r>
        <w:rPr>
          <w:rFonts w:ascii="Arial" w:cs="Arial" w:eastAsia="Arial" w:hAnsi="Arial"/>
          <w:sz w:val="17"/>
          <w:szCs w:val="17"/>
          <w:color w:val="auto"/>
        </w:rPr>
        <w:t>Affiliates Fund, L.P. (Vivo V Funds), and may be deemed to beneficially own the common stock of Soleno Therapeutics owned by the Vivo V Funds. Vivo Capital LLC is the management company of Vivo V LLC. Vivo V LLC disclaims beneficial ownership of the shares of Soleno Therapeutics held by each of the Vivo V Funds, except to the extent of its pecuniary interest therein. BioAsia Investments IV, LLC (BAI IV), is the sole general partner of Biotechnology Development Fund IV, LP, Biotechnology Development Fund IV Affiliates, L.P., BDF IV Annex Fund, L.P. (BDF IV Funds) and may be deemed to beneficially own the common stock of Soleno Therapeutics owned by the BDF IV Funds. BAI IV disclaims beneficial ownership of the shares of Soleno Therapeutics held by each of the BDF IV Funds, except to the extent of its pecuniary interest therein. BioAsia Management, LLC (BAM), is the sole general partner of Biotechnology Development Fund II, L.P. (BDF II), and may be deemed to beneficially own the common stock of Soleno Therapeutics owned by BDF II. BAM disclaims beneficial ownership of the shares of Soleno Therapeutics held by each of the BDF II Funds, except to the extent of its pecuniary interest therein. Edgar G. Engleman M.D. is one of the managing members in Vivo Capital LLC, Vivo V LLC, BAI IV, and BAM, and has the shared voting power with other managing members.</w:t>
      </w:r>
    </w:p>
    <w:p>
      <w:pPr>
        <w:spacing w:after="0" w:line="1" w:lineRule="exact"/>
        <w:rPr>
          <w:sz w:val="20"/>
          <w:szCs w:val="20"/>
          <w:color w:val="auto"/>
        </w:rPr>
      </w:pPr>
    </w:p>
    <w:p>
      <w:pPr>
        <w:ind w:left="460" w:hanging="452"/>
        <w:spacing w:after="0" w:line="265" w:lineRule="auto"/>
        <w:tabs>
          <w:tab w:leader="none" w:pos="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Represents shares of common stock outstanding, issuable within 60 days of December 31, 2017, upon the exercise of options or warrants: (a) 1,380,985 shares of common stock held by Technology Partners Fund VII, L.P., consisting of (W) 1,380,985 shares of outstanding common stock, (X) zero shares of common stock subject to outstanding options that are vested and exercisable within sixty days of December 31, 2017and (Y) zero shares of common stock subject to outstanding options that are vested and exercisable within 60 days of December 31, 2017, and (b) 29,153 shares of common stock held by Technology Partners Affiliates VII, L.P., consisting of (W) 29,153 shares of outstanding common stock, (X) zero shares of common stock subject to outstanding options that are vested and exercisable within sixty days of December 31, 2017 and (Y) zero shares of common stock subject to outstanding options that are vested and exercisable within 60 days of December 31, 2017. James Glasheen is one of the managing members of Technology Partners and Technology Affiliates and has shared voting power over the shares of common stock beneficially owned by Technology Partners and Technology Affiliates.</w:t>
      </w:r>
    </w:p>
    <w:p>
      <w:pPr>
        <w:spacing w:after="0" w:line="2" w:lineRule="exact"/>
        <w:rPr>
          <w:rFonts w:ascii="Arial" w:cs="Arial" w:eastAsia="Arial" w:hAnsi="Arial"/>
          <w:sz w:val="17"/>
          <w:szCs w:val="17"/>
          <w:color w:val="auto"/>
        </w:rPr>
      </w:pPr>
    </w:p>
    <w:p>
      <w:pPr>
        <w:ind w:left="460" w:right="10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shares of common stock outstanding, issuable within 60 days of December 31, 2017, upon the exercise of options or warrants: 1,450,345 shares of common stock held by Forward Ventures V, L.P., or Forward Ventures, consisting of (W) 1,450,345 shares of outstanding common stock, (X) zero shares of common stock subject to outstanding options that are vested and exercisable within sixty days of December 31, 2017, and (Y) zero shares of common stock subject to outstanding options that are vested and exercisable within 60 days of December 31, 2017. Stuart Collinson is a managing member of Forward Ventures and has shared voting power over the shares of common stock beneficially owned by Forward Ventures.</w:t>
      </w:r>
    </w:p>
    <w:p>
      <w:pPr>
        <w:spacing w:after="0" w:line="3"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shares of common stock outstanding, issuable within 60 days of December 31, 2017, upon the exercise of options or warrants: (a) 2,833,108 shares of common stock held by Oracle Partners LP, consisting of (W) 1,628,223 shares of outstanding common stock, (X) zero shares of common stock subject to outstanding options that are vested and exercisable within sixty days of December 31, 2017, and (Y) 1,204,885 shares of common stock issuable upon the exercise of warrants (assuming an exercise date of December 31, 2017); (b) 944,369 shares of common stock held by Oracle Ten Fund, LP, consisting of (W) 542,741 shares of outstanding common stock, (X) zero shares of common stock subject to outstanding options that are vested and exercisable within sixty days of December 31, 2017, and (Y) 401,628 shares of common stock issuable upon the exercise of warrants (assuming an exercise date of December 31, 2017); (c) 377,747 shares of common stock held by Oracle Institutional Partners LP,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and (d) 377,747 shares of common stock held by Feinberg Family Trust, consisting of (W) 217,096 shares of outstanding common stock, (X) zero shares of common stock subject to outstanding options that are vested and exercisable within sixty days of December 31, 2017, and (Y) 160,651 shares of common issuable upon the exercise of warrants (assuming an exercise date of December 31, 2017). A Schedule 13G filed December 26, 2017 reports shared voting and dispositive power over 4,532,971 shares.</w:t>
      </w:r>
    </w:p>
    <w:p>
      <w:pPr>
        <w:spacing w:after="0" w:line="8" w:lineRule="exact"/>
        <w:rPr>
          <w:rFonts w:ascii="Arial" w:cs="Arial" w:eastAsia="Arial" w:hAnsi="Arial"/>
          <w:sz w:val="16"/>
          <w:szCs w:val="16"/>
          <w:color w:val="auto"/>
        </w:rPr>
      </w:pPr>
    </w:p>
    <w:p>
      <w:pPr>
        <w:ind w:left="460" w:right="140" w:hanging="452"/>
        <w:spacing w:after="0" w:line="250"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shares of common stock outstanding, issuable within 60 days of December 31, 2017, upon the exercise of options or warrants: 1,180,465 shares of common stock held by Birchview Fund, LLC, consisting of (W) 678,428 shares of outstanding common stock, (X) zero shares of common stock subject to outstanding options that are vested and exercisable within sixty days of December 31, 2017, and (Y) 502,037 shares of common stock issuable upon the exercise of warrants (assuming an exercise date of December 31, 2017). A Schedule 13G filed on December 26, 2017 reports sole voting and dispositive power over 1,180,465 shares.</w:t>
      </w:r>
    </w:p>
    <w:p>
      <w:pPr>
        <w:spacing w:after="0" w:line="2"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Represents shares of common stock outstanding, issuable within 60 days of December 31, 2017, upon the exercise of options or warrants: (a) 2,644,236 shares of common stock held by the Jack W. Schuler Living Trust, consisting of (W) 1,519,676 shares of outstanding common stock, (X) zero shares of common stock subject to outstanding options that are vested and exercisable within sixty days of December 31, 2017, and (Y) 1,124,560 shares of common stock issuable upon the exercise of warrants (assuming an exercise date of December 31, 2017); (b) 377,747 shares of common stock held by Schuler Grandchildren LLC,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(c) 377,747 shares of common stock held by the Tino Hans Schuler Trust, consisting of</w:t>
      </w:r>
    </w:p>
    <w:p>
      <w:pPr>
        <w:spacing w:after="0" w:line="4" w:lineRule="exact"/>
        <w:rPr>
          <w:rFonts w:ascii="Arial" w:cs="Arial" w:eastAsia="Arial" w:hAnsi="Arial"/>
          <w:sz w:val="16"/>
          <w:szCs w:val="16"/>
          <w:color w:val="auto"/>
        </w:rPr>
      </w:pPr>
    </w:p>
    <w:p>
      <w:pPr>
        <w:ind w:left="460"/>
        <w:spacing w:after="0" w:line="265" w:lineRule="auto"/>
        <w:rPr>
          <w:rFonts w:ascii="Arial" w:cs="Arial" w:eastAsia="Arial" w:hAnsi="Arial"/>
          <w:sz w:val="16"/>
          <w:szCs w:val="16"/>
          <w:color w:val="auto"/>
        </w:rPr>
      </w:pPr>
      <w:r>
        <w:rPr>
          <w:rFonts w:ascii="Arial" w:cs="Arial" w:eastAsia="Arial" w:hAnsi="Arial"/>
          <w:sz w:val="17"/>
          <w:szCs w:val="17"/>
          <w:color w:val="auto"/>
        </w:rPr>
        <w:t>(W)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(d) 377,747 shares of common stock held by the Tanya Eva Schuler Trust,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(e) 377,747 shares of common stock held by the Therese Heidi Schuler Trust,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and (f) 377,747 shares of common stock held by the Schuler Grandchildren 2010 Continuation Trust,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A Schedule 13D filed January 12, 2018 reports shared voting and dispositive power over 4,532,971 shares.</w:t>
      </w:r>
    </w:p>
    <w:p>
      <w:pPr>
        <w:spacing w:after="0" w:line="2" w:lineRule="exact"/>
        <w:rPr>
          <w:rFonts w:ascii="Arial" w:cs="Arial" w:eastAsia="Arial" w:hAnsi="Arial"/>
          <w:sz w:val="16"/>
          <w:szCs w:val="16"/>
          <w:color w:val="auto"/>
        </w:rPr>
      </w:pPr>
    </w:p>
    <w:p>
      <w:pPr>
        <w:ind w:left="460" w:right="160" w:hanging="452"/>
        <w:spacing w:after="0" w:line="252"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Represents shares of common stock outstanding, issuable within 60 days of December 31, 2017, upon the exercise of options or warrants: 1,416,555 shares of common stock held by 683 Capital Partners, LP consisting of (W) 814,112 shares of outstanding common stock, (X) zero shares of common stock subject to outstanding options that are vested and exercisable within sixty days of December 31, 2017 and (Y) 602,443 shares of common stock issuable upon the exercise of warrants (assuming an exercise date of December 31, 2017). Ari Zweiman, being the Managing Member of 683 Capital Partners, LP, may be deemed to beneficially own or otherwise exercise dispositive powers with respect to the shares directly held by 683 Capital Partners, LP.</w:t>
      </w:r>
    </w:p>
    <w:p>
      <w:pPr>
        <w:sectPr>
          <w:pgSz w:w="11900" w:h="16838" w:orient="portrait"/>
          <w:cols w:equalWidth="0" w:num="1">
            <w:col w:w="11420"/>
          </w:cols>
          <w:pgMar w:left="240" w:top="459" w:right="239" w:bottom="798" w:gutter="0" w:footer="0" w:header="0"/>
        </w:sectPr>
      </w:pPr>
    </w:p>
    <w:bookmarkStart w:id="107" w:name="page108"/>
    <w:bookmarkEnd w:id="107"/>
    <w:p>
      <w:pPr>
        <w:ind w:left="452" w:hanging="452"/>
        <w:spacing w:after="0" w:line="255" w:lineRule="auto"/>
        <w:tabs>
          <w:tab w:leader="none" w:pos="452"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December 31, 2017, upon the exercise of options or warrants: (a) 445,428 shares of common stock held by Dr. Mario, consisting of (W) 374,635 shares of outstanding common stock, (X) 17,018 shares of common stock subject to outstanding options that are vested and exercisable within sixty days of December 31, 2017, (Y) 16,708 shares of common stock issuable upon the exercise of warrants (assuming an exercise date of December 31, 2017); and (b) 52,293 shares of common stock held by Mario Family Partner LP, consisting of (W) 38,954 shares of outstanding common stock, (X) zero shares of common stock subject to outstanding options that are vested and exercisable within sixty days of December 31, 2017, (Y) 13,339 shares of common stock issuable upon the exercise of warrants (assuming an exercise date of December 31, 2017.</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12"/>
          </w:cols>
          <w:pgMar w:left="248" w:top="125"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line="256"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December 31, 2017, upon the exercise options or warrants: 370,459 shares of common stock held by Dr. Bhatnagar, consisting of (W) 16,683 shares of outstanding common stock and (X) 353,776 shares of common stock subject to outstanding options that are vested and exercisable within sixty days of December 31, 2017.</w:t>
      </w:r>
    </w:p>
    <w:p>
      <w:pPr>
        <w:ind w:left="460" w:right="240" w:hanging="452"/>
        <w:spacing w:after="0" w:line="265"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December 31, 2017, upon the exercise of options or warrants: 30,980 shares of common stock held by Mr. Wondka, all of which are shares of common stock subject to outstanding options that are vested and exercisable within sixty days of December 31, 2017. Mr. Wondka transitioned to Capnia on or about December 4, 2017.</w:t>
      </w:r>
    </w:p>
    <w:p>
      <w:pPr>
        <w:ind w:left="460" w:right="18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December 31, 2017, upon the exercise of option or warrants: 5,089,437 shares of common stock held by Dr. Engleman, consisting of (W) the shares held by the Vivo V Funds, the BDF IV Funds and BDF II as set forth above in footnote 1, and (X) 8,966 shares of common stock subject to outstanding options that are vested and exercisable within sixty days of December 31, 2017. Dr. Engleman resigned from our Board effective December 31, 2017.</w:t>
      </w:r>
    </w:p>
    <w:p>
      <w:pPr>
        <w:spacing w:after="0" w:line="1" w:lineRule="exact"/>
        <w:rPr>
          <w:rFonts w:ascii="Arial" w:cs="Arial" w:eastAsia="Arial" w:hAnsi="Arial"/>
          <w:sz w:val="18"/>
          <w:szCs w:val="18"/>
          <w:color w:val="auto"/>
        </w:rPr>
      </w:pPr>
    </w:p>
    <w:p>
      <w:pPr>
        <w:ind w:left="460" w:right="12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December 31, 2017, upon the exercise of option or warrants: 43,126 shares of common stock held by Dr. Engelsen, consisting of (W) 33,722 shares of outstanding common stock, (X) 9,130 shares of common stock subject to outstanding options that are vested and exercisable within sixty days of December 31, 2017, and (Y) 274 shares of common stock issuable upon the exercise of warrants (assuming an exercise date of December 31, 2017). Dr. Engelsen resigned from our Board effective December 31, 2017.</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December 31, 2017, upon the exercise of options or warrants: 18,564 shares of common stock held by Dr. Kirnon, consisting of (W) 9,598 shares of outstanding common stock, and (X) 8,966 shares of common stock subject to outstanding options that are vested and exercisable within sixty days of December 31, 2017. Dr. Kirnon resigned from our Board effective December 31, 2017.</w:t>
      </w:r>
    </w:p>
    <w:p>
      <w:pPr>
        <w:spacing w:after="0" w:line="1" w:lineRule="exact"/>
        <w:rPr>
          <w:rFonts w:ascii="Arial" w:cs="Arial" w:eastAsia="Arial" w:hAnsi="Arial"/>
          <w:sz w:val="18"/>
          <w:szCs w:val="18"/>
          <w:color w:val="auto"/>
        </w:rPr>
      </w:pPr>
    </w:p>
    <w:p>
      <w:pPr>
        <w:jc w:val="both"/>
        <w:ind w:left="460" w:right="340" w:hanging="452"/>
        <w:spacing w:after="0" w:line="265" w:lineRule="auto"/>
        <w:tabs>
          <w:tab w:leader="none" w:pos="4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Represents shares of common stock outstanding or issuable within 60 days of December 31, 2017, upon the exercise of options or warrants: 31,580 shares of common stock held by Mr. Harris, consisting of (W) 13,736 shares of outstanding common stock and (X) 17,844 shares of common stock subject to outstanding options that are vested and exercisable within sixty days of December 31, 2017.</w:t>
      </w:r>
    </w:p>
    <w:p>
      <w:pPr>
        <w:jc w:val="both"/>
        <w:ind w:left="460" w:right="2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December 31, 2017, upon the exercise of options or warrants: 73,397 shares of common stock held by Mr. O’Toole, consisting of (W) 9,050 shares of outstanding common stock and (X) 17,844 shares of common stock subject to outstanding options that are vested and exercisable within sixty days of December 31, 2017. Mr. O’Toole resigned effective September 11, 2017.</w:t>
      </w:r>
    </w:p>
    <w:p>
      <w:pPr>
        <w:spacing w:after="0" w:line="1"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December 31, 2017, upon the exercise of options or warrants: 15,491 shares of common stock held by Mr. Dalal, consisting of (W) 8,243 shares of outstanding common stock and (X) 7,248 shares of common stock subject to outstanding options that are vested and exercisable within sixty days of December 31, 2017. Rajen Dalal joined our Board on April 15, 2016 and received his initial Board option grant on this date.</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Represents shares of common stock outstanding or issuable within 60 days of December 31, 2017, upon the exercise of option or warrants: 24,603 shares of common stock held by Dr. Shah, consisting of (W) 23,687 shares of common stock and (X) 916 shares common stock subject to outstanding options that are vested and exercisable within sixty days of December 31, 2017.</w:t>
      </w:r>
    </w:p>
    <w:p>
      <w:pPr>
        <w:spacing w:after="0" w:line="1" w:lineRule="exact"/>
        <w:rPr>
          <w:rFonts w:ascii="Arial" w:cs="Arial" w:eastAsia="Arial" w:hAnsi="Arial"/>
          <w:sz w:val="18"/>
          <w:szCs w:val="18"/>
          <w:color w:val="auto"/>
        </w:rPr>
      </w:pPr>
    </w:p>
    <w:p>
      <w:pPr>
        <w:ind w:left="460" w:right="8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December 31, 2017, upon the exercise of option or warrants: 1,456,464 shares of common stock held by Dr. Collinson, consisting of (W) the shares held by Forward Ventures V, LP as set forth above in footnote 2, (X) 5,203 shares of common stock and (Y) 916 shares of common stock subject to outstanding options that are vested and exercisable within sixty days of December 31, 2017. Dr. Collinson joined our Board on March 7, 2017 and received his initial Board option grant on this date.</w:t>
      </w:r>
    </w:p>
    <w:p>
      <w:pPr>
        <w:spacing w:after="0" w:line="2" w:lineRule="exact"/>
        <w:rPr>
          <w:rFonts w:ascii="Arial" w:cs="Arial" w:eastAsia="Arial" w:hAnsi="Arial"/>
          <w:sz w:val="16"/>
          <w:szCs w:val="16"/>
          <w:color w:val="auto"/>
        </w:rPr>
      </w:pPr>
    </w:p>
    <w:p>
      <w:pPr>
        <w:ind w:left="460" w:right="180" w:hanging="452"/>
        <w:spacing w:after="0" w:line="281" w:lineRule="auto"/>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December 31, 2017, upon the exercise of option or warrants: 7,054,519 shares of common stock held by Dr. Glasheen, consisting of (W) the shares held by Technology Partners as set forth above in footnote 3, (X) 5,389 shares outstanding of common stock and (Y) 916 shares of common stock subject to outstanding options that are vested and exercisable within sixty days of December 31, 2017. Dr. Glasheen joined our Board on March 7, 2017 and received his initial Board option grant on this date.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In total, 1,647,574 of these shares are attributable to options and warrants currently exercisable or exercisable within 60 days of December 31, 2017.</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Our authorized capital stock consists of 110,000,000 shares, all with a par value of $0.001 per share, 100,000,000 of which are designated as common stock and 10,000,000 of which are designated Convertible Preferred Stock.</w:t>
      </w:r>
    </w:p>
    <w:p>
      <w:pPr>
        <w:spacing w:after="0" w:line="170"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The following description of our capital stock and certain provisions of our amended and restated certificate of incorporation and amended and restated bylaws are summaries and are qualified by reference to our amended and restated certificate of incorporation and our amended and restated bylaws. Copies of these documents were filed with the SEC as exhibits to our registration statement in connection with our IPO.</w:t>
      </w:r>
    </w:p>
    <w:p>
      <w:pPr>
        <w:spacing w:after="0" w:line="166"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As of January 23, 2018, we had 4,571 outstanding shares of Series B Convertible Preferred Stock, convertible into 914,200 shares of our common stock, and 9,970,538 outstanding shares of our common stock. As of January 23, 2018 we also had 1,072,004 outstanding options to acquire shares of our common stock, having a weighted-average exercise price of $9.90 per share. As of January 23, 2018, we had outstanding 1,189,366 warrants to purchase common stock and 120,421 warrants to purchase common stock issued prior to our IPO and 6,024,425 outstanding warrants from the 2017 PIPE Offering.</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19,238,972 shares of common stock issued and outstanding as of January 23, 2018.</w:t>
      </w:r>
    </w:p>
    <w:p>
      <w:pPr>
        <w:spacing w:after="0" w:line="225"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Holders of common stock are entitled to one vote per share on matters on which our stockholders vote. There are no cumulative voting rights. Subject to any preferential dividend rights of any outstanding shares of preferred stock,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 All shares of common stock that are outstanding as of the date of this prospectus will be fully-paid and non-assessable.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Warrants Issued as Part of the Units in our IPO</w:t>
      </w:r>
    </w:p>
    <w:p>
      <w:pPr>
        <w:spacing w:after="0" w:line="121"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The Series A Warrants entitle the registered holder to purchase one share of our common stock at an expected exercise price equal to $32.50 per share, subject to adjustment as discussed below, at any time up to 5:00 p.m., New York City time, on the five-year anniversary of the date of issuance.</w:t>
      </w:r>
    </w:p>
    <w:p>
      <w:pPr>
        <w:spacing w:after="0" w:line="12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Series A Warrants have been issued in registered form under a warrant agreement between us and our warrant agent. The material provisions of the warrants are set forth herein but are only a summary and are qualified in their entirety by the provisions of each of the warrant agreements that have been filed as exhibits to the registration statement, of which this prospectus forms a part.</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exercise price and number of shares of common stock issuable upon exercise of the Series A Warrants may be adjusted in certain circumstances, including in the event of a stock split, stock dividend, extraordinary dividend, or recapitalization, reorganization, merger or consolidation. However, the Series A Warrants will not be adjusted for issuances of common stock at a price below their respective exercise prices.</w:t>
      </w:r>
    </w:p>
    <w:p>
      <w:pPr>
        <w:spacing w:after="0" w:line="166"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The Series A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 Under the terms of each of the warrant agreements, we have agreed to use our best efforts to maintain the effectiveness of the registration statement and current prospectus relating to common stock issuable upon exercise of the Series A Warrants until the expiration of the Series A Warrants.</w:t>
      </w:r>
    </w:p>
    <w:p>
      <w:pPr>
        <w:spacing w:after="0" w:line="173" w:lineRule="exact"/>
        <w:rPr>
          <w:sz w:val="20"/>
          <w:szCs w:val="20"/>
          <w:color w:val="auto"/>
        </w:rPr>
      </w:pPr>
    </w:p>
    <w:p>
      <w:pPr>
        <w:ind w:right="100" w:firstLine="456"/>
        <w:spacing w:after="0" w:line="302" w:lineRule="auto"/>
        <w:rPr>
          <w:sz w:val="20"/>
          <w:szCs w:val="20"/>
          <w:color w:val="auto"/>
        </w:rPr>
      </w:pPr>
      <w:r>
        <w:rPr>
          <w:rFonts w:ascii="Arial" w:cs="Arial" w:eastAsia="Arial" w:hAnsi="Arial"/>
          <w:sz w:val="16"/>
          <w:szCs w:val="16"/>
          <w:color w:val="auto"/>
        </w:rPr>
        <w:t>During any period we fail to have maintained an effective registration statement covering the shares underlying the Series A Warrants, the warrant holder may exercise the Series A Warrants on a cashless basis. The warrant holders do not have the rights or privileges of holders of common stock, nor any voting rights, until they exercise their Series A Warrants and receive shares of common stock. After the issuance of shares of common stock upon exercise of the Series A Warrants, each holder will be entitled to one vote for each share held of record on all matters to be voted on by stockholders.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No fractional shares of common stock will be issued upon exercise of the Series A Warrants. If, upon exercise of the Series A Warrants, a holder would be entitled to receive a fractional interest in a share, we will, upon exercise, round up to the nearest whole number of shares of common stock to be issued to the warrant holder. If multiple Series A Warrants are exercised by the holder at the same time, we will aggregate the number of whole shares issuable upon exercise of all the Series A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Series A Warrants are listed on the NASDAQ Capital Market under the symbol “SLNOW”.</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addition, the Series A Warrants will not be exercisable to the extent that, after exercise, a holder and/or its affiliates would beneficially own more than 4.99% of the common stock outstanding immediately after giving effect to such exercise; provided, however, that if a holder and/or its affiliates already own 4.99% on the date of the exercise, then such limitation will not apply.</w:t>
      </w:r>
    </w:p>
    <w:p>
      <w:pPr>
        <w:spacing w:after="0" w:line="18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will use our reasonable best efforts to maintain an effective registration statement and prospectus covering the number of shares of common stock issuable upon exercise of the Series A Warrants at any time that these Series A Warrants are exercisable.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C Warrants</w:t>
      </w:r>
    </w:p>
    <w:p>
      <w:pPr>
        <w:spacing w:after="0" w:line="121"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The Series C Warrants were issued on March 5, 2015 pursuant to a private transaction, or the Private Transaction, pursuant to a Warrant Exercise Agreement, or the Warrant Exercise Agreement, with certain holders of our Series B Warrants, and pursuant to an exchange offer, or the Exchange Offer, entitle the registered holder to purchase one share of our common stock at an expected exercise price equal to $31.25 per share, subject to adjustment as discussed below, at any time commencing upon issuance of the Series C Warrants and terminating at 5:00 p.m., New York City time, on March 4, 2020.</w:t>
      </w:r>
    </w:p>
    <w:p>
      <w:pPr>
        <w:spacing w:after="0" w:line="15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The Series C Warrants have been issued in registered form under a warrant agreement between us and our warrant agent. The material provisions of the Series C Warrants are set forth herein but are only a summary and are qualified in their entirety by the provisions of each of the warrant agreements that have been filed as exhibits to the registration statement, of which this prospectus forms a part.</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Series C Warrants may be adjusted in certain circumstances, including in the event of a stock split, stock dividend, extraordinary dividend, or recapitalization, reorganization, merger or consolidation. However, the Series C Warrants will not be adjusted for issuances of common stock at a price below its exercise price.</w:t>
      </w:r>
    </w:p>
    <w:p>
      <w:pPr>
        <w:spacing w:after="0" w:line="18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Series 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w:t>
      </w:r>
    </w:p>
    <w:p>
      <w:pPr>
        <w:spacing w:after="0" w:line="181"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A registration statement on Form S-1 relating to the resale of the shares of common stock issuable upon exercise of the Series C Warrants issued in the Private Transaction was declared effective on May 19, 2015. In connection with the Private Transaction, we relied on the exemption from registration provided by Section 4(a)(2) of the Securities Act for transactions not involving a public offering, and Rule 506 of Regulation D thereunder as a private offering, without general solicitation, made only to and with accredited investors. We filed a Notice of Exempt Offering on Form D on March 11, 2015 covering the Private Transaction and the Series C Warrants. The resale of the shares of common stock issuable upon exercise of the Series C Warrants issued in the Exchange Offer are covered by a registration statement on Form S-4, which was declared effective on June 25, 2015.</w:t>
      </w:r>
    </w:p>
    <w:p>
      <w:pPr>
        <w:spacing w:after="0" w:line="178"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holders of the Series C Warrants do not have the rights or privileges of holders of common stock, nor any voting rights, until they exercise their Series C Warrants and receive shares of common stock. After the issuance of shares of common stock upon exercise of the Series C Warrants, each such holder will be entitled to one vote for each share held of record on all matters to be voted on by stockholders.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No fractional shares of common stock will be issued upon exercise of the Series C Warrants. If, upon exercise of the Series C Warrants, a holder would be entitled to receive a fractional interest in a share, we will, upon exercise, round up to the nearest whole number of shares of common stock to be issued to such warrant holder. If multiple Series C Warrants are exercised by a Series C Warrant holder at the same time, we will aggregate the number of whole shares issuable upon exercise of all Series C Warrants.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Series C Warrants are not listed on the NASDAQ Capital Market or any other securities exchange.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D Common Stock Purchase Warrants</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Series D Common Stock Purchase Warrants were originally issued in the private placement entered into on October 12, 2015, pursuant to the 2015 Sabby Purchase Agreement. In connection with the purchase of Series B Convertible Preferred Stock pursuant to the Sabby Purchase Agreement, we amended the Series D Common Stock Purchase Warrants and reduced the per share exercise price from $12.30 per share to $8.75 per share. Following amendment, the amended Series D Common Stock Purchase Warrants entitle the holders thereof to purchase one share of our common stock underlying each Series D Common Stock Purchase Warrant, at an exercise price equal to $8.75 per share, subject to adjustment as discussed below, at any time commencing upon April 15, 2016 through October 15, 2021.</w:t>
      </w:r>
    </w:p>
    <w:p>
      <w:pPr>
        <w:spacing w:after="0" w:line="193"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The Series D Common Stock Purchase Warrants have been issued in certificated form under a warrant agreement between us and our warrant agent. The material provisions of the Series D Common Stock Purchase Warrants are set forth herein but are only a summary and are qualified in their entirety by the provisions of each of the form of Series D Common Stock Purchase Warrant that have been filed as exhibits to the registration statement, of which this prospectus forms a part.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exercise price and number of shares of common stock issuable upon exercise of the Series D Common Stock Purchase Warrants may be adjusted in certain circumstances, including in the event of a stock split, stock dividend, extraordinary dividend, or recapitalization, reorganization, merger or consolidation. However, the Series D Common Stock Purchase Warrants will not be adjusted for issuances of common stock at a price below its exercise price.</w:t>
      </w:r>
    </w:p>
    <w:p>
      <w:pPr>
        <w:spacing w:after="0" w:line="187" w:lineRule="exact"/>
        <w:rPr>
          <w:sz w:val="20"/>
          <w:szCs w:val="20"/>
          <w:color w:val="auto"/>
        </w:rPr>
      </w:pPr>
    </w:p>
    <w:p>
      <w:pPr>
        <w:ind w:right="260" w:firstLine="456"/>
        <w:spacing w:after="0" w:line="312" w:lineRule="auto"/>
        <w:rPr>
          <w:sz w:val="20"/>
          <w:szCs w:val="20"/>
          <w:color w:val="auto"/>
        </w:rPr>
      </w:pPr>
      <w:r>
        <w:rPr>
          <w:rFonts w:ascii="Arial" w:cs="Arial" w:eastAsia="Arial" w:hAnsi="Arial"/>
          <w:sz w:val="16"/>
          <w:szCs w:val="16"/>
          <w:color w:val="auto"/>
        </w:rPr>
        <w:t>The Series D Common Stock Purchase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w:t>
      </w:r>
    </w:p>
    <w:p>
      <w:pPr>
        <w:spacing w:after="0" w:line="14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A registration statement on Form S-1 relating to the resale of the shares of common stock issuable upon exercise of the Series D Warrants was declared effective on January 4, 2016. In connection with the Sabby Purchase Agreement, we relied on the exemption from registration provided by Section 4(a)(2) of the Securities Act for transactions not involving a public offering, and Rule 506 of Regulation D thereunder as a private offering, without general solicitation, made only to and with accredited investors. We filed a Notice of Exempt Offering on Form D on October 22, 2015 covering the securities sold pursuant to the Sabby Purchase Agreement.</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the Series D Common Stock Purchase Warrants do not have the rights or privileges of holders of common stock, nor any voting rights, until they exercise their Series D Common Stock Purchase Warrants and receive shares of common stock. After the issuance of shares of common stock upon exercise of the Series D Common Stock Purchase Warrants, each such holder will be entitled to one vote for each share held of record on all matters to be voted on by stockholders.</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No fractional shares of common stock will be issued upon exercise of the Series D Common Stock Purchase Warrants. If, upon exercise of the Series D Common Stock Purchase Warrants, a holder would be entitled to receive a fractional interest in a share, we will, upon exercise, round up to the nearest whole number of shares of common stock to be issued to such warrant holder. If multiple Series D Common Stock Purchase Warrants are exercised by a Series D Common Stock Purchase Warrants holder at the same time, we will aggregate the number of whole shares issuable upon exercise of all Series D Common Stock Purchase Warrants.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Series D Common Stock Purchase Warrants are not, and will not be, listed on the NASDAQ Capital Market or any other securities exchange.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Issued as Part of the Units in our 2017 PIPE Offering</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2017 PIPE Warrants were issued on December 15, 2017 in to the 2017 PIPE Offering, pursuant to a Warrant Agreement, with each of the selling stockholders, entitle the registered holder to purchase one share of our common stock at an expected exercise price equal to $2.00 per share, subject to adjustment as discussed below, at any time commencing upon issuance of the 2017 PIPE Warrants and terminating at the earlier of 5:00 p.m., New York City time, on (i) December 15, 2020 and (ii) 30 days following positive Phase III results for Diazoxide Choline Controlled-Release (DCCR) tablet in Prader-Willi syndrome (PWS).</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2017 PIPE Warrants have been issued in registered form under a warrant agreement between us and our warrant agent. The material provisions of the 2017 PIPE Warrants are set forth herein but are only a summary and are qualified in their entirety by the provisions of each of the warrant agreements that have been filed as exhibits to the registration statement, of which this prospectus forms a part.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exercise price and number of shares of common stock issuable upon exercise of the 2017 PIPE Warrants may be adjusted in certain circumstances, including in the event of a stock split, stock dividend, extraordinary dividend, or recapitalization, reorganization, merger or consolidation. However, the exercise price of the 2017 PIPE Warrants will not be reduced below $1.72.</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2017 PIPE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as applicable, by certified or official bank check payable to us, for the number of warrants being exercised.</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In the event of a change of control of the Company, the holders of unexercised warrants may present their unexercised warrants to the Company, or its successor, to be purchased by the Company, or its successor, in an amount equal to the per share value determined by the Black Scholes methodology.</w:t>
      </w:r>
    </w:p>
    <w:p>
      <w:pPr>
        <w:spacing w:after="0" w:line="124"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In connection with the 2017 PIPE Offering, we relied on the exemption from registration provided by Section 4(a)(2) of the Securities Act for transactions not involving a public offering, and Rule 506 of Regulation D thereunder as a private offering, without general solicitation, made only to and with accredited investors. We filed a Notice of Exempt Offering on Form D on December 22, 2017 covering the 2017 PIPE Offering and the 2017 PIPE Warrants. The shares of common stock issuable upon exercise of the 2017 PIPE Warrants issued in the 2017 PIPE Offering are being registered in this offering.</w:t>
      </w:r>
    </w:p>
    <w:p>
      <w:pPr>
        <w:spacing w:after="0" w:line="188"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holders of the 2017 PIPE Warrants do not have the rights or privileges of holders of common stock, nor any voting rights, until they exercise their 2017 PIPE Warrants and receive shares of common stock. After the issuance of shares of common stock upon exercise of the 2017 PIPE Warrants, each such holder will be entitled to one vote for each share held of record on all matters to be voted on by stockholders.</w:t>
      </w:r>
    </w:p>
    <w:p>
      <w:pPr>
        <w:spacing w:after="0" w:line="18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No fractional shares of common stock will be issued upon exercise of the 2017 PIPE Warrants. If, upon exercise of the 2017 PIPE Warrants, a holder would be entitled to receive a fractional interest in a share, we will, upon exercise, round up or down to the nearest whole number of shares of common stock to be issued to such warrant holder. If multiple 2017 PIPE Warrants are exercised by a 2017 PIPE Warrant holder at the same time, we will aggregate the number of whole shares issuable upon exercise of all 2017 PIPE Warrants.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2017 PIPE Warrants are not listed on the NASDAQ Capital Market or any other securities exchange.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Outstanding Options and Warrants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January 23, 2018, we had outstanding options to purchase 1,072,004 shares of our common stock and additional outstanding warrants to purchase an aggregate of 120,421 shares of our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Preferred Stock</w:t>
      </w:r>
    </w:p>
    <w:p>
      <w:pPr>
        <w:spacing w:after="0" w:line="12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authorized to issue 10,000,000 shares of our Convertible Preferred Stock. Our board of directors has the authority, without further action by our stockholders, to issue these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Convertible Preferred Stock with voting or conversion rights that could adversely affect the voting power or other rights of the holders of our common stock. The purpose of authorizing our board of directors to issue Convertible Preferred Stock and determine its rights and preferences is to eliminate delays associated with a stockholder vote on specific issuances. The issuance of Convertible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Convertible Preferred Stock on the rights of holders of common stock until the board of directors determines the specific rights attached to that Convertible Preferred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Designation and Series B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Redemption under the Series B Convertible Preferred Stock Purchase Agreement</w:t>
      </w:r>
    </w:p>
    <w:p>
      <w:pPr>
        <w:spacing w:after="0" w:line="117"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On July 5, 2016, in connection with the initial sale of Series B Convertible Preferred Stock pursuant to the Sabby Purchase Agreement, we redeemed 355 shares of Series A Convertible Preferred Stock, representing approximately 192,324 shares of common stock on an as-converted basis, for an aggregate price of $1,799,012.</w:t>
      </w:r>
    </w:p>
    <w:p>
      <w:pPr>
        <w:spacing w:after="0" w:line="181"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Following the second closing under the Sabby Purchase Agreement, we redeemed the remaining 1,200 shares of Series A Convertible Preferred Stock held by Sabby, representing approximately 648,756 shares of common stock on an as-converted basis, for an aggregate price of $6,000,988.</w:t>
      </w:r>
    </w:p>
    <w:p>
      <w:pPr>
        <w:sectPr>
          <w:pgSz w:w="11900" w:h="16838" w:orient="portrait"/>
          <w:cols w:equalWidth="0" w:num="1">
            <w:col w:w="11400"/>
          </w:cols>
          <w:pgMar w:left="240" w:top="459" w:right="259" w:bottom="1440" w:gutter="0" w:footer="0" w:header="0"/>
        </w:sectPr>
      </w:pP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400"/>
          </w:cols>
          <w:pgMar w:left="240" w:top="459" w:right="25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Designation and Series B Convertible Preferred Stock.</w:t>
      </w:r>
    </w:p>
    <w:p>
      <w:pPr>
        <w:spacing w:after="0" w:line="11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June 29, 2016, we filed a Certificate of Designation of Preferences, Rights and Limitations of Series B Convertible Preferred Stock, or the Certificate of Designation, with the Secretary of State of the State of Delaware. The number of shares of Series B Convertible Preferred Stock designated is 13,780, and each share of our Series B Convertible Preferred Stock has a stated value equal to $1,000. Under the terms of the Series B Convertible Preferred Stock, we cannot issue any shares of common stock to Sabby, and Sabby cannot convert the Series B Convertible Preferred Stock into common stock, to the extent it would result in ownership in excess of 4.99%.</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Except as otherwise provided herein or as otherwise required by law, the Series B Convertible Preferred Stock shall have no voting rights. However, as long as any shares of Series B Convertible Preferred Stock are outstanding, we shall not, without the affirmative vote of the holders of a majority of the then outstanding shares of the Series B Convertible Preferred Stock, (a) alter or change adversely the powers, preferences or rights given to the Series B Convertible Preferred Stock or alter or amend the Certificate of Designation, (b) amend our certificate of incorporation or other charter documents in any manner that adversely affects any rights of the holders of Series B Convertible Preferred Stock, (c) increase the number of authorized shares of Series B Convertible Preferred Stock, or (d) enter into any agreement with respect to any of the foregoing.</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Upon any liquidation, dissolution or winding-up of our company, whether voluntary or involuntary that is not a Fundamental Transaction (as defined in our Certificate of Designation), the holders of Series B Convertible Preferred Stock shall be entitled to receive out of the assets, whether capital or surplus, of our company the same amount that a holder of common stock would receive if the Series B Convertible Preferred Stock were fully converted (disregarding for such purposes any conversion limitations hereunder) to common stock which amounts shall be paid on a pari passu basis with all holders of common stock.</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 Price.</w:t>
      </w:r>
    </w:p>
    <w:p>
      <w:pPr>
        <w:spacing w:after="0" w:line="117"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conversion price for the Series B Convertible Preferred Stock shall equal $1.00, subject to certain terms as described in the Certificate of Designation.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Stockholder registration rights</w:t>
      </w:r>
    </w:p>
    <w:p>
      <w:pPr>
        <w:spacing w:after="0" w:line="11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are party to an investor rights agreement which provides that holders of shares of our convertible preferred stock have certain registration rights, as set forth below. The investor rights agreement has been amended or restated from time to time in connection with our preferred stock financings, most recently as of March 20, 2008. The registration of shares of our common stock pursuant to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pursuant to the demand, piggyback and Form S-3 registrations described below.</w:t>
      </w:r>
    </w:p>
    <w:p>
      <w:pPr>
        <w:spacing w:after="0" w:line="19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Generally, in an underwritten offering, the managing underwriter, if any, has the right, subject to specified conditions, to limit, or exclude entirely, the number of shares such holders may include. The demand, piggyback and Form S-3 registration rights described below terminate upon the earliest to occur of:</w:t>
      </w:r>
    </w:p>
    <w:p>
      <w:pPr>
        <w:ind w:right="60" w:firstLine="8"/>
        <w:spacing w:after="0" w:line="277" w:lineRule="auto"/>
        <w:tabs>
          <w:tab w:leader="none" w:pos="215"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date that is four years after the closing of our IPO; (ii) with respect to each holder of convertible preferred stock, at such time as all such shares can be sold in a three-month period without registration in compliance with Rule 144; (iii) with respect to each stockholder, the date that the stockholder no longer holds any shares that carry these registration rights; or (iv) following termination of the investor rights agreement.</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Certain holders of our common stock, which was issued upon the conversion of outstanding convertible preferred stock that occurred in connection with our IPO, are entitled to certain demand registration rights. The holders of a majority of these shares may, on not more than two occasions, request that we file a registration statement having an aggregate offering price to the public of not less than $7,500,000 (net of underwriting discounts and commissions) to register all or a portion of their shares.</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Certain holders of our common stock, which was issued upon the conversion of outstanding convertible preferred stock in connection with our IPO, are entitled to, and the necessary percentage of holders waived, their rights to include their shares of registrable securities in our IPO. In the event that we propose to register any of our securities under the Securities Act, either for our own account or for the account of other security holders, the holders of these shares will be entitled to certain “piggyback” registration rights allowing them to include their shares in such registration, subject to certain marketing and other limitations. As a result, whenever we propose to file a registration statement under the Securities Act, including a registration statement on Form S-3 as discussed below, other than with respect to a demand registration or a registration statement on Forms S-4 or S-8, the holders of these shares are entitled to notice of the registration and have the right, subject to limitations that the underwriters may impose on the number of shares included in the registration, to include their shares in the registration. However, in no event shall the amount of securities of the selling stockholders included in the offering be reduced below thirty percent of the total amount of securities included in such offering, unless the offering is the initial public offering of our securities, in which case all shares may be excluded entirely.</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Certain holders of our common stock, which was issued upon the conversion of outstanding convertible preferred stock that occurred in connection with our IPO, are entitled to certain Form S-3 registration rights, provided that we have not already effected one such registration within the twelve-month period preceding the date of such request. Such holders may make a request that we register their shares on Form S-3 if we are qualified to file a registration statement on Form S-3. Such request for registration on Form S-3 must cover securities the aggregate offering price of which, net of underwriting discounts and commissions, is at least $1,000,000.</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PIPE Offering Rights on Form S-1</w:t>
      </w:r>
    </w:p>
    <w:p>
      <w:pPr>
        <w:spacing w:after="0" w:line="117"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Pursuant to the Unit Purchase Agreement, we agreed to provide certain registration rights to the selling stockholders, including filing one or more registration statements as permissible and necessary to register the Shares and the Warrant Shares under the Securities Act, which shares are being registered in this offering.</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Aspire Capital Registration Rights on Form S-1</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Concurrently with entering into a Common Stock Purchase Agreement on January 27, 2017, or the 2017 Aspire Purchase Agreement, with Aspire Capital, LLC, or Aspire Capital, we also entered into a Registration Rights Agreement with Aspire, in which we agreed to file one or more registration statements as permissible and necessary to register under the Securities Act, the sale of the shares of our common stock that have been and may be issued under the 2017 Aspire Purchase Agreement. The corresponding registration statement on Form S-1 became effective on February 14, 2017. The 2017 Aspire Purchase Agreement was terminated upon the closing of the 2017 PIPE Offering.</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Aspire Capital Registration Rights on Form S-1</w:t>
      </w:r>
    </w:p>
    <w:p>
      <w:pPr>
        <w:spacing w:after="0" w:line="117"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Concurrently with entering into a Common Stock Purchase Agreement on July 24, 2015, or the 2015 Aspire Purchase Agreement, with Aspire Capital, we also entered into a Registration Rights Agreement with Aspire, in which we agreed to file one or more registration statements as permissible and necessary to register under the Securities Act, the sale of the shares of our common stock that have been and may be issued under the 2015 Aspire Purchase Agreement. The corresponding registration statement on Form S-1 became effective on August 11, 2015.</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2015 Sabby Registration Rights on Form S-1</w:t>
      </w:r>
    </w:p>
    <w:p>
      <w:pPr>
        <w:spacing w:after="0" w:line="117"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Concurrently with entering into the 2015 Securities Purchase Agreement with Sabby, we also entered into a Registration Rights Agreement with Sabby, in which we agreed to file one or more registration statements as permissible and necessary to register under the Securities Act, the sale of the shares of our common stock that have been and may be issued to under the 2015 Sabby Purchase Agreement, including upon the conversion of Series A Convertible Preferred Stock, or the exercise of Series D Common Stock Purchase Warrants or certain warrants to purchase Common Stock issued to placement agent for the 2015 private placement transaction pursuant to the 2015 Sabby Purchase Agreement, which we refer to as our 2015 Placement Agent Warrants. The corresponding registration statement on Form S-1 became effective on January 4, 2016.</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2016 Sabby Registration Rights on Form S-1</w:t>
      </w:r>
    </w:p>
    <w:p>
      <w:pPr>
        <w:spacing w:after="0" w:line="11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Concurrently with entering into a Securities Purchase Agreement on June 29, 2016, or the Sabby Purchase Agreement, with Sabby, we also entered into a Registration Rights Agreement with Sabby, in which we agreed to file one or more registration statements as permissible and necessary to register under the Securities Act, the sale of the shares of our common stock that have been and may be issued to under the Sabby Purchase Agreement, including upon the conversion of Series B Convertible Preferred Stock or Placement Agent Warrants. The corresponding registration statement on Form S-1 became effective on September 23,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Amended and Restated Certificate of Incorporation and Bylaws</w:t>
      </w:r>
    </w:p>
    <w:p>
      <w:pPr>
        <w:spacing w:after="0" w:line="117"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a majority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our board of directors,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a majority of our whole board of directors, the chair of our board of directors, our chief executive officer or our president. 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39"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Our amended and restated certificate of incorporation further provides that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our board of directors,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board of directors; provided that any bylaw amendment adopted by our stockholders that specifies the votes necessary for the election of directors will not be further amended or repealed by our board of directors.</w:t>
      </w:r>
    </w:p>
    <w:p>
      <w:pPr>
        <w:spacing w:after="0" w:line="15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4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23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are subject to Section 203 of the Delaware General Corporation Law, or Section 203,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87" w:lineRule="exact"/>
        <w:rPr>
          <w:sz w:val="20"/>
          <w:szCs w:val="20"/>
          <w:color w:val="auto"/>
        </w:rPr>
      </w:pPr>
    </w:p>
    <w:p>
      <w:pPr>
        <w:ind w:left="900" w:right="100" w:hanging="325"/>
        <w:spacing w:after="0" w:line="277"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before such date, our board of directors approved either the business combination or the transaction that resulted in the stockholder becoming an interested stockholder;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 w:hanging="325"/>
        <w:spacing w:after="0" w:line="257"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93" w:lineRule="exact"/>
        <w:rPr>
          <w:rFonts w:ascii="Arial" w:cs="Arial" w:eastAsia="Arial" w:hAnsi="Arial"/>
          <w:sz w:val="18"/>
          <w:szCs w:val="18"/>
          <w:color w:val="auto"/>
        </w:rPr>
      </w:pPr>
    </w:p>
    <w:p>
      <w:pPr>
        <w:ind w:left="900" w:right="400" w:hanging="325"/>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Section 203 defines business combination to include the following:</w:t>
      </w:r>
    </w:p>
    <w:p>
      <w:pPr>
        <w:spacing w:after="0" w:line="131" w:lineRule="exact"/>
        <w:rPr>
          <w:sz w:val="20"/>
          <w:szCs w:val="20"/>
          <w:color w:val="auto"/>
        </w:rPr>
      </w:pPr>
    </w:p>
    <w:p>
      <w:pPr>
        <w:ind w:left="900" w:hanging="325"/>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sale, transfer, pledge or other disposition of ten percent (10%) or more of the assets of the corporation involving the interested stockholder;</w:t>
      </w:r>
    </w:p>
    <w:p>
      <w:pPr>
        <w:spacing w:after="0" w:line="153" w:lineRule="exact"/>
        <w:rPr>
          <w:rFonts w:ascii="Arial" w:cs="Arial" w:eastAsia="Arial" w:hAnsi="Arial"/>
          <w:sz w:val="16"/>
          <w:szCs w:val="16"/>
          <w:color w:val="auto"/>
        </w:rPr>
      </w:pPr>
    </w:p>
    <w:p>
      <w:pPr>
        <w:ind w:left="900" w:right="46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subject to certain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900" w:right="62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75" w:lineRule="exact"/>
        <w:rPr>
          <w:rFonts w:ascii="Arial" w:cs="Arial" w:eastAsia="Arial" w:hAnsi="Arial"/>
          <w:sz w:val="18"/>
          <w:szCs w:val="18"/>
          <w:color w:val="auto"/>
        </w:rPr>
      </w:pPr>
    </w:p>
    <w:p>
      <w:pPr>
        <w:ind w:left="900" w:right="340" w:hanging="325"/>
        <w:spacing w:after="0" w:line="277"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loss, advances, guarantees, pledges or other financial benefits by or through the corporation.</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corresponding registration statement on Form S-1 became effective. We list our common stock and the Series A Warrants on the NASDAQ Capital Market under the trading symbols “SLNO” and “SLNOW,” respectively. The Series B Warrants, Series C Warrants, Series D Common Stock Purchase Warrants, 2015 Placement Agent Warrants, the Series A Convertible Preferred Stock, the Series B Convertible Preferred Stock, the Placement Agent Warrants, and the 2017 PIPE Warrants are not listed on any trading market.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Matters</w:t>
      </w:r>
    </w:p>
    <w:p>
      <w:pPr>
        <w:spacing w:after="0" w:line="12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87" w:lineRule="exact"/>
        <w:rPr>
          <w:sz w:val="20"/>
          <w:szCs w:val="20"/>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459" w:right="2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to the indemnification required in our amended and restated certificate of incorporation and amended and restated bylaws, we have entered into indemnification agreements with each of our current directors and officers.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6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Securities Exchange and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jc w:val="both"/>
        <w:ind w:right="320" w:firstLine="456"/>
        <w:spacing w:after="0" w:line="264" w:lineRule="auto"/>
        <w:rPr>
          <w:sz w:val="20"/>
          <w:szCs w:val="20"/>
          <w:color w:val="auto"/>
        </w:rPr>
      </w:pPr>
      <w:r>
        <w:rPr>
          <w:rFonts w:ascii="Arial" w:cs="Arial" w:eastAsia="Arial" w:hAnsi="Arial"/>
          <w:sz w:val="18"/>
          <w:szCs w:val="18"/>
          <w:color w:val="auto"/>
        </w:rPr>
        <w:t>The transfer agent and registrar for our common stock, Series A Warrants, Series B Warrants, Series C Warrants, Series D Common Stock Purchase Warrants, 2015 Placement Agent Warrants, Series B Convertible Preferred Stock, Placement Agent Warrants, and 2017 PIPE Warrants is American Stock Transfer &amp; Trust Company, LLC.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Wilson Sonsini Goodrich &amp; Rosati, Professional Corporation, Palo Alto, CA, will pass upon the validity of the shares of common stock offered hereby. Certain members of, and investment partnerships comprised of members of, and persons associated with, Wilson Sonsini Goodrich &amp; Rosati own an interest representing less than 0.5% of our common stock.</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consolidated financial statements of Soleno Therapeutics, Inc. as of December 31, 2015 and 2016, and for the years then ended, included in this Prospectus have been so included in reliance on the report of Marcum LLP, an independent registered public accounting firm, given on the authority of said firm as experts in auditing and accounting.</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financial statements of Essentialis, Inc. as December 31, 2015 and 2016, and for the years then ended, included in this Prospectus have been so included in reliance on the report of PKF, LLP, an independent registered public accounting firm, given on the authority of said firm as experts in auditing and accounting.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in connection with this offering of our common stock by our selling stockholders. This Prospectus, which constitutes a part of the Registration Statement, does not contain all of the information set forth in the registration statement, some items of which are contained in exhibits to the Registration Statement as permitted by the rules and regulations of the SEC. For further information with respect to us and our common stock, we refer you to the Registration Statement, including the exhibits and the financial statements and notes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exhibits to the Registration Statement should be referenced for the complete contents of these contracts and documents. A copy of the Registration Statement and the exhibits filed therewith may be inspected without charge at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 xml:space="preserve">public reference room of the SEC, located at 100 F Street, N.E., Room 1580, Washington, D.C. 20549. You may obtain information on the operation of the public reference rooms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7"/>
          <w:szCs w:val="17"/>
          <w:i w:val="1"/>
          <w:iCs w:val="1"/>
          <w:color w:val="auto"/>
        </w:rPr>
        <w:t>www.sec.gov.</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the information and reporting requirements of the Exchange Act and, in accordance with this law, we file periodic reports, proxy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statements, and other information with the SEC. These periodic reports, proxy statements, and other information are available for inspection and copying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SEC’s public reference facilities and the website of the SEC referred to above. We also maintain a website at </w:t>
      </w:r>
      <w:r>
        <w:rPr>
          <w:rFonts w:ascii="Arial" w:cs="Arial" w:eastAsia="Arial" w:hAnsi="Arial"/>
          <w:sz w:val="16"/>
          <w:szCs w:val="16"/>
          <w:i w:val="1"/>
          <w:iCs w:val="1"/>
          <w:color w:val="auto"/>
        </w:rPr>
        <w:t>www.soleno.life</w:t>
      </w:r>
      <w:r>
        <w:rPr>
          <w:rFonts w:ascii="Arial" w:cs="Arial" w:eastAsia="Arial" w:hAnsi="Arial"/>
          <w:sz w:val="16"/>
          <w:szCs w:val="16"/>
          <w:color w:val="auto"/>
        </w:rPr>
        <w:t>. You may access our annual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reports on Form 10-K, quarterly reports on Form 10-Q, current reports on Form 8-K, and amendments to those reports filed or furnished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13(a) or 15(d) of the Exchange Act with the SEC free of charge at our website (</w:t>
      </w:r>
      <w:r>
        <w:rPr>
          <w:rFonts w:ascii="Arial" w:cs="Arial" w:eastAsia="Arial" w:hAnsi="Arial"/>
          <w:sz w:val="16"/>
          <w:szCs w:val="16"/>
          <w:i w:val="1"/>
          <w:iCs w:val="1"/>
          <w:color w:val="auto"/>
        </w:rPr>
        <w:t>www.soleno.life</w:t>
      </w:r>
      <w:r>
        <w:rPr>
          <w:rFonts w:ascii="Arial" w:cs="Arial" w:eastAsia="Arial" w:hAnsi="Arial"/>
          <w:sz w:val="16"/>
          <w:szCs w:val="16"/>
          <w:color w:val="auto"/>
        </w:rPr>
        <w:t>) as soon as reasonably practicable after such material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is electronically filed with, or furnished to, the SEC. The information contained in, or that can be accessed through, our website is not incorporated by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reference into this Prospectus.</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40"/>
          </w:cols>
          <w:pgMar w:left="240" w:top="459" w:right="31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INDEMNIFICATION FOR SECURITIES ACT LIABILITIES</w:t>
      </w:r>
    </w:p>
    <w:p>
      <w:pPr>
        <w:spacing w:after="0" w:line="22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Section 145 of the Delaware General Corporation Law, or the Delaware Law,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 and the statute requires court approval before there can be any indemnification where the person seeking indemnification has been found liable to the corporation. Under Section 145 of the Delaware Law, a corporation shall indemnify an agent of the corporation for expenses actually and reasonably incurred if and to the extent such person was successful on the merits in a proceeding or in defense of any claim, issue or matter therein.</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Our amended and restated certificate of incorporation and bylaws provide for indemnification of our directors, officers, employees and other agents to the maximum extent permitted by the Delaware Law. We have also entered into agreements with its directors and officers that will require us, among other things, to indemnify them against certain liabilities that may arise by reason of their status or service as directors or officers to the fullest extent not prohibited by law. Insofar as indemnification for liabilities arising under the Securities Act may be permitted to our directors, officers or persons controlling our company pursuant to such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There is no litigation pending or, to the best of our knowledge, threatened which might or could result in a claim for indemnification by a director or officer.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380"/>
          </w:cols>
          <w:pgMar w:left="240" w:top="459" w:right="2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are registering the shares of common stock issued to the selling stockholders and issuable upon exercise of the warrants issued to the selling stockholders to permit the resale of these shares of common stock by the selling stockholders from time to time from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Each selling stockholder may, from time to time, sell any or all of their shares of common stock covered hereby on The NASDAQ Capital Market or any other stock exchange, market or trading facility on which the shares are traded or in private transactions. These sales may be at fixed prices, at prevailing market prices at the time of the sale, at varying prices determined at the time of sale, or privately negotiated prices. A selling stockholder may use any one or more of the following methods when selling shares:</w:t>
      </w:r>
    </w:p>
    <w:p>
      <w:pPr>
        <w:spacing w:after="0" w:line="92" w:lineRule="exact"/>
        <w:rPr>
          <w:sz w:val="20"/>
          <w:szCs w:val="20"/>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30" w:lineRule="exact"/>
        <w:rPr>
          <w:rFonts w:ascii="Arial" w:cs="Arial" w:eastAsia="Arial" w:hAnsi="Arial"/>
          <w:sz w:val="18"/>
          <w:szCs w:val="18"/>
          <w:color w:val="auto"/>
        </w:rPr>
      </w:pPr>
    </w:p>
    <w:p>
      <w:pPr>
        <w:ind w:left="900" w:right="22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settlement of short sales, to the extent permitted by law;</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stockholders to sell a specified number of such shares at a stipulated price per share;</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selling stockholders may also sell the shares of common stock under Rule 144 under the Securities Act, if available, rather than under this prospectus.</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Broker-dealers engaged by the selling stockholders may arrange for other brokers-dealers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IM-2440-1.</w:t>
      </w:r>
    </w:p>
    <w:p>
      <w:pPr>
        <w:spacing w:after="0" w:line="15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the sale of the shares of common stock or interests therein, the selling stockholders may enter into hedging transactions with broker-dealers or other financial institutions, which may in turn engage in short sales of the shares of common stock in the course of hedging the positions they assume. The selling stockholders may also sell the shares of common stock short and deliver these securities to close out their short positions or to return borrowed shares in connection with such short sales, or loan or pledge the shares of common stock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shares of common stock offered by this prospectus, which shares such broker-dealer or other financial institution may resell pursuant to this prospectus (as supplemented or amended to reflect such transaction).</w:t>
      </w:r>
    </w:p>
    <w:p>
      <w:pPr>
        <w:spacing w:after="0" w:line="167"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The selling stockholders and any broker-dealers or agents that are involved in selling the shares of common stock may be deemed to be “underwriters” within the meaning of the Securities Act in connection with such sales. In such event, any commissions received by such selling stockholders, broker-dealers or agents and any profit on the resale of the shares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380"/>
          </w:cols>
          <w:pgMar w:left="240" w:top="459" w:right="2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purchased by them may be deemed to be underwriting commissions or discounts under the Securities Act. Selling stockholders who are “underwriters” within the meaning of Section 2(11) of the Securities Act will be subject to the prospectus delivery requirements of the Securities Act and may be subject to certain statutory liabilities of, including but not limited to, Sections 11, 12 and 17 of the Securities Act and Rule 10b-5 under the Exchange Act. Each selling stockholder has informed us that it is not a registered broker-dealer or an affiliate of a registered broker-dealer. In no event shall any broker-dealer receive fees, commissions and markups which, in the aggregate, would exceed eight percent (8%).</w:t>
      </w:r>
    </w:p>
    <w:p>
      <w:pPr>
        <w:spacing w:after="0" w:line="188"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shares. We have agreed to indemnify the selling stockholders against certain losses, claims, damages and liabilities, including liabilities under the Securities Act, and the selling stockholders may be entitled to contribution. We may be indemnified by the selling stockholders against certain losses, claims, damages and liabilities, including liabilities under the Securities Act that may arise from any written information furnished to us by the selling stockholders specifically for use in this prospectus, or we may be entitled to contribution.</w:t>
      </w:r>
    </w:p>
    <w:p>
      <w:pPr>
        <w:spacing w:after="0" w:line="188"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The selling stockholders will be subject to the prospectus delivery requirements of the Securities Act including Rule 172 thereunder unless an exemption therefrom is available.</w:t>
      </w:r>
    </w:p>
    <w:p>
      <w:pPr>
        <w:spacing w:after="0" w:line="17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We agreed to cause the registration statement of which this prospectus is a part to remain effective until the earlier to occur of December 15, 2019 or the date on which all of the shares registered hereby are either sold pursuant to the registration statement or sold or available for resale without restriction under Rule 144 under the Securities Act. The shares of common stock will be sold only through registered or licensed brokers or dealers if required under applicable state securities laws. In addition, in certain states, the shares of common stock covered hereby may not be sold unless they have been registered or qualified for sale in the applicable state or an exemption from the registration or qualification requirement is available and is complied with.</w:t>
      </w:r>
    </w:p>
    <w:p>
      <w:pPr>
        <w:spacing w:after="0" w:line="158"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Under applicable rules and regulations under the Exchange Act, any person engaged in the distribution of the shares of common stock may not simultaneously engage in market making activities with respect to the shares of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shares of common stock by the selling stockholders or any other person. We will make copies of this prospectus available to the selling stockholders and have informed them of the need to deliver a copy of this prospectus at or prior to the time of the sale (including by compliance with Rule 172 under the Securities Act).</w:t>
      </w:r>
    </w:p>
    <w:p>
      <w:pPr>
        <w:spacing w:after="0" w:line="165"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we registered on behalf of the selling stockholders pursuant to the registration statement of which this prospectus forms a part.</w:t>
      </w:r>
    </w:p>
    <w:p>
      <w:pPr>
        <w:spacing w:after="0" w:line="17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Once sold under the registration statement of which this prospectus forms a part, the shares of common stock will be freely tradable in the hands of persons other than our affiliates.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selling stockholders may from time to time offer and sell any or all of the shares of our common stock set forth below pursuant to this prospectus. When we refer to the “selling stockholders” in this prospectus, we mean the entities listed in the table below, and its respective pledgees, donees, permitted transferees, assignees, successors and others who later come to hold any of the selling stockholder’s interests in shares of our common stock other than through a public sale.</w:t>
      </w:r>
    </w:p>
    <w:p>
      <w:pPr>
        <w:spacing w:after="0" w:line="187"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The following table sets forth, as of the date of this prospectus, the name of the selling stockholders for whom we are registering shares for sale to the public, the number of shares of common stock beneficially owned by the selling stockholders prior to this offering, the total number of shares of common stock that the selling stockholders may offer pursuant to this prospectus and the number of shares of common stock that the selling stockholders will beneficially own after this offering. Except as noted below, the selling stockholders do not have, or within the past three years has not had, any material relationship with us or any of our predecessors or affiliates and the selling stockholders are not or were not affiliated with registered broker-dealers.</w:t>
      </w:r>
    </w:p>
    <w:p>
      <w:pPr>
        <w:spacing w:after="0" w:line="158"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Based on the information provided to us by the selling stockholders, assuming that the selling stockholders sells all of the shares of our common stock beneficially owned by it that have been registered by us and does not acquire any additional shares during the offering, the selling stockholder will not own any shares other than those appearing in the column entitled “Beneficial Ownership</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After This Offering.” We cannot advise you as to whether the selling stockholders will in fact sell any or all of such shares of common stock. In addition, the selling stockholders may have sold, transferred or otherwise disposed of, or may sell, transfer or otherwise dispose of, at any time and from time to time, the shares of our common stock in transactions exempt from the registration requirements of the Securities Act of 1933 after the date on which it provided the information set forth in the table below.</w:t>
      </w:r>
    </w:p>
    <w:p>
      <w:pPr>
        <w:spacing w:after="0" w:line="206"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Beneficial Ownership</w:t>
      </w:r>
    </w:p>
    <w:p>
      <w:pPr>
        <w:ind w:left="8640"/>
        <w:spacing w:after="0" w:line="236" w:lineRule="auto"/>
        <w:rPr>
          <w:sz w:val="20"/>
          <w:szCs w:val="20"/>
          <w:color w:val="auto"/>
        </w:rPr>
      </w:pPr>
      <w:r>
        <w:rPr>
          <w:rFonts w:ascii="Arial" w:cs="Arial" w:eastAsia="Arial" w:hAnsi="Arial"/>
          <w:sz w:val="14"/>
          <w:szCs w:val="14"/>
          <w:b w:val="1"/>
          <w:bCs w:val="1"/>
          <w:color w:val="auto"/>
        </w:rPr>
        <w:t>After this Offering (1)</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19"/>
        </w:trPr>
        <w:tc>
          <w:tcPr>
            <w:tcW w:w="38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166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4"/>
              </w:rPr>
              <w:t>Shares of</w:t>
            </w: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w w:val="92"/>
              </w:rPr>
              <w:t>Shares</w:t>
            </w:r>
          </w:p>
        </w:tc>
        <w:tc>
          <w:tcPr>
            <w:tcW w:w="7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6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of Common</w:t>
            </w:r>
          </w:p>
        </w:tc>
        <w:tc>
          <w:tcPr>
            <w:tcW w:w="12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60" w:type="dxa"/>
            <w:vAlign w:val="bottom"/>
            <w:vMerge w:val="restart"/>
          </w:tcPr>
          <w:p>
            <w:pPr>
              <w:spacing w:after="0"/>
              <w:rPr>
                <w:sz w:val="12"/>
                <w:szCs w:val="12"/>
                <w:color w:val="auto"/>
              </w:rPr>
            </w:pPr>
          </w:p>
        </w:tc>
        <w:tc>
          <w:tcPr>
            <w:tcW w:w="16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Owned Prior to this</w:t>
            </w: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Stock Being</w:t>
            </w:r>
          </w:p>
        </w:tc>
        <w:tc>
          <w:tcPr>
            <w:tcW w:w="1220" w:type="dxa"/>
            <w:vAlign w:val="bottom"/>
            <w:gridSpan w:val="2"/>
            <w:vMerge w:val="continue"/>
          </w:tcPr>
          <w:p>
            <w:pPr>
              <w:spacing w:after="0"/>
              <w:rPr>
                <w:sz w:val="12"/>
                <w:szCs w:val="12"/>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 (2)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360" w:type="dxa"/>
            <w:vAlign w:val="bottom"/>
            <w:tcBorders>
              <w:bottom w:val="single" w:sz="8" w:color="CCEEFF"/>
            </w:tcBorders>
            <w:vMerge w:val="continue"/>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42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4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Associated with Vivo Ventures Fund V, L.P. (3)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5,080,471</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1,888,735</w:t>
            </w: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7"/>
              </w:rPr>
              <w:t>3,191,736</w:t>
            </w:r>
          </w:p>
        </w:tc>
        <w:tc>
          <w:tcPr>
            <w:tcW w:w="4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16.37%</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Entities Associated with Oracle Partners, LP (4)</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4,532,971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4,532,971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Birchview Fund, LLC (5)</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1,180,465</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1,180,465</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Entities Associated with Jack W. Schuler (6)</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4,532,971</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97"/>
              </w:rPr>
              <w:t>4,532,971</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683 Capital Partners, LP (7)</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1,416,555</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7"/>
              </w:rPr>
              <w:t>1,416,555</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Michael A. Gordon (8)</w:t>
            </w:r>
          </w:p>
        </w:tc>
        <w:tc>
          <w:tcPr>
            <w:tcW w:w="1660" w:type="dxa"/>
            <w:vAlign w:val="bottom"/>
            <w:gridSpan w:val="2"/>
          </w:tcPr>
          <w:p>
            <w:pPr>
              <w:jc w:val="right"/>
              <w:ind w:right="420"/>
              <w:spacing w:after="0"/>
              <w:rPr>
                <w:sz w:val="20"/>
                <w:szCs w:val="20"/>
                <w:color w:val="auto"/>
              </w:rPr>
            </w:pPr>
            <w:r>
              <w:rPr>
                <w:rFonts w:ascii="Arial" w:cs="Arial" w:eastAsia="Arial" w:hAnsi="Arial"/>
                <w:sz w:val="18"/>
                <w:szCs w:val="18"/>
                <w:color w:val="auto"/>
              </w:rPr>
              <w:t>141,657</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141,657</w:t>
            </w:r>
          </w:p>
        </w:tc>
        <w:tc>
          <w:tcPr>
            <w:tcW w:w="12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Mario 2002 Grandchildren’s Trust (9)</w:t>
            </w:r>
          </w:p>
        </w:tc>
        <w:tc>
          <w:tcPr>
            <w:tcW w:w="16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472,187</w:t>
            </w:r>
          </w:p>
        </w:tc>
        <w:tc>
          <w:tcPr>
            <w:tcW w:w="12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472,187</w:t>
            </w:r>
          </w:p>
        </w:tc>
        <w:tc>
          <w:tcPr>
            <w:tcW w:w="12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60" w:hanging="452"/>
        <w:spacing w:after="0" w:line="258" w:lineRule="auto"/>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Assumes the sale of all shares of common stock registered pursuant to this prospectus, although the selling stockholder is under no obligation known to us to sell any shares of common stock at this time.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19,238,972 shares of common stock outstanding on December 31, 2017.</w:t>
      </w:r>
    </w:p>
    <w:p>
      <w:pPr>
        <w:spacing w:after="0" w:line="9" w:lineRule="exact"/>
        <w:rPr>
          <w:rFonts w:ascii="Arial" w:cs="Arial" w:eastAsia="Arial" w:hAnsi="Arial"/>
          <w:sz w:val="18"/>
          <w:szCs w:val="18"/>
          <w:color w:val="auto"/>
        </w:rPr>
      </w:pPr>
    </w:p>
    <w:p>
      <w:pPr>
        <w:ind w:left="460" w:right="20" w:hanging="452"/>
        <w:spacing w:after="0" w:line="281"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shares of common stock outstanding or issuable within 60 days of December 31, 2017, upon the exercise of warrants: (a) 4,933,076 shares of common stock held by Vivo Ventures Fund, V, L.P., consisting of (W) 3,888,136 shares of outstanding common stock, (X) zero shares of common stock subject to outstanding options that are vested and exercisable within sixty days of December 31, 2017, and (Y) 1,044,940 shares of common stock issuable upon the exercise of warrants (assuming an exercise date of December 31, 2017); (b) 57,923 shares of common stock held by Vivo Ventures V Affiliates Fund, LP., consisting of (W) 45,660 shares of outstanding common stock, (X) zero shares of common stock subject to outstanding options that are vested and exercisable within sixty days of December 31, 2017, and (Y) 12,263 shares of common stock issuable upon the exercise of warrants (assuming an exercise date of December 31, 2017); (c) 46,254 shares of common stock held by BDF IV Annex Fund, L.P., consisting of (W) 45,413 shares of outstanding common stock, (X) zero shares of common stock subject to outstanding options that are vested and exercisable within sixty days of December 31, 2017, and (Y) 841 shares of common stock issuable upon the exercise of warrants (assuming an exercise date of December 31, 2017);</w:t>
      </w:r>
    </w:p>
    <w:p>
      <w:pPr>
        <w:spacing w:after="0" w:line="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(d) 33,588 shares of common stock held by Biotechnology Development Fund IV, L.P., consisting of (W) 33,388 shares of outstanding common stock,</w:t>
      </w:r>
    </w:p>
    <w:p>
      <w:pPr>
        <w:spacing w:after="0" w:line="32" w:lineRule="exact"/>
        <w:rPr>
          <w:rFonts w:ascii="Arial" w:cs="Arial" w:eastAsia="Arial" w:hAnsi="Arial"/>
          <w:sz w:val="16"/>
          <w:szCs w:val="16"/>
          <w:color w:val="auto"/>
        </w:rPr>
      </w:pPr>
    </w:p>
    <w:p>
      <w:pPr>
        <w:ind w:left="460" w:right="20"/>
        <w:spacing w:after="0" w:line="281" w:lineRule="auto"/>
        <w:rPr>
          <w:rFonts w:ascii="Arial" w:cs="Arial" w:eastAsia="Arial" w:hAnsi="Arial"/>
          <w:sz w:val="16"/>
          <w:szCs w:val="16"/>
          <w:color w:val="auto"/>
        </w:rPr>
      </w:pPr>
      <w:r>
        <w:rPr>
          <w:rFonts w:ascii="Arial" w:cs="Arial" w:eastAsia="Arial" w:hAnsi="Arial"/>
          <w:sz w:val="16"/>
          <w:szCs w:val="16"/>
          <w:color w:val="auto"/>
        </w:rPr>
        <w:t>(X) zero shares of common stock subject to outstanding options that are vested and exercisable within sixty days of December 31, 2017, and (Y) 200shares of common stock issuable upon the exercise of warrants (assuming an exercise date of December 31, 2017); (e) 618 shares of common stock held by Biotechnology Development Fund IV Affiliates, L.P., consisting of (W) 615 shares of outstanding common stock, (X) zero shares of common stock subject to outstanding options that are vested and exercisable within sixty days of December 31, 2017, and (Y) 3 shares of common stock issuable upon the exercise of warrants (assuming an exercise date of December 31, 2017); and (f) 13,889 shares of common stock held by Vivo Capital LLC, consisting of (W) 9,012 shares of outstanding common stock, (X) zero shares of common stock subject to outstanding options that are vested and exercisable within sixty days of December 31, 2017, and (Y) zero shares of common stock issuable upon the exercise of warrants (assuming an exercise date of December 31, 2017). Vivo Ventures V Fund LLC (Vivo V LLC), is the sole general partner of both of Vivo Ventures Fund V, L.P. and Vivo Ventures V Affiliates Fund, L.P. (Vivo V Funds), and may be deemed to beneficially own the common stock of Soleno Therapeutics owned by the Vivo V Funds. Vivo Capital LLC is the management company of Vivo V LLC. Vivo V LLC disclaims beneficial ownership of the shares of Soleno Therapeutics held by each of the Vivo V Funds, except to the extent of its pecuniary interest therein. BioAsia Investments IV, LLC (BAI IV), is the sole general partner of Biotechnology Development Fund IV, LP, Biotechnology Development Fund IV Affiliates, L.P., BDF IV Annex Fund, L.P. (BDF IV Funds) and may be deemed to beneficially own the common stock of Soleno Therapeutics owned by the BDF IV Funds. BAI IV disclaims beneficial ownership of the shares of Soleno Therapeutics held by each of the BDF IV Funds, except to the extent of its pecuniary interest therein. BioAsia Management, LLC (BAM), is the sole general partner of Biotechnology Development Fund II, L.P. (BDF II), and may be deemed to beneficially own the common stock of Soleno Therapeutics owned by BDF II. BAM disclaims beneficial ownership of the shares of Soleno Therapeutics held by each of the BDF II Funds, except to the extent of its pecuniary interest therein. Edgar G. Engleman M.D. is one of the managing members in Vivo Capital LLC, Vivo V LLC, BAI IV, and BAM, and has the shared voting power with other managing members.</w:t>
      </w:r>
    </w:p>
    <w:p>
      <w:pPr>
        <w:spacing w:after="0" w:line="12" w:lineRule="exact"/>
        <w:rPr>
          <w:rFonts w:ascii="Arial" w:cs="Arial" w:eastAsia="Arial" w:hAnsi="Arial"/>
          <w:sz w:val="16"/>
          <w:szCs w:val="16"/>
          <w:color w:val="auto"/>
        </w:rPr>
      </w:pPr>
    </w:p>
    <w:p>
      <w:pPr>
        <w:ind w:left="460" w:hanging="452"/>
        <w:spacing w:after="0" w:line="285" w:lineRule="auto"/>
        <w:tabs>
          <w:tab w:leader="none" w:pos="4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Represents shares of common stock outstanding, issuable within 60 days of December 31, 2017, upon the exercise of options or warrants: (a) 2,833,108 shares of common stock held by Oracle Partners LP, consisting of (W) 1,628,223 shares of outstanding common stock, (X) zero shares of common stock subject to outstanding options that are vested and exercisable within sixty days of December 31, 2017, and (Y) 1,204,885 shares of common stock issuable upon the exercise of warrants (assuming an exercise date of December 31, 2017); (b) 944,369 shares of common stock held by Oracle Ten Fund, LP, consisting of (W) 542,741 shares of outstanding common stock, (X) zero shares of common stock subject to outstanding options that are vested and exercisable within sixty days of December 31, 2017, and (Y) 401,628 shares of common stock issuable upon the exercise of warrants (assuming an exercise date of December 31, 2017); (c) 377,747 shares of common stock held by Oracle Institutional Partners LP,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and (d) 377,747 shares of common stock held by Feinberg Family Trust, consisting of (W) 217,096 shares of outstanding common stock, (X) zero shares of common stock subject to outstanding options that are vested and exercisable within sixty days of December 31, 2017, and (Y) 160,651 shares of common issuable upon the exercise of warrants (assuming an exercise date of December 31, 2017). A Schedule 13G filed December 26, 2017 reports shared voting and dispositive power over 4,532,971 shares.</w:t>
      </w:r>
    </w:p>
    <w:p>
      <w:pPr>
        <w:sectPr>
          <w:pgSz w:w="11900" w:h="16838" w:orient="portrait"/>
          <w:cols w:equalWidth="0" w:num="1">
            <w:col w:w="11420"/>
          </w:cols>
          <w:pgMar w:left="240" w:top="459" w:right="239" w:bottom="1440"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459" w:right="239" w:bottom="1440" w:gutter="0" w:footer="0" w:header="0"/>
          <w:type w:val="continuous"/>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40" w:hanging="452"/>
        <w:spacing w:after="0" w:line="253"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shares of common stock outstanding, issuable within 60 days of December 31, 2017, upon the exercise of options or warrants: 1,180,465 shares of common stock held by Birchview Fund, LLC, consisting of (W) 678,428 shares of outstanding common stock, (X) zero shares of common stock subject to outstanding options that are vested and exercisable within sixty days of December 31, 2017, and (Y) 502,037 shares of common stock issuable upon the exercise of warrants (assuming an exercise date of December 31, 2017). A Schedule 13G filed on December 26, 2017 reports sole voting and dispositive power over 1,180,465 shares.</w:t>
      </w:r>
    </w:p>
    <w:p>
      <w:pPr>
        <w:spacing w:after="0" w:line="3"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shares of common stock outstanding, issuable within 60 days of December 31, 2017, upon the exercise of options or warrants: (a) 2,644,236 shares of common stock held by the Jack W. Schuler Living Trust, consisting of (W) 1,519,676 shares of outstanding common stock, (X) zero shares of common stock subject to outstanding options that are vested and exercisable within sixty days of December 31, 2017, and (Y) 1,124,560 shares of common stock issuable upon the exercise of warrants (assuming an exercise date of December 31, 2017); (b) 377,747 shares of common stock held by Schuler Grandchildren LLC,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(c) 377,747 shares of common stock held by the Tino Hans Schuler Trust, consisting of</w:t>
      </w:r>
    </w:p>
    <w:p>
      <w:pPr>
        <w:spacing w:after="0" w:line="4" w:lineRule="exact"/>
        <w:rPr>
          <w:rFonts w:ascii="Arial" w:cs="Arial" w:eastAsia="Arial" w:hAnsi="Arial"/>
          <w:sz w:val="16"/>
          <w:szCs w:val="16"/>
          <w:color w:val="auto"/>
        </w:rPr>
      </w:pPr>
    </w:p>
    <w:p>
      <w:pPr>
        <w:ind w:left="460"/>
        <w:spacing w:after="0" w:line="265" w:lineRule="auto"/>
        <w:rPr>
          <w:rFonts w:ascii="Arial" w:cs="Arial" w:eastAsia="Arial" w:hAnsi="Arial"/>
          <w:sz w:val="16"/>
          <w:szCs w:val="16"/>
          <w:color w:val="auto"/>
        </w:rPr>
      </w:pPr>
      <w:r>
        <w:rPr>
          <w:rFonts w:ascii="Arial" w:cs="Arial" w:eastAsia="Arial" w:hAnsi="Arial"/>
          <w:sz w:val="17"/>
          <w:szCs w:val="17"/>
          <w:color w:val="auto"/>
        </w:rPr>
        <w:t>(W)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(d) 377,747 shares of common stock held by the Tanya Eva Schuler Trust,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(e) 377,747 shares of common stock held by the Therese Heidi Schuler Trust,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and (f) 377,747 shares of common stock held by the Schuler Grandchildren 2010 Continuation Trust, consisting of (W) 217,096 shares of outstanding common stock, (X) zero shares of common stock subject to outstanding options that are vested and exercisable within sixty days of December 31, 2017, and (Y) 160,651 shares of common stock issuable upon the exercise of warrants (assuming an exercise date of December 31, 2017). A Schedule 13D filed January 12, 2018 reports shared voting and dispositive power over 4,532,971 shares.</w:t>
      </w:r>
    </w:p>
    <w:p>
      <w:pPr>
        <w:spacing w:after="0" w:line="2"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shares of common stock outstanding, issuable within 60 days of December 31, 2017, upon the exercise of options or warrants: 1,416,555 shares of common stock held by 683 Capital Partners, LP consisting of (W) 814,112 shares of outstanding common stock, (X) zero shares of common stock subject to outstanding options that are vested and exercisable within sixty days of December 31, 2017 and (Y) 602,443 shares of common stock issuable upon the exercise of warrants (assuming an exercise date of December 31, 2017). Ari Zweiman, being the Managing Member of 683 Capital Partners, LP, may be deemed to beneficially own or otherwise exercise voting or dispositive powers with respect to the shares directly held by 683 Capital Partners, LP.</w:t>
      </w:r>
    </w:p>
    <w:p>
      <w:pPr>
        <w:spacing w:after="0" w:line="2"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Represents shares of common stock outstanding, issuable within 60 days of December 31, 2017, upon the exercise of options or warrants: 141,657 shares of common stock held by Michael A. Gordon consisting of (W) 81,412 shares of outstanding common stock, (X) zero shares of common stock subject to outstanding options that are vested and exercisable within sixty days of December 31, 2017 and (Y) 60,245 shares of common stock issuable upon the exercise of warrants (assuming an exercise date of December 31, 2017).</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Represents shares of common stock outstanding, issuable within 60 days of December 31, 2017, upon the exercise of options or warrants: 472,187</w:t>
      </w:r>
    </w:p>
    <w:p>
      <w:pPr>
        <w:spacing w:after="0" w:line="32" w:lineRule="exact"/>
        <w:rPr>
          <w:sz w:val="20"/>
          <w:szCs w:val="20"/>
          <w:color w:val="auto"/>
        </w:rPr>
      </w:pPr>
    </w:p>
    <w:p>
      <w:pPr>
        <w:ind w:left="460" w:right="60"/>
        <w:spacing w:after="0" w:line="281" w:lineRule="auto"/>
        <w:rPr>
          <w:sz w:val="20"/>
          <w:szCs w:val="20"/>
          <w:color w:val="auto"/>
        </w:rPr>
      </w:pPr>
      <w:r>
        <w:rPr>
          <w:rFonts w:ascii="Arial" w:cs="Arial" w:eastAsia="Arial" w:hAnsi="Arial"/>
          <w:sz w:val="16"/>
          <w:szCs w:val="16"/>
          <w:color w:val="auto"/>
        </w:rPr>
        <w:t>shares of common stock held by the Mario 2002 Grandchildren’s Trust consisting of (W) 271,372 shares of outstanding common stock, (X) zero shares of common stock subject to outstanding options that are vested and exercisable within sixty days of December 31, 2017 and (Y) 200,815 shares of</w:t>
      </w:r>
    </w:p>
    <w:p>
      <w:pPr>
        <w:spacing w:after="0" w:line="1"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common stock issuable upon the exercise of warrants (assuming an exercise date of December 31, 2017). [ ] is the [sole] trustee of the Mario 2002 Grandchildren’s Trust and may be deemed to beneficially own or otherwise exercise voting or dispositive powers with respect to the shares held directly by Mario 2002 Grandchildren’s Trust.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459" w:right="2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07"/>
        </w:trPr>
        <w:tc>
          <w:tcPr>
            <w:tcW w:w="10200" w:type="dxa"/>
            <w:vAlign w:val="bottom"/>
            <w:gridSpan w:val="18"/>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1160" w:type="dxa"/>
            <w:vAlign w:val="bottom"/>
          </w:tcPr>
          <w:p>
            <w:pPr>
              <w:spacing w:after="0"/>
              <w:rPr>
                <w:sz w:val="17"/>
                <w:szCs w:val="17"/>
                <w:color w:val="auto"/>
              </w:rPr>
            </w:pPr>
          </w:p>
        </w:tc>
      </w:tr>
      <w:tr>
        <w:trPr>
          <w:trHeight w:val="515"/>
        </w:trPr>
        <w:tc>
          <w:tcPr>
            <w:tcW w:w="9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40" w:type="dxa"/>
            <w:vAlign w:val="bottom"/>
            <w:gridSpan w:val="11"/>
          </w:tcPr>
          <w:p>
            <w:pPr>
              <w:jc w:val="center"/>
              <w:ind w:right="850"/>
              <w:spacing w:after="0"/>
              <w:rPr>
                <w:sz w:val="20"/>
                <w:szCs w:val="20"/>
                <w:color w:val="auto"/>
              </w:rPr>
            </w:pPr>
            <w:r>
              <w:rPr>
                <w:rFonts w:ascii="Arial" w:cs="Arial" w:eastAsia="Arial" w:hAnsi="Arial"/>
                <w:sz w:val="18"/>
                <w:szCs w:val="18"/>
                <w:b w:val="1"/>
                <w:bCs w:val="1"/>
                <w:color w:val="auto"/>
              </w:rPr>
              <w:t>INDEX TO SOLENO THERAPEUTICS, INC. (FORMERLY KNOWN AS CAPNIA, INC.)</w:t>
            </w:r>
          </w:p>
        </w:tc>
        <w:tc>
          <w:tcPr>
            <w:tcW w:w="116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520" w:type="dxa"/>
            <w:vAlign w:val="bottom"/>
            <w:gridSpan w:val="5"/>
          </w:tcPr>
          <w:p>
            <w:pPr>
              <w:jc w:val="center"/>
              <w:ind w:right="2350"/>
              <w:spacing w:after="0"/>
              <w:rPr>
                <w:sz w:val="20"/>
                <w:szCs w:val="20"/>
                <w:color w:val="auto"/>
              </w:rPr>
            </w:pPr>
            <w:r>
              <w:rPr>
                <w:rFonts w:ascii="Arial" w:cs="Arial" w:eastAsia="Arial" w:hAnsi="Arial"/>
                <w:sz w:val="18"/>
                <w:szCs w:val="18"/>
                <w:b w:val="1"/>
                <w:bCs w:val="1"/>
                <w:color w:val="auto"/>
              </w:rPr>
              <w:t>CONSOLIDATED FINANCIAL STATEMENTS</w:t>
            </w:r>
          </w:p>
        </w:tc>
        <w:tc>
          <w:tcPr>
            <w:tcW w:w="1160" w:type="dxa"/>
            <w:vAlign w:val="bottom"/>
          </w:tcPr>
          <w:p>
            <w:pPr>
              <w:spacing w:after="0"/>
              <w:rPr>
                <w:sz w:val="20"/>
                <w:szCs w:val="20"/>
                <w:color w:val="auto"/>
              </w:rPr>
            </w:pPr>
          </w:p>
        </w:tc>
      </w:tr>
      <w:tr>
        <w:trPr>
          <w:trHeight w:val="432"/>
        </w:trPr>
        <w:tc>
          <w:tcPr>
            <w:tcW w:w="10200" w:type="dxa"/>
            <w:vAlign w:val="bottom"/>
            <w:gridSpan w:val="18"/>
          </w:tcPr>
          <w:p>
            <w:pPr>
              <w:spacing w:after="0"/>
              <w:rPr>
                <w:sz w:val="20"/>
                <w:szCs w:val="20"/>
                <w:color w:val="auto"/>
              </w:rPr>
            </w:pPr>
            <w:r>
              <w:rPr>
                <w:rFonts w:ascii="Arial" w:cs="Arial" w:eastAsia="Arial" w:hAnsi="Arial"/>
                <w:sz w:val="18"/>
                <w:szCs w:val="18"/>
                <w:b w:val="1"/>
                <w:bCs w:val="1"/>
                <w:color w:val="auto"/>
              </w:rPr>
              <w:t>SOLENO THERAPEUTICS, INC. (FORMERLY KNOWN AS CAPNIA, INC.) AS OF DECEMBER 31, 2016</w:t>
            </w:r>
          </w:p>
        </w:tc>
        <w:tc>
          <w:tcPr>
            <w:tcW w:w="1160" w:type="dxa"/>
            <w:vAlign w:val="bottom"/>
          </w:tcPr>
          <w:p>
            <w:pPr>
              <w:spacing w:after="0"/>
              <w:rPr>
                <w:sz w:val="24"/>
                <w:szCs w:val="24"/>
                <w:color w:val="auto"/>
              </w:rPr>
            </w:pPr>
          </w:p>
        </w:tc>
      </w:tr>
      <w:tr>
        <w:trPr>
          <w:trHeight w:val="419"/>
        </w:trPr>
        <w:tc>
          <w:tcPr>
            <w:tcW w:w="10200" w:type="dxa"/>
            <w:vAlign w:val="bottom"/>
            <w:gridSpan w:val="18"/>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Report of Independent Registered Public Accounting Firm</w:t>
              </w:r>
            </w:hyperlink>
          </w:p>
        </w:tc>
        <w:tc>
          <w:tcPr>
            <w:tcW w:w="1160" w:type="dxa"/>
            <w:vAlign w:val="bottom"/>
          </w:tcPr>
          <w:p>
            <w:pPr>
              <w:ind w:left="980"/>
              <w:spacing w:after="0"/>
              <w:rPr>
                <w:sz w:val="20"/>
                <w:szCs w:val="20"/>
                <w:color w:val="auto"/>
              </w:rPr>
            </w:pPr>
            <w:r>
              <w:rPr>
                <w:rFonts w:ascii="Arial" w:cs="Arial" w:eastAsia="Arial" w:hAnsi="Arial"/>
                <w:sz w:val="18"/>
                <w:szCs w:val="18"/>
                <w:color w:val="auto"/>
                <w:w w:val="93"/>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rPr>
              <w:t>2</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27">
              <w:r>
                <w:rPr>
                  <w:rFonts w:ascii="Arial" w:cs="Arial" w:eastAsia="Arial" w:hAnsi="Arial"/>
                  <w:sz w:val="18"/>
                  <w:szCs w:val="18"/>
                  <w:color w:val="0000EE"/>
                </w:rPr>
                <w:t>Consolidated Balance Sheets</w:t>
              </w:r>
            </w:hyperlink>
          </w:p>
        </w:tc>
        <w:tc>
          <w:tcPr>
            <w:tcW w:w="1160" w:type="dxa"/>
            <w:vAlign w:val="bottom"/>
          </w:tcPr>
          <w:p>
            <w:pPr>
              <w:ind w:left="980"/>
              <w:spacing w:after="0" w:line="190" w:lineRule="exact"/>
              <w:rPr>
                <w:sz w:val="20"/>
                <w:szCs w:val="20"/>
                <w:color w:val="auto"/>
              </w:rPr>
            </w:pPr>
            <w:r>
              <w:rPr>
                <w:rFonts w:ascii="Arial" w:cs="Arial" w:eastAsia="Arial" w:hAnsi="Arial"/>
                <w:sz w:val="18"/>
                <w:szCs w:val="18"/>
                <w:color w:val="auto"/>
                <w:w w:val="93"/>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rPr>
              <w:t>3</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28">
              <w:r>
                <w:rPr>
                  <w:rFonts w:ascii="Arial" w:cs="Arial" w:eastAsia="Arial" w:hAnsi="Arial"/>
                  <w:sz w:val="18"/>
                  <w:szCs w:val="18"/>
                  <w:color w:val="0000EE"/>
                </w:rPr>
                <w:t>Consolidated Statements of Operations</w:t>
              </w:r>
            </w:hyperlink>
          </w:p>
        </w:tc>
        <w:tc>
          <w:tcPr>
            <w:tcW w:w="1160" w:type="dxa"/>
            <w:vAlign w:val="bottom"/>
          </w:tcPr>
          <w:p>
            <w:pPr>
              <w:ind w:left="980"/>
              <w:spacing w:after="0" w:line="190" w:lineRule="exact"/>
              <w:rPr>
                <w:sz w:val="20"/>
                <w:szCs w:val="20"/>
                <w:color w:val="auto"/>
              </w:rPr>
            </w:pPr>
            <w:r>
              <w:rPr>
                <w:rFonts w:ascii="Arial" w:cs="Arial" w:eastAsia="Arial" w:hAnsi="Arial"/>
                <w:sz w:val="18"/>
                <w:szCs w:val="18"/>
                <w:color w:val="auto"/>
                <w:w w:val="93"/>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rPr>
              <w:t>4</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29">
              <w:r>
                <w:rPr>
                  <w:rFonts w:ascii="Arial" w:cs="Arial" w:eastAsia="Arial" w:hAnsi="Arial"/>
                  <w:sz w:val="18"/>
                  <w:szCs w:val="18"/>
                  <w:color w:val="0000EE"/>
                </w:rPr>
                <w:t>Consolidated Statements of Stockholders’ (Deficit) Equity</w:t>
              </w:r>
            </w:hyperlink>
          </w:p>
        </w:tc>
        <w:tc>
          <w:tcPr>
            <w:tcW w:w="1160" w:type="dxa"/>
            <w:vAlign w:val="bottom"/>
          </w:tcPr>
          <w:p>
            <w:pPr>
              <w:ind w:left="980"/>
              <w:spacing w:after="0" w:line="190" w:lineRule="exact"/>
              <w:rPr>
                <w:sz w:val="20"/>
                <w:szCs w:val="20"/>
                <w:color w:val="auto"/>
              </w:rPr>
            </w:pPr>
            <w:r>
              <w:rPr>
                <w:rFonts w:ascii="Arial" w:cs="Arial" w:eastAsia="Arial" w:hAnsi="Arial"/>
                <w:sz w:val="18"/>
                <w:szCs w:val="18"/>
                <w:color w:val="auto"/>
                <w:w w:val="93"/>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rPr>
              <w:t>5</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30">
              <w:r>
                <w:rPr>
                  <w:rFonts w:ascii="Arial" w:cs="Arial" w:eastAsia="Arial" w:hAnsi="Arial"/>
                  <w:sz w:val="18"/>
                  <w:szCs w:val="18"/>
                  <w:color w:val="0000EE"/>
                </w:rPr>
                <w:t>Consolidated Statements of Cash Flows</w:t>
              </w:r>
            </w:hyperlink>
          </w:p>
        </w:tc>
        <w:tc>
          <w:tcPr>
            <w:tcW w:w="1160" w:type="dxa"/>
            <w:vAlign w:val="bottom"/>
          </w:tcPr>
          <w:p>
            <w:pPr>
              <w:ind w:left="980"/>
              <w:spacing w:after="0" w:line="190" w:lineRule="exact"/>
              <w:rPr>
                <w:sz w:val="20"/>
                <w:szCs w:val="20"/>
                <w:color w:val="auto"/>
              </w:rPr>
            </w:pPr>
            <w:r>
              <w:rPr>
                <w:rFonts w:ascii="Arial" w:cs="Arial" w:eastAsia="Arial" w:hAnsi="Arial"/>
                <w:sz w:val="18"/>
                <w:szCs w:val="18"/>
                <w:color w:val="auto"/>
                <w:w w:val="93"/>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rPr>
              <w:t>6</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31">
              <w:r>
                <w:rPr>
                  <w:rFonts w:ascii="Arial" w:cs="Arial" w:eastAsia="Arial" w:hAnsi="Arial"/>
                  <w:sz w:val="18"/>
                  <w:szCs w:val="18"/>
                  <w:color w:val="0000EE"/>
                </w:rPr>
                <w:t>Notes to Consolidated Financial Statements</w:t>
              </w:r>
            </w:hyperlink>
          </w:p>
        </w:tc>
        <w:tc>
          <w:tcPr>
            <w:tcW w:w="1160" w:type="dxa"/>
            <w:vAlign w:val="bottom"/>
          </w:tcPr>
          <w:p>
            <w:pPr>
              <w:ind w:left="980"/>
              <w:spacing w:after="0" w:line="190" w:lineRule="exact"/>
              <w:rPr>
                <w:sz w:val="20"/>
                <w:szCs w:val="20"/>
                <w:color w:val="auto"/>
              </w:rPr>
            </w:pPr>
            <w:r>
              <w:rPr>
                <w:rFonts w:ascii="Arial" w:cs="Arial" w:eastAsia="Arial" w:hAnsi="Arial"/>
                <w:sz w:val="18"/>
                <w:szCs w:val="18"/>
                <w:color w:val="auto"/>
                <w:w w:val="93"/>
              </w:rPr>
              <w:t>F-</w:t>
            </w:r>
          </w:p>
        </w:tc>
      </w:tr>
      <w:tr>
        <w:trPr>
          <w:trHeight w:val="237"/>
        </w:trPr>
        <w:tc>
          <w:tcPr>
            <w:tcW w:w="9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rPr>
              <w:t>7</w:t>
            </w:r>
          </w:p>
        </w:tc>
      </w:tr>
      <w:tr>
        <w:trPr>
          <w:trHeight w:val="432"/>
        </w:trPr>
        <w:tc>
          <w:tcPr>
            <w:tcW w:w="10200" w:type="dxa"/>
            <w:vAlign w:val="bottom"/>
            <w:gridSpan w:val="18"/>
          </w:tcPr>
          <w:p>
            <w:pPr>
              <w:spacing w:after="0"/>
              <w:rPr>
                <w:sz w:val="20"/>
                <w:szCs w:val="20"/>
                <w:color w:val="auto"/>
              </w:rPr>
            </w:pPr>
            <w:r>
              <w:rPr>
                <w:rFonts w:ascii="Arial" w:cs="Arial" w:eastAsia="Arial" w:hAnsi="Arial"/>
                <w:sz w:val="18"/>
                <w:szCs w:val="18"/>
                <w:b w:val="1"/>
                <w:bCs w:val="1"/>
                <w:color w:val="auto"/>
              </w:rPr>
              <w:t>SOLENO THERAPEUTICS, INC. (FORMERLY KNOWN AS CAPNIA, INC.) AS OF SEPTEMBER 30, 2017</w:t>
            </w:r>
          </w:p>
        </w:tc>
        <w:tc>
          <w:tcPr>
            <w:tcW w:w="1160" w:type="dxa"/>
            <w:vAlign w:val="bottom"/>
          </w:tcPr>
          <w:p>
            <w:pPr>
              <w:spacing w:after="0"/>
              <w:rPr>
                <w:sz w:val="24"/>
                <w:szCs w:val="24"/>
                <w:color w:val="auto"/>
              </w:rPr>
            </w:pPr>
          </w:p>
        </w:tc>
      </w:tr>
      <w:tr>
        <w:trPr>
          <w:trHeight w:val="419"/>
        </w:trPr>
        <w:tc>
          <w:tcPr>
            <w:tcW w:w="10200" w:type="dxa"/>
            <w:vAlign w:val="bottom"/>
            <w:gridSpan w:val="18"/>
          </w:tcPr>
          <w:p>
            <w:pPr>
              <w:spacing w:after="0"/>
              <w:rPr>
                <w:rFonts w:ascii="Arial" w:cs="Arial" w:eastAsia="Arial" w:hAnsi="Arial"/>
                <w:sz w:val="18"/>
                <w:szCs w:val="18"/>
                <w:color w:val="0000EE"/>
              </w:rPr>
            </w:pPr>
            <w:hyperlink w:anchor="page155">
              <w:r>
                <w:rPr>
                  <w:rFonts w:ascii="Arial" w:cs="Arial" w:eastAsia="Arial" w:hAnsi="Arial"/>
                  <w:sz w:val="18"/>
                  <w:szCs w:val="18"/>
                  <w:color w:val="0000EE"/>
                </w:rPr>
                <w:t>Condensed Consolidated Balance Sheets</w:t>
              </w:r>
            </w:hyperlink>
          </w:p>
        </w:tc>
        <w:tc>
          <w:tcPr>
            <w:tcW w:w="1160" w:type="dxa"/>
            <w:vAlign w:val="bottom"/>
          </w:tcPr>
          <w:p>
            <w:pPr>
              <w:ind w:left="1000"/>
              <w:spacing w:after="0"/>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31</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56">
              <w:r>
                <w:rPr>
                  <w:rFonts w:ascii="Arial" w:cs="Arial" w:eastAsia="Arial" w:hAnsi="Arial"/>
                  <w:sz w:val="18"/>
                  <w:szCs w:val="18"/>
                  <w:color w:val="0000EE"/>
                </w:rPr>
                <w:t>Condensed Consolidated Statements of Operations (unaudited)</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32</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57">
              <w:r>
                <w:rPr>
                  <w:rFonts w:ascii="Arial" w:cs="Arial" w:eastAsia="Arial" w:hAnsi="Arial"/>
                  <w:sz w:val="18"/>
                  <w:szCs w:val="18"/>
                  <w:color w:val="0000EE"/>
                </w:rPr>
                <w:t>Condensed Consolidated Statements of Cash Flows (unaudited)</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33</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58">
              <w:r>
                <w:rPr>
                  <w:rFonts w:ascii="Arial" w:cs="Arial" w:eastAsia="Arial" w:hAnsi="Arial"/>
                  <w:sz w:val="18"/>
                  <w:szCs w:val="18"/>
                  <w:color w:val="0000EE"/>
                </w:rPr>
                <w:t>Notes to Condensed Consolidated Financial Statements (unaudited)</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37"/>
        </w:trPr>
        <w:tc>
          <w:tcPr>
            <w:tcW w:w="9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54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32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34</w:t>
            </w:r>
          </w:p>
        </w:tc>
      </w:tr>
      <w:tr>
        <w:trPr>
          <w:trHeight w:val="432"/>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6"/>
          </w:tcPr>
          <w:p>
            <w:pPr>
              <w:jc w:val="center"/>
              <w:ind w:right="1850"/>
              <w:spacing w:after="0"/>
              <w:rPr>
                <w:sz w:val="20"/>
                <w:szCs w:val="20"/>
                <w:color w:val="auto"/>
              </w:rPr>
            </w:pPr>
            <w:r>
              <w:rPr>
                <w:rFonts w:ascii="Arial" w:cs="Arial" w:eastAsia="Arial" w:hAnsi="Arial"/>
                <w:sz w:val="18"/>
                <w:szCs w:val="18"/>
                <w:b w:val="1"/>
                <w:bCs w:val="1"/>
                <w:color w:val="auto"/>
              </w:rPr>
              <w:t>INDEX TO ESSENTIALIS FINANCIAL STATEMENTS</w:t>
            </w:r>
          </w:p>
        </w:tc>
        <w:tc>
          <w:tcPr>
            <w:tcW w:w="1160" w:type="dxa"/>
            <w:vAlign w:val="bottom"/>
          </w:tcPr>
          <w:p>
            <w:pPr>
              <w:spacing w:after="0"/>
              <w:rPr>
                <w:sz w:val="24"/>
                <w:szCs w:val="24"/>
                <w:color w:val="auto"/>
              </w:rPr>
            </w:pPr>
          </w:p>
        </w:tc>
      </w:tr>
      <w:tr>
        <w:trPr>
          <w:trHeight w:val="432"/>
        </w:trPr>
        <w:tc>
          <w:tcPr>
            <w:tcW w:w="10200" w:type="dxa"/>
            <w:vAlign w:val="bottom"/>
            <w:gridSpan w:val="18"/>
          </w:tcPr>
          <w:p>
            <w:pPr>
              <w:spacing w:after="0"/>
              <w:rPr>
                <w:sz w:val="20"/>
                <w:szCs w:val="20"/>
                <w:color w:val="auto"/>
              </w:rPr>
            </w:pPr>
            <w:r>
              <w:rPr>
                <w:rFonts w:ascii="Arial" w:cs="Arial" w:eastAsia="Arial" w:hAnsi="Arial"/>
                <w:sz w:val="18"/>
                <w:szCs w:val="18"/>
                <w:b w:val="1"/>
                <w:bCs w:val="1"/>
                <w:color w:val="auto"/>
              </w:rPr>
              <w:t>ESENTIALIS, INC.</w:t>
            </w:r>
          </w:p>
        </w:tc>
        <w:tc>
          <w:tcPr>
            <w:tcW w:w="1160" w:type="dxa"/>
            <w:vAlign w:val="bottom"/>
          </w:tcPr>
          <w:p>
            <w:pPr>
              <w:spacing w:after="0"/>
              <w:rPr>
                <w:sz w:val="24"/>
                <w:szCs w:val="24"/>
                <w:color w:val="auto"/>
              </w:rPr>
            </w:pPr>
          </w:p>
        </w:tc>
      </w:tr>
      <w:tr>
        <w:trPr>
          <w:trHeight w:val="419"/>
        </w:trPr>
        <w:tc>
          <w:tcPr>
            <w:tcW w:w="10200" w:type="dxa"/>
            <w:vAlign w:val="bottom"/>
            <w:gridSpan w:val="18"/>
          </w:tcPr>
          <w:p>
            <w:pPr>
              <w:spacing w:after="0"/>
              <w:rPr>
                <w:rFonts w:ascii="Arial" w:cs="Arial" w:eastAsia="Arial" w:hAnsi="Arial"/>
                <w:sz w:val="18"/>
                <w:szCs w:val="18"/>
                <w:color w:val="0000EE"/>
              </w:rPr>
            </w:pPr>
            <w:hyperlink w:anchor="page174">
              <w:r>
                <w:rPr>
                  <w:rFonts w:ascii="Arial" w:cs="Arial" w:eastAsia="Arial" w:hAnsi="Arial"/>
                  <w:sz w:val="18"/>
                  <w:szCs w:val="18"/>
                  <w:color w:val="0000EE"/>
                </w:rPr>
                <w:t>Report of Independent Registered Public Accounting Firm</w:t>
              </w:r>
            </w:hyperlink>
          </w:p>
        </w:tc>
        <w:tc>
          <w:tcPr>
            <w:tcW w:w="1160" w:type="dxa"/>
            <w:vAlign w:val="bottom"/>
          </w:tcPr>
          <w:p>
            <w:pPr>
              <w:ind w:left="1000"/>
              <w:spacing w:after="0"/>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40" w:type="dxa"/>
            <w:vAlign w:val="bottom"/>
            <w:tcBorders>
              <w:top w:val="single" w:sz="8" w:color="0000EE"/>
            </w:tcBorders>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50</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76">
              <w:r>
                <w:rPr>
                  <w:rFonts w:ascii="Arial" w:cs="Arial" w:eastAsia="Arial" w:hAnsi="Arial"/>
                  <w:sz w:val="18"/>
                  <w:szCs w:val="18"/>
                  <w:color w:val="0000EE"/>
                </w:rPr>
                <w:t>Balance Sheets</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52</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77">
              <w:r>
                <w:rPr>
                  <w:rFonts w:ascii="Arial" w:cs="Arial" w:eastAsia="Arial" w:hAnsi="Arial"/>
                  <w:sz w:val="18"/>
                  <w:szCs w:val="18"/>
                  <w:color w:val="0000EE"/>
                </w:rPr>
                <w:t>Statements of Operations</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53</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78">
              <w:r>
                <w:rPr>
                  <w:rFonts w:ascii="Arial" w:cs="Arial" w:eastAsia="Arial" w:hAnsi="Arial"/>
                  <w:sz w:val="18"/>
                  <w:szCs w:val="18"/>
                  <w:color w:val="0000EE"/>
                </w:rPr>
                <w:t>Statements of Stockholders’ Deficit</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54</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79">
              <w:r>
                <w:rPr>
                  <w:rFonts w:ascii="Arial" w:cs="Arial" w:eastAsia="Arial" w:hAnsi="Arial"/>
                  <w:sz w:val="18"/>
                  <w:szCs w:val="18"/>
                  <w:color w:val="0000EE"/>
                </w:rPr>
                <w:t>Statements of Cash Flows</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55</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80">
              <w:r>
                <w:rPr>
                  <w:rFonts w:ascii="Arial" w:cs="Arial" w:eastAsia="Arial" w:hAnsi="Arial"/>
                  <w:sz w:val="18"/>
                  <w:szCs w:val="18"/>
                  <w:color w:val="0000EE"/>
                </w:rPr>
                <w:t>Notes to Financial Statements</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37"/>
        </w:trPr>
        <w:tc>
          <w:tcPr>
            <w:tcW w:w="9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56</w:t>
            </w:r>
          </w:p>
        </w:tc>
      </w:tr>
      <w:tr>
        <w:trPr>
          <w:trHeight w:val="432"/>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40" w:type="dxa"/>
            <w:vAlign w:val="bottom"/>
            <w:gridSpan w:val="6"/>
          </w:tcPr>
          <w:p>
            <w:pPr>
              <w:jc w:val="center"/>
              <w:ind w:right="1850"/>
              <w:spacing w:after="0"/>
              <w:rPr>
                <w:sz w:val="20"/>
                <w:szCs w:val="20"/>
                <w:color w:val="auto"/>
              </w:rPr>
            </w:pPr>
            <w:r>
              <w:rPr>
                <w:rFonts w:ascii="Arial" w:cs="Arial" w:eastAsia="Arial" w:hAnsi="Arial"/>
                <w:sz w:val="18"/>
                <w:szCs w:val="18"/>
                <w:b w:val="1"/>
                <w:bCs w:val="1"/>
                <w:color w:val="auto"/>
              </w:rPr>
              <w:t>INDEX TO PROFORMA FINANCIAL STATEMENTS</w:t>
            </w:r>
          </w:p>
        </w:tc>
        <w:tc>
          <w:tcPr>
            <w:tcW w:w="1160" w:type="dxa"/>
            <w:vAlign w:val="bottom"/>
          </w:tcPr>
          <w:p>
            <w:pPr>
              <w:spacing w:after="0"/>
              <w:rPr>
                <w:sz w:val="24"/>
                <w:szCs w:val="24"/>
                <w:color w:val="auto"/>
              </w:rPr>
            </w:pPr>
          </w:p>
        </w:tc>
      </w:tr>
      <w:tr>
        <w:trPr>
          <w:trHeight w:val="432"/>
        </w:trPr>
        <w:tc>
          <w:tcPr>
            <w:tcW w:w="10200" w:type="dxa"/>
            <w:vAlign w:val="bottom"/>
            <w:gridSpan w:val="18"/>
          </w:tcPr>
          <w:p>
            <w:pPr>
              <w:spacing w:after="0"/>
              <w:rPr>
                <w:sz w:val="20"/>
                <w:szCs w:val="20"/>
                <w:color w:val="auto"/>
              </w:rPr>
            </w:pPr>
            <w:r>
              <w:rPr>
                <w:rFonts w:ascii="Arial" w:cs="Arial" w:eastAsia="Arial" w:hAnsi="Arial"/>
                <w:sz w:val="18"/>
                <w:szCs w:val="18"/>
                <w:b w:val="1"/>
                <w:bCs w:val="1"/>
                <w:color w:val="auto"/>
              </w:rPr>
              <w:t>SOLENO THERAPEUTICS, INC AND ESSENTIALS PROFORMA</w:t>
            </w:r>
          </w:p>
        </w:tc>
        <w:tc>
          <w:tcPr>
            <w:tcW w:w="1160" w:type="dxa"/>
            <w:vAlign w:val="bottom"/>
          </w:tcPr>
          <w:p>
            <w:pPr>
              <w:spacing w:after="0"/>
              <w:rPr>
                <w:sz w:val="24"/>
                <w:szCs w:val="24"/>
                <w:color w:val="auto"/>
              </w:rPr>
            </w:pPr>
          </w:p>
        </w:tc>
      </w:tr>
      <w:tr>
        <w:trPr>
          <w:trHeight w:val="419"/>
        </w:trPr>
        <w:tc>
          <w:tcPr>
            <w:tcW w:w="10200" w:type="dxa"/>
            <w:vAlign w:val="bottom"/>
            <w:gridSpan w:val="18"/>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Introduction</w:t>
              </w:r>
            </w:hyperlink>
          </w:p>
        </w:tc>
        <w:tc>
          <w:tcPr>
            <w:tcW w:w="1160" w:type="dxa"/>
            <w:vAlign w:val="bottom"/>
          </w:tcPr>
          <w:p>
            <w:pPr>
              <w:ind w:left="1000"/>
              <w:spacing w:after="0"/>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64</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89">
              <w:r>
                <w:rPr>
                  <w:rFonts w:ascii="Arial" w:cs="Arial" w:eastAsia="Arial" w:hAnsi="Arial"/>
                  <w:sz w:val="18"/>
                  <w:szCs w:val="18"/>
                  <w:color w:val="0000EE"/>
                </w:rPr>
                <w:t>December 2016 Proforma Statement of Operations</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520" w:type="dxa"/>
            <w:vAlign w:val="bottom"/>
            <w:tcBorders>
              <w:top w:val="single" w:sz="8" w:color="0000EE"/>
            </w:tcBorders>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65</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90">
              <w:r>
                <w:rPr>
                  <w:rFonts w:ascii="Arial" w:cs="Arial" w:eastAsia="Arial" w:hAnsi="Arial"/>
                  <w:sz w:val="18"/>
                  <w:szCs w:val="18"/>
                  <w:color w:val="0000EE"/>
                </w:rPr>
                <w:t>December 2016 Proforma Balance Sheet</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22"/>
        </w:trPr>
        <w:tc>
          <w:tcPr>
            <w:tcW w:w="90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tcPr>
          <w:p>
            <w:pPr>
              <w:spacing w:after="0"/>
              <w:rPr>
                <w:sz w:val="19"/>
                <w:szCs w:val="19"/>
                <w:color w:val="auto"/>
              </w:rPr>
            </w:pPr>
          </w:p>
        </w:tc>
        <w:tc>
          <w:tcPr>
            <w:tcW w:w="260" w:type="dxa"/>
            <w:vAlign w:val="bottom"/>
            <w:tcBorders>
              <w:top w:val="single" w:sz="8" w:color="0000EE"/>
            </w:tcBorders>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20" w:type="dxa"/>
            <w:vAlign w:val="bottom"/>
            <w:tcBorders>
              <w:top w:val="single" w:sz="8" w:color="0000EE"/>
            </w:tcBorders>
          </w:tcPr>
          <w:p>
            <w:pPr>
              <w:spacing w:after="0"/>
              <w:rPr>
                <w:sz w:val="19"/>
                <w:szCs w:val="19"/>
                <w:color w:val="auto"/>
              </w:rPr>
            </w:pPr>
          </w:p>
        </w:tc>
        <w:tc>
          <w:tcPr>
            <w:tcW w:w="2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66</w:t>
            </w:r>
          </w:p>
        </w:tc>
      </w:tr>
      <w:tr>
        <w:trPr>
          <w:trHeight w:val="190"/>
        </w:trPr>
        <w:tc>
          <w:tcPr>
            <w:tcW w:w="10200" w:type="dxa"/>
            <w:vAlign w:val="bottom"/>
            <w:gridSpan w:val="18"/>
          </w:tcPr>
          <w:p>
            <w:pPr>
              <w:spacing w:after="0" w:line="190" w:lineRule="exact"/>
              <w:rPr>
                <w:rFonts w:ascii="Arial" w:cs="Arial" w:eastAsia="Arial" w:hAnsi="Arial"/>
                <w:sz w:val="18"/>
                <w:szCs w:val="18"/>
                <w:color w:val="0000EE"/>
              </w:rPr>
            </w:pPr>
            <w:hyperlink w:anchor="page191">
              <w:r>
                <w:rPr>
                  <w:rFonts w:ascii="Arial" w:cs="Arial" w:eastAsia="Arial" w:hAnsi="Arial"/>
                  <w:sz w:val="18"/>
                  <w:szCs w:val="18"/>
                  <w:color w:val="0000EE"/>
                </w:rPr>
                <w:t>Notes to Proforma Financial Statements</w:t>
              </w:r>
            </w:hyperlink>
          </w:p>
        </w:tc>
        <w:tc>
          <w:tcPr>
            <w:tcW w:w="1160" w:type="dxa"/>
            <w:vAlign w:val="bottom"/>
          </w:tcPr>
          <w:p>
            <w:pPr>
              <w:ind w:left="1000"/>
              <w:spacing w:after="0" w:line="190" w:lineRule="exact"/>
              <w:rPr>
                <w:sz w:val="20"/>
                <w:szCs w:val="20"/>
                <w:color w:val="auto"/>
              </w:rPr>
            </w:pPr>
            <w:r>
              <w:rPr>
                <w:rFonts w:ascii="Arial" w:cs="Arial" w:eastAsia="Arial" w:hAnsi="Arial"/>
                <w:sz w:val="18"/>
                <w:szCs w:val="18"/>
                <w:color w:val="auto"/>
                <w:w w:val="82"/>
              </w:rPr>
              <w:t>F-</w:t>
            </w:r>
          </w:p>
        </w:tc>
      </w:tr>
      <w:tr>
        <w:trPr>
          <w:trHeight w:val="237"/>
        </w:trPr>
        <w:tc>
          <w:tcPr>
            <w:tcW w:w="9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160" w:type="dxa"/>
            <w:vAlign w:val="bottom"/>
          </w:tcPr>
          <w:p>
            <w:pPr>
              <w:ind w:left="980"/>
              <w:spacing w:after="0"/>
              <w:rPr>
                <w:sz w:val="20"/>
                <w:szCs w:val="20"/>
                <w:color w:val="auto"/>
              </w:rPr>
            </w:pPr>
            <w:r>
              <w:rPr>
                <w:rFonts w:ascii="Arial" w:cs="Arial" w:eastAsia="Arial" w:hAnsi="Arial"/>
                <w:sz w:val="18"/>
                <w:szCs w:val="18"/>
                <w:color w:val="auto"/>
                <w:w w:val="79"/>
              </w:rPr>
              <w:t>67</w:t>
            </w:r>
          </w:p>
        </w:tc>
      </w:tr>
      <w:tr>
        <w:trPr>
          <w:trHeight w:val="365"/>
        </w:trPr>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20" w:type="dxa"/>
            <w:vAlign w:val="bottom"/>
          </w:tcPr>
          <w:p>
            <w:pPr>
              <w:jc w:val="center"/>
              <w:ind w:right="3570"/>
              <w:spacing w:after="0"/>
              <w:rPr>
                <w:sz w:val="20"/>
                <w:szCs w:val="20"/>
                <w:color w:val="auto"/>
              </w:rPr>
            </w:pPr>
            <w:r>
              <w:rPr>
                <w:rFonts w:ascii="Arial" w:cs="Arial" w:eastAsia="Arial" w:hAnsi="Arial"/>
                <w:sz w:val="18"/>
                <w:szCs w:val="18"/>
                <w:color w:val="auto"/>
                <w:w w:val="96"/>
              </w:rPr>
              <w:t>F-1</w:t>
            </w:r>
          </w:p>
        </w:tc>
        <w:tc>
          <w:tcPr>
            <w:tcW w:w="1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60"/>
          </w:cols>
          <w:pgMar w:left="240" w:top="446" w:right="29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Audit Committee of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Soleno Therapeutics, Inc. (formerly known as Capnia, Inc.)</w:t>
      </w:r>
    </w:p>
    <w:p>
      <w:pPr>
        <w:spacing w:after="0" w:line="211"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We have audited the accompanying consolidated balance sheets of Soleno Therapeutics, Inc. (formerly known as Capnia, Inc.) (the “Company”) as of December 31, 2016 and 2015, and the related consolidated statements of operations, stockholders’ equity (deficit), and cash flows for the years then ended.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ind w:right="200" w:firstLine="913"/>
        <w:spacing w:after="0" w:line="286"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Soleno Therapeutics, Inc. (formerly known as Capnia, Inc.), as of December 31, 2016 and 2015, and the consolidated results of its operations and its cash flows for the years then ended in conformity with accounting principles generally accepted in the United States of America.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5"/>
          <w:szCs w:val="15"/>
          <w:color w:val="auto"/>
        </w:rPr>
        <w:t>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5"/>
          <w:szCs w:val="15"/>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2017, except for Note 14 paragraphs (v), (vi) and (vii) as to which the date is January 29, 2018.</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December 31,</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85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196"/>
        </w:trPr>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2,725,996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5,494,523</w:t>
            </w:r>
          </w:p>
        </w:tc>
      </w:tr>
      <w:tr>
        <w:trPr>
          <w:trHeight w:val="216"/>
        </w:trPr>
        <w:tc>
          <w:tcPr>
            <w:tcW w:w="8580" w:type="dxa"/>
            <w:vAlign w:val="bottom"/>
          </w:tcPr>
          <w:p>
            <w:pPr>
              <w:ind w:left="108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35,000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246,570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159,018</w:t>
            </w:r>
          </w:p>
        </w:tc>
      </w:tr>
      <w:tr>
        <w:trPr>
          <w:trHeight w:val="223"/>
        </w:trPr>
        <w:tc>
          <w:tcPr>
            <w:tcW w:w="8580" w:type="dxa"/>
            <w:vAlign w:val="bottom"/>
          </w:tcPr>
          <w:p>
            <w:pPr>
              <w:ind w:left="1080"/>
              <w:spacing w:after="0"/>
              <w:rPr>
                <w:sz w:val="20"/>
                <w:szCs w:val="20"/>
                <w:color w:val="auto"/>
              </w:rPr>
            </w:pPr>
            <w:r>
              <w:rPr>
                <w:rFonts w:ascii="Arial" w:cs="Arial" w:eastAsia="Arial" w:hAnsi="Arial"/>
                <w:sz w:val="18"/>
                <w:szCs w:val="18"/>
                <w:color w:val="auto"/>
              </w:rPr>
              <w:t>Current assets held for sale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793,728</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715,759</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3,801,294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6,404,300</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Long-term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42,021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35,463</w:t>
            </w:r>
          </w:p>
        </w:tc>
      </w:tr>
      <w:tr>
        <w:trPr>
          <w:trHeight w:val="216"/>
        </w:trPr>
        <w:tc>
          <w:tcPr>
            <w:tcW w:w="8580" w:type="dxa"/>
            <w:vAlign w:val="bottom"/>
          </w:tcPr>
          <w:p>
            <w:pPr>
              <w:ind w:left="108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125,530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76,340</w:t>
            </w: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Long-term assets held for sale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1,596,007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1,685,092</w:t>
            </w:r>
          </w:p>
        </w:tc>
      </w:tr>
      <w:tr>
        <w:trPr>
          <w:trHeight w:val="223"/>
        </w:trPr>
        <w:tc>
          <w:tcPr>
            <w:tcW w:w="8580" w:type="dxa"/>
            <w:vAlign w:val="bottom"/>
          </w:tcPr>
          <w:p>
            <w:pPr>
              <w:ind w:left="14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5,564,852</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8,201,195</w:t>
            </w:r>
          </w:p>
        </w:tc>
        <w:tc>
          <w:tcPr>
            <w:tcW w:w="100" w:type="dxa"/>
            <w:vAlign w:val="bottom"/>
          </w:tcPr>
          <w:p>
            <w:pPr>
              <w:spacing w:after="0"/>
              <w:rPr>
                <w:sz w:val="19"/>
                <w:szCs w:val="19"/>
                <w:color w:val="auto"/>
              </w:rPr>
            </w:pP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410,512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495,342</w:t>
            </w:r>
          </w:p>
        </w:tc>
      </w:tr>
      <w:tr>
        <w:trPr>
          <w:trHeight w:val="216"/>
        </w:trPr>
        <w:tc>
          <w:tcPr>
            <w:tcW w:w="8580" w:type="dxa"/>
            <w:vAlign w:val="bottom"/>
          </w:tcPr>
          <w:p>
            <w:pPr>
              <w:ind w:left="1080"/>
              <w:spacing w:after="0"/>
              <w:rPr>
                <w:sz w:val="20"/>
                <w:szCs w:val="20"/>
                <w:color w:val="auto"/>
              </w:rPr>
            </w:pPr>
            <w:r>
              <w:rPr>
                <w:rFonts w:ascii="Arial" w:cs="Arial" w:eastAsia="Arial" w:hAnsi="Arial"/>
                <w:sz w:val="18"/>
                <w:szCs w:val="18"/>
                <w:color w:val="auto"/>
              </w:rPr>
              <w:t>Accrued compensation and other 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1,050,466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515,980</w:t>
            </w: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Series B warrant liability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865,000</w:t>
            </w:r>
          </w:p>
        </w:tc>
      </w:tr>
      <w:tr>
        <w:trPr>
          <w:trHeight w:val="223"/>
        </w:trPr>
        <w:tc>
          <w:tcPr>
            <w:tcW w:w="8580" w:type="dxa"/>
            <w:vAlign w:val="bottom"/>
          </w:tcPr>
          <w:p>
            <w:pPr>
              <w:ind w:left="1080"/>
              <w:spacing w:after="0"/>
              <w:rPr>
                <w:sz w:val="20"/>
                <w:szCs w:val="20"/>
                <w:color w:val="auto"/>
              </w:rPr>
            </w:pPr>
            <w:r>
              <w:rPr>
                <w:rFonts w:ascii="Arial" w:cs="Arial" w:eastAsia="Arial" w:hAnsi="Arial"/>
                <w:sz w:val="18"/>
                <w:szCs w:val="18"/>
                <w:color w:val="auto"/>
              </w:rPr>
              <w:t>Current liabilities held for sale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246,400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1,316,413</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1,707,378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3,192,735</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Series A warrant liability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194,048</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1,212,803</w:t>
            </w:r>
          </w:p>
        </w:tc>
      </w:tr>
      <w:tr>
        <w:trPr>
          <w:trHeight w:val="216"/>
        </w:trPr>
        <w:tc>
          <w:tcPr>
            <w:tcW w:w="8580" w:type="dxa"/>
            <w:vAlign w:val="bottom"/>
          </w:tcPr>
          <w:p>
            <w:pPr>
              <w:ind w:left="1080"/>
              <w:spacing w:after="0"/>
              <w:rPr>
                <w:sz w:val="20"/>
                <w:szCs w:val="20"/>
                <w:color w:val="auto"/>
              </w:rPr>
            </w:pPr>
            <w:r>
              <w:rPr>
                <w:rFonts w:ascii="Arial" w:cs="Arial" w:eastAsia="Arial" w:hAnsi="Arial"/>
                <w:sz w:val="18"/>
                <w:szCs w:val="18"/>
                <w:color w:val="auto"/>
              </w:rPr>
              <w:t>Series C warrant liability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85,490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462,437</w:t>
            </w:r>
          </w:p>
        </w:tc>
      </w:tr>
      <w:tr>
        <w:trPr>
          <w:trHeight w:val="216"/>
        </w:trPr>
        <w:tc>
          <w:tcPr>
            <w:tcW w:w="85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61,739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580" w:type="dxa"/>
            <w:vAlign w:val="bottom"/>
          </w:tcPr>
          <w:p>
            <w:pPr>
              <w:ind w:left="1080"/>
              <w:spacing w:after="0"/>
              <w:rPr>
                <w:sz w:val="20"/>
                <w:szCs w:val="20"/>
                <w:color w:val="auto"/>
              </w:rPr>
            </w:pPr>
            <w:r>
              <w:rPr>
                <w:rFonts w:ascii="Arial" w:cs="Arial" w:eastAsia="Arial" w:hAnsi="Arial"/>
                <w:sz w:val="18"/>
                <w:szCs w:val="18"/>
                <w:color w:val="auto"/>
              </w:rPr>
              <w:t>Long-term liabilities held for sale</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81,000</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109,404</w:t>
            </w: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2,129,655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4,977,379</w:t>
            </w:r>
          </w:p>
        </w:tc>
      </w:tr>
      <w:tr>
        <w:trPr>
          <w:trHeight w:val="223"/>
        </w:trPr>
        <w:tc>
          <w:tcPr>
            <w:tcW w:w="8580" w:type="dxa"/>
            <w:vAlign w:val="bottom"/>
          </w:tcPr>
          <w:p>
            <w:pPr>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5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Series A convertible preferred stock, 10,000 shares designated; zero and 4,555 issued and outstanding at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5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2016 and December 31, 2015, respectively. Liquidation value of zero.</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02"/>
        </w:trPr>
        <w:tc>
          <w:tcPr>
            <w:tcW w:w="8580" w:type="dxa"/>
            <w:vAlign w:val="bottom"/>
          </w:tcPr>
          <w:p>
            <w:pPr>
              <w:ind w:left="360"/>
              <w:spacing w:after="0" w:line="201" w:lineRule="exact"/>
              <w:rPr>
                <w:sz w:val="20"/>
                <w:szCs w:val="20"/>
                <w:color w:val="auto"/>
              </w:rPr>
            </w:pPr>
            <w:r>
              <w:rPr>
                <w:rFonts w:ascii="Arial" w:cs="Arial" w:eastAsia="Arial" w:hAnsi="Arial"/>
                <w:sz w:val="18"/>
                <w:szCs w:val="18"/>
                <w:color w:val="auto"/>
              </w:rPr>
              <w:t>Series B convertible preferred stock, 13,780 and zero shares designated at December 31, 2016, and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580" w:type="dxa"/>
            <w:vAlign w:val="bottom"/>
          </w:tcPr>
          <w:p>
            <w:pPr>
              <w:ind w:left="540"/>
              <w:spacing w:after="0"/>
              <w:rPr>
                <w:sz w:val="20"/>
                <w:szCs w:val="20"/>
                <w:color w:val="auto"/>
              </w:rPr>
            </w:pPr>
            <w:r>
              <w:rPr>
                <w:rFonts w:ascii="Arial" w:cs="Arial" w:eastAsia="Arial" w:hAnsi="Arial"/>
                <w:sz w:val="18"/>
                <w:szCs w:val="18"/>
                <w:color w:val="auto"/>
                <w:w w:val="91"/>
              </w:rPr>
              <w:t>December 31, 2015, respectively; 12,780 and zero shares issued and outstanding at December 31, 2016, and</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580" w:type="dxa"/>
            <w:vAlign w:val="bottom"/>
          </w:tcPr>
          <w:p>
            <w:pPr>
              <w:ind w:left="540"/>
              <w:spacing w:after="0"/>
              <w:rPr>
                <w:sz w:val="20"/>
                <w:szCs w:val="20"/>
                <w:color w:val="auto"/>
              </w:rPr>
            </w:pPr>
            <w:r>
              <w:rPr>
                <w:rFonts w:ascii="Arial" w:cs="Arial" w:eastAsia="Arial" w:hAnsi="Arial"/>
                <w:sz w:val="18"/>
                <w:szCs w:val="18"/>
                <w:color w:val="auto"/>
              </w:rPr>
              <w:t>at December 31, 2015, respectively. Liquidation value of zero.</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Common stock, $0.001 par value, 100,000,000 shares authorized, 3,357,387 and 2,803,580 shares issued and</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 at December 31, 2016, and December 31, 2015, respectively.</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3,357</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w:t>
            </w: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101,743,714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89,467,680</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(98,311,887)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(86,246,673)</w:t>
            </w:r>
          </w:p>
        </w:tc>
      </w:tr>
      <w:tr>
        <w:trPr>
          <w:trHeight w:val="230"/>
        </w:trPr>
        <w:tc>
          <w:tcPr>
            <w:tcW w:w="858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3,435,197</w:t>
            </w:r>
          </w:p>
        </w:tc>
        <w:tc>
          <w:tcPr>
            <w:tcW w:w="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3,223,816</w:t>
            </w:r>
          </w:p>
        </w:tc>
        <w:tc>
          <w:tcPr>
            <w:tcW w:w="100" w:type="dxa"/>
            <w:vAlign w:val="bottom"/>
          </w:tcPr>
          <w:p>
            <w:pPr>
              <w:spacing w:after="0"/>
              <w:rPr>
                <w:sz w:val="20"/>
                <w:szCs w:val="20"/>
                <w:color w:val="auto"/>
              </w:rPr>
            </w:pPr>
          </w:p>
        </w:tc>
      </w:tr>
      <w:tr>
        <w:trPr>
          <w:trHeight w:val="216"/>
        </w:trPr>
        <w:tc>
          <w:tcPr>
            <w:tcW w:w="8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5,564,852</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8,201,195</w:t>
            </w:r>
          </w:p>
        </w:tc>
      </w:tr>
      <w:tr>
        <w:trPr>
          <w:trHeight w:val="20"/>
        </w:trPr>
        <w:tc>
          <w:tcPr>
            <w:tcW w:w="8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9" w:lineRule="exact"/>
        <w:rPr>
          <w:sz w:val="20"/>
          <w:szCs w:val="20"/>
          <w:color w:val="auto"/>
        </w:rPr>
      </w:pPr>
    </w:p>
    <w:p>
      <w:pPr>
        <w:jc w:val="center"/>
        <w:ind w:left="8940"/>
        <w:spacing w:after="0"/>
        <w:rPr>
          <w:sz w:val="20"/>
          <w:szCs w:val="20"/>
          <w:color w:val="auto"/>
        </w:rPr>
      </w:pPr>
      <w:r>
        <w:rPr>
          <w:rFonts w:ascii="Arial" w:cs="Arial" w:eastAsia="Arial" w:hAnsi="Arial"/>
          <w:sz w:val="14"/>
          <w:szCs w:val="14"/>
          <w:b w:val="1"/>
          <w:bCs w:val="1"/>
          <w:color w:val="auto"/>
        </w:rPr>
        <w:t>For the Years Ended</w:t>
      </w:r>
    </w:p>
    <w:p>
      <w:pPr>
        <w:jc w:val="center"/>
        <w:ind w:left="894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42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2,247,141</w:t>
            </w:r>
          </w:p>
        </w:tc>
        <w:tc>
          <w:tcPr>
            <w:tcW w:w="3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6,076,976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5,991,266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8,324,117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5,991,266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(8,324,117)</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(5,991,266)</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13,129</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Cease-use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(93,749)</w:t>
            </w: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(515,860)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tcPr>
          <w:p>
            <w:pPr>
              <w:ind w:left="340"/>
              <w:spacing w:after="0"/>
              <w:rPr>
                <w:sz w:val="20"/>
                <w:szCs w:val="20"/>
                <w:color w:val="auto"/>
              </w:rPr>
            </w:pPr>
            <w:r>
              <w:rPr>
                <w:rFonts w:ascii="Arial" w:cs="Arial" w:eastAsia="Arial" w:hAnsi="Arial"/>
                <w:sz w:val="18"/>
                <w:szCs w:val="18"/>
                <w:color w:val="auto"/>
              </w:rPr>
              <w:t>Inducement charge for Series C warrants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(3,049,375)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income (expense)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1,586,497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(3,748,800)</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(6,737,620)</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(9,740,066)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 effect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(5,327,594)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(6,168,480)</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(12,065,214)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(15,908,546)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preferred stock</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3,651,172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(15,716,386</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(15,908,546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per common share from continuing operations, basic and diluted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rPr>
              <w:t>Loss per common share from discontinued operations, basic and dilute</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0"/>
        </w:trPr>
        <w:tc>
          <w:tcPr>
            <w:tcW w:w="8440" w:type="dxa"/>
            <w:vAlign w:val="bottom"/>
            <w:gridSpan w:val="2"/>
            <w:vMerge w:val="restart"/>
          </w:tcPr>
          <w:p>
            <w:pPr>
              <w:spacing w:after="0"/>
              <w:rPr>
                <w:sz w:val="20"/>
                <w:szCs w:val="20"/>
                <w:color w:val="auto"/>
              </w:rPr>
            </w:pPr>
            <w:r>
              <w:rPr>
                <w:rFonts w:ascii="Arial" w:cs="Arial" w:eastAsia="Arial" w:hAnsi="Arial"/>
                <w:sz w:val="18"/>
                <w:szCs w:val="18"/>
                <w:color w:val="auto"/>
                <w:w w:val="95"/>
              </w:rPr>
              <w:t>Weighted-average common shares outstanding used to calculate basic and diluted net loss per common share</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4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3,101,496</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1,885,176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(DEFICIT)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460" w:type="dxa"/>
            <w:vAlign w:val="bottom"/>
            <w:gridSpan w:val="4"/>
            <w:vMerge w:val="restart"/>
          </w:tcPr>
          <w:p>
            <w:pPr>
              <w:jc w:val="center"/>
              <w:ind w:right="160"/>
              <w:spacing w:after="0"/>
              <w:rPr>
                <w:sz w:val="20"/>
                <w:szCs w:val="20"/>
                <w:color w:val="auto"/>
              </w:rPr>
            </w:pPr>
            <w:r>
              <w:rPr>
                <w:rFonts w:ascii="Arial" w:cs="Arial" w:eastAsia="Arial" w:hAnsi="Arial"/>
                <w:sz w:val="14"/>
                <w:szCs w:val="14"/>
                <w:b w:val="1"/>
                <w:bCs w:val="1"/>
                <w:color w:val="auto"/>
                <w:w w:val="91"/>
              </w:rPr>
              <w:t>Series A Convertible</w:t>
            </w:r>
          </w:p>
        </w:tc>
        <w:tc>
          <w:tcPr>
            <w:tcW w:w="1460" w:type="dxa"/>
            <w:vAlign w:val="bottom"/>
            <w:gridSpan w:val="5"/>
            <w:vMerge w:val="restart"/>
          </w:tcPr>
          <w:p>
            <w:pPr>
              <w:jc w:val="right"/>
              <w:ind w:right="180"/>
              <w:spacing w:after="0"/>
              <w:rPr>
                <w:sz w:val="20"/>
                <w:szCs w:val="20"/>
                <w:color w:val="auto"/>
              </w:rPr>
            </w:pPr>
            <w:r>
              <w:rPr>
                <w:rFonts w:ascii="Arial" w:cs="Arial" w:eastAsia="Arial" w:hAnsi="Arial"/>
                <w:sz w:val="14"/>
                <w:szCs w:val="14"/>
                <w:b w:val="1"/>
                <w:bCs w:val="1"/>
                <w:color w:val="auto"/>
                <w:w w:val="91"/>
              </w:rPr>
              <w:t>Series B Convertible</w:t>
            </w:r>
          </w:p>
        </w:tc>
        <w:tc>
          <w:tcPr>
            <w:tcW w:w="1520" w:type="dxa"/>
            <w:vAlign w:val="bottom"/>
            <w:gridSpan w:val="5"/>
            <w:vMerge w:val="restart"/>
          </w:tcPr>
          <w:p>
            <w:pPr>
              <w:jc w:val="right"/>
              <w:ind w:right="3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Additional</w:t>
            </w: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
                <w:szCs w:val="2"/>
                <w:color w:val="auto"/>
              </w:rPr>
            </w:pPr>
          </w:p>
        </w:tc>
        <w:tc>
          <w:tcPr>
            <w:tcW w:w="9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720" w:type="dxa"/>
            <w:vAlign w:val="bottom"/>
          </w:tcPr>
          <w:p>
            <w:pPr>
              <w:spacing w:after="0"/>
              <w:rPr>
                <w:sz w:val="11"/>
                <w:szCs w:val="11"/>
                <w:color w:val="auto"/>
              </w:rPr>
            </w:pPr>
          </w:p>
        </w:tc>
        <w:tc>
          <w:tcPr>
            <w:tcW w:w="1460" w:type="dxa"/>
            <w:vAlign w:val="bottom"/>
            <w:gridSpan w:val="4"/>
            <w:vMerge w:val="continue"/>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1520" w:type="dxa"/>
            <w:vAlign w:val="bottom"/>
            <w:gridSpan w:val="5"/>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46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Preferred Stock</w:t>
            </w:r>
          </w:p>
        </w:tc>
        <w:tc>
          <w:tcPr>
            <w:tcW w:w="14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Preferred Stock</w:t>
            </w:r>
          </w:p>
        </w:tc>
        <w:tc>
          <w:tcPr>
            <w:tcW w:w="1520" w:type="dxa"/>
            <w:vAlign w:val="bottom"/>
            <w:gridSpan w:val="5"/>
            <w:vMerge w:val="continue"/>
          </w:tcPr>
          <w:p>
            <w:pPr>
              <w:spacing w:after="0"/>
              <w:rPr>
                <w:sz w:val="15"/>
                <w:szCs w:val="15"/>
                <w:color w:val="auto"/>
              </w:rPr>
            </w:pPr>
          </w:p>
        </w:tc>
        <w:tc>
          <w:tcPr>
            <w:tcW w:w="10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Paid-In</w:t>
            </w:r>
          </w:p>
        </w:tc>
        <w:tc>
          <w:tcPr>
            <w:tcW w:w="1020" w:type="dxa"/>
            <w:vAlign w:val="bottom"/>
            <w:gridSpan w:val="2"/>
            <w:vMerge w:val="continue"/>
          </w:tcPr>
          <w:p>
            <w:pPr>
              <w:spacing w:after="0"/>
              <w:rPr>
                <w:sz w:val="15"/>
                <w:szCs w:val="15"/>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Shares</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w w:val="98"/>
              </w:rPr>
              <w:t>Shares</w:t>
            </w: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2"/>
                <w:szCs w:val="12"/>
                <w:color w:val="auto"/>
              </w:rPr>
            </w:pPr>
          </w:p>
        </w:tc>
        <w:tc>
          <w:tcPr>
            <w:tcW w:w="74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20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Capital</w:t>
            </w:r>
          </w:p>
        </w:tc>
        <w:tc>
          <w:tcPr>
            <w:tcW w:w="102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Deficit</w:t>
            </w:r>
          </w:p>
        </w:tc>
        <w:tc>
          <w:tcPr>
            <w:tcW w:w="10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Balances at January 1, 2015</w:t>
            </w: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1,353,821</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$ 1,354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left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59,146,820</w:t>
            </w: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$(70,338,127)</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(11,189,953)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Stock based compensation</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942,369</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942,369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for stock option</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exercises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16,769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293,556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293,573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Issuance of common stock for Series A warrant</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exercises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4,800</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155,955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for Series B warrant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5"/>
              </w:rPr>
              <w:t>exercises (net of transaction costs of $306,116)</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123,902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3,720,589</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3,720,713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Issuance of common stock for Series B warrant</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cashless exercises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1,175,912</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1,176</w:t>
            </w:r>
          </w:p>
        </w:tc>
        <w:tc>
          <w:tcPr>
            <w:tcW w:w="2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421,364</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422,540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Issuance of common stock for 2010/2012 warrant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cashless exercises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2,681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Contribution of Series B warrants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3,332</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Derecognition of Series A warrant liability upon</w:t>
            </w:r>
          </w:p>
        </w:tc>
        <w:tc>
          <w:tcPr>
            <w:tcW w:w="5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left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exercise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Derecognition of Series B warrant liability upon</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exercise</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18,853,215</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18,853,215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Issuance of shares in conjunction with BDDI asset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purchase</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112,390</w:t>
            </w: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112,400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Issuance of shares to Aspire Capital</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14,378</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183,308</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183,322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Sales of shares through Aspire ATM vehicle</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101,317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1,434,093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1,434,194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Issuance of Series A Convertible Preferred</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shares(net of transaction costs of $396,343)</w:t>
            </w: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4,555</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4,158,652</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4,158,657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9"/>
              </w:rPr>
              <w:t>(15,908,546)</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4"/>
              </w:rPr>
              <w:t>(15,908,546)</w:t>
            </w: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spacing w:after="0"/>
              <w:rPr>
                <w:sz w:val="20"/>
                <w:szCs w:val="20"/>
                <w:color w:val="auto"/>
              </w:rPr>
            </w:pPr>
            <w:r>
              <w:rPr>
                <w:rFonts w:ascii="Arial" w:cs="Arial" w:eastAsia="Arial" w:hAnsi="Arial"/>
                <w:sz w:val="16"/>
                <w:szCs w:val="16"/>
                <w:color w:val="auto"/>
              </w:rPr>
              <w:t>Balances at December 31, 2015</w:t>
            </w: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40" w:type="dxa"/>
            <w:vAlign w:val="bottom"/>
            <w:gridSpan w:val="2"/>
            <w:vMerge w:val="continue"/>
          </w:tcPr>
          <w:p>
            <w:pPr>
              <w:spacing w:after="0"/>
              <w:rPr>
                <w:sz w:val="17"/>
                <w:szCs w:val="17"/>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6"/>
                <w:szCs w:val="16"/>
                <w:color w:val="auto"/>
              </w:rPr>
              <w:t>4,555</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7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w w:val="92"/>
              </w:rPr>
              <w:t>2,803,580</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2,804</w:t>
            </w:r>
          </w:p>
        </w:tc>
        <w:tc>
          <w:tcPr>
            <w:tcW w:w="2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9"/>
              </w:rPr>
              <w:t>89,467,680</w:t>
            </w: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(86,246,673)</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3,223,816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Stock based compensation</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871,270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871,270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Issuance of common stock for stock option</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exercises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11,683</w:t>
            </w:r>
          </w:p>
        </w:tc>
        <w:tc>
          <w:tcPr>
            <w:tcW w:w="780" w:type="dxa"/>
            <w:vAlign w:val="bottom"/>
            <w:gridSpan w:val="3"/>
          </w:tcPr>
          <w:p>
            <w:pPr>
              <w:jc w:val="right"/>
              <w:ind w:right="200"/>
              <w:spacing w:after="0"/>
              <w:rPr>
                <w:sz w:val="20"/>
                <w:szCs w:val="20"/>
                <w:color w:val="auto"/>
              </w:rPr>
            </w:pPr>
            <w:r>
              <w:rPr>
                <w:rFonts w:ascii="Arial" w:cs="Arial" w:eastAsia="Arial" w:hAnsi="Arial"/>
                <w:sz w:val="16"/>
                <w:szCs w:val="16"/>
                <w:color w:val="auto"/>
              </w:rPr>
              <w:t>11</w:t>
            </w: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70,091</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common stock for Series B warrant</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cashless exercises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97,040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97</w:t>
            </w: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593,487</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w w:val="93"/>
              </w:rPr>
              <w:t>Issuance of common stock on conversion of Series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A Convertible Preferred shares</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(2,220)</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240,000</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240</w:t>
            </w:r>
          </w:p>
        </w:tc>
        <w:tc>
          <w:tcPr>
            <w:tcW w:w="2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(238)</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Series A Convertible Preferred</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shares(net of transaction costs of $374,661)</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5,445</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5,070,334</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5,070,339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Repurchase of Series A Convertible Preferred</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shares</w:t>
            </w: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(7,780)</w:t>
            </w: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(8)</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(7,779,992)</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(7,780,000)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Issuance of Series B Convertible Preferred</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shares(net of transaction costs of $353,105)</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14</w:t>
            </w: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13,426,881</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13,426,895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w w:val="93"/>
              </w:rPr>
              <w:t>Issuance of common stock on conversion of Series</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lef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Pr>
          <w:p>
            <w:pPr>
              <w:ind w:left="480"/>
              <w:spacing w:after="0"/>
              <w:rPr>
                <w:sz w:val="20"/>
                <w:szCs w:val="20"/>
                <w:color w:val="auto"/>
              </w:rPr>
            </w:pPr>
            <w:r>
              <w:rPr>
                <w:rFonts w:ascii="Arial" w:cs="Arial" w:eastAsia="Arial" w:hAnsi="Arial"/>
                <w:sz w:val="16"/>
                <w:szCs w:val="16"/>
                <w:color w:val="auto"/>
              </w:rPr>
              <w:t>B Convertible Preferred shares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22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200,000</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200</w:t>
            </w:r>
          </w:p>
        </w:tc>
        <w:tc>
          <w:tcPr>
            <w:tcW w:w="200" w:type="dxa"/>
            <w:vAlign w:val="bottom"/>
          </w:tcPr>
          <w:p>
            <w:pPr>
              <w:spacing w:after="0"/>
              <w:rPr>
                <w:sz w:val="18"/>
                <w:szCs w:val="18"/>
                <w:color w:val="auto"/>
              </w:rPr>
            </w:pPr>
          </w:p>
        </w:tc>
        <w:tc>
          <w:tcPr>
            <w:tcW w:w="100" w:type="dxa"/>
            <w:vAlign w:val="bottom"/>
            <w:tcBorders>
              <w:lef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(199)</w:t>
            </w: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2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Issuance of common stock to board members in</w:t>
            </w:r>
          </w:p>
        </w:tc>
        <w:tc>
          <w:tcPr>
            <w:tcW w:w="5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20" w:type="dxa"/>
            <w:vAlign w:val="bottom"/>
            <w:shd w:val="clear" w:color="auto" w:fill="CCEEFF"/>
          </w:tcPr>
          <w:p>
            <w:pPr>
              <w:ind w:left="480"/>
              <w:spacing w:after="0"/>
              <w:rPr>
                <w:sz w:val="20"/>
                <w:szCs w:val="20"/>
                <w:color w:val="auto"/>
              </w:rPr>
            </w:pPr>
            <w:r>
              <w:rPr>
                <w:rFonts w:ascii="Arial" w:cs="Arial" w:eastAsia="Arial" w:hAnsi="Arial"/>
                <w:sz w:val="16"/>
                <w:szCs w:val="16"/>
                <w:color w:val="auto"/>
                <w:w w:val="99"/>
              </w:rPr>
              <w:t>lieu of cash payments for quarterly board fees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5,084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0" w:type="dxa"/>
            <w:vAlign w:val="bottom"/>
            <w:shd w:val="clear" w:color="auto" w:fill="CCEEFF"/>
          </w:tcPr>
          <w:p>
            <w:pPr>
              <w:spacing w:after="0"/>
              <w:rPr>
                <w:sz w:val="18"/>
                <w:szCs w:val="18"/>
                <w:color w:val="auto"/>
              </w:rPr>
            </w:pPr>
          </w:p>
        </w:tc>
        <w:tc>
          <w:tcPr>
            <w:tcW w:w="100" w:type="dxa"/>
            <w:vAlign w:val="bottom"/>
            <w:tcBorders>
              <w:lef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24,400</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20" w:type="dxa"/>
            <w:vAlign w:val="bottom"/>
          </w:tcPr>
          <w:p>
            <w:pPr>
              <w:ind w:left="320"/>
              <w:spacing w:after="0"/>
              <w:rPr>
                <w:sz w:val="20"/>
                <w:szCs w:val="20"/>
                <w:color w:val="auto"/>
              </w:rPr>
            </w:pPr>
            <w:r>
              <w:rPr>
                <w:rFonts w:ascii="Arial" w:cs="Arial" w:eastAsia="Arial" w:hAnsi="Arial"/>
                <w:sz w:val="16"/>
                <w:szCs w:val="16"/>
                <w:color w:val="auto"/>
              </w:rPr>
              <w:t>Net loss</w:t>
            </w: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lef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w w:val="99"/>
              </w:rPr>
              <w:t>(12,065,214)</w:t>
            </w:r>
          </w:p>
        </w:tc>
        <w:tc>
          <w:tcPr>
            <w:tcW w:w="140" w:type="dxa"/>
            <w:vAlign w:val="bottom"/>
          </w:tcPr>
          <w:p>
            <w:pPr>
              <w:spacing w:after="0"/>
              <w:rPr>
                <w:sz w:val="17"/>
                <w:szCs w:val="17"/>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(12,065,214)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6"/>
                <w:szCs w:val="16"/>
                <w:color w:val="auto"/>
              </w:rPr>
              <w:t>Balances at December 31, 2016</w:t>
            </w:r>
          </w:p>
        </w:tc>
        <w:tc>
          <w:tcPr>
            <w:tcW w:w="520" w:type="dxa"/>
            <w:vAlign w:val="bottom"/>
            <w:shd w:val="clear" w:color="auto" w:fill="CCEEFF"/>
          </w:tcPr>
          <w:p>
            <w:pPr>
              <w:ind w:left="2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12,780</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2"/>
              </w:rPr>
              <w:t>3,357,387</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$ 3,357</w:t>
            </w:r>
          </w:p>
        </w:tc>
        <w:tc>
          <w:tcPr>
            <w:tcW w:w="200" w:type="dxa"/>
            <w:vAlign w:val="bottom"/>
            <w:shd w:val="clear" w:color="auto" w:fill="CCEEFF"/>
          </w:tcPr>
          <w:p>
            <w:pPr>
              <w:spacing w:after="0"/>
              <w:rPr>
                <w:sz w:val="17"/>
                <w:szCs w:val="17"/>
                <w:color w:val="auto"/>
              </w:rPr>
            </w:pPr>
          </w:p>
        </w:tc>
        <w:tc>
          <w:tcPr>
            <w:tcW w:w="100" w:type="dxa"/>
            <w:vAlign w:val="bottom"/>
            <w:tcBorders>
              <w:lef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101,743,714</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u w:val="single" w:color="auto"/>
                <w:color w:val="auto"/>
                <w:w w:val="90"/>
              </w:rPr>
              <w:t>$</w:t>
            </w:r>
            <w:r>
              <w:rPr>
                <w:rFonts w:ascii="Arial" w:cs="Arial" w:eastAsia="Arial" w:hAnsi="Arial"/>
                <w:sz w:val="16"/>
                <w:szCs w:val="16"/>
                <w:color w:val="auto"/>
                <w:w w:val="90"/>
              </w:rPr>
              <w:t>(98,311,887)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3,435,197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Soleno Therapeutics, Inc.</w:t>
      </w:r>
    </w:p>
    <w:p>
      <w:pPr>
        <w:jc w:val="center"/>
        <w:spacing w:after="0" w:line="226" w:lineRule="auto"/>
        <w:rPr>
          <w:sz w:val="20"/>
          <w:szCs w:val="20"/>
          <w:color w:val="auto"/>
        </w:rPr>
      </w:pPr>
      <w:r>
        <w:rPr>
          <w:rFonts w:ascii="Arial" w:cs="Arial" w:eastAsia="Arial" w:hAnsi="Arial"/>
          <w:sz w:val="14"/>
          <w:szCs w:val="14"/>
          <w:b w:val="1"/>
          <w:bCs w:val="1"/>
          <w:color w:val="auto"/>
        </w:rPr>
        <w:t>(formerly known as Capnia, Inc.)</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For the Years Ended</w:t>
            </w:r>
          </w:p>
        </w:tc>
        <w:tc>
          <w:tcPr>
            <w:tcW w:w="0" w:type="dxa"/>
            <w:vAlign w:val="bottom"/>
          </w:tcPr>
          <w:p>
            <w:pPr>
              <w:spacing w:after="0"/>
              <w:rPr>
                <w:sz w:val="1"/>
                <w:szCs w:val="1"/>
                <w:color w:val="auto"/>
              </w:rPr>
            </w:pPr>
          </w:p>
        </w:tc>
      </w:tr>
      <w:tr>
        <w:trPr>
          <w:trHeight w:val="161"/>
        </w:trPr>
        <w:tc>
          <w:tcPr>
            <w:tcW w:w="9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7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97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70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85"/>
              </w:rPr>
              <w:t>(12,065,214)</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85"/>
              </w:rPr>
              <w:t>(15,908,546)</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Loss from discontinued operations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(5,327,594)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(6,168,480)</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Loss from continuing operations</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(6,737,620)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(9,740,066)</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280"/>
              <w:spacing w:after="0" w:line="149" w:lineRule="exact"/>
              <w:rPr>
                <w:sz w:val="20"/>
                <w:szCs w:val="20"/>
                <w:color w:val="auto"/>
              </w:rPr>
            </w:pPr>
            <w:r>
              <w:rPr>
                <w:rFonts w:ascii="Arial" w:cs="Arial" w:eastAsia="Arial" w:hAnsi="Arial"/>
                <w:sz w:val="14"/>
                <w:szCs w:val="14"/>
                <w:color w:val="auto"/>
              </w:rPr>
              <w:t>Depreciation and amortization</w:t>
            </w: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18,670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10,274</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739,232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730,887</w:t>
            </w:r>
          </w:p>
        </w:tc>
        <w:tc>
          <w:tcPr>
            <w:tcW w:w="0" w:type="dxa"/>
            <w:vAlign w:val="bottom"/>
          </w:tcPr>
          <w:p>
            <w:pPr>
              <w:spacing w:after="0"/>
              <w:rPr>
                <w:sz w:val="1"/>
                <w:szCs w:val="1"/>
                <w:color w:val="auto"/>
              </w:rPr>
            </w:pPr>
          </w:p>
        </w:tc>
      </w:tr>
      <w:tr>
        <w:trPr>
          <w:trHeight w:val="149"/>
        </w:trPr>
        <w:tc>
          <w:tcPr>
            <w:tcW w:w="9700" w:type="dxa"/>
            <w:vAlign w:val="bottom"/>
          </w:tcPr>
          <w:p>
            <w:pPr>
              <w:ind w:left="280"/>
              <w:spacing w:after="0" w:line="149" w:lineRule="exact"/>
              <w:rPr>
                <w:sz w:val="20"/>
                <w:szCs w:val="20"/>
                <w:color w:val="auto"/>
              </w:rPr>
            </w:pPr>
            <w:r>
              <w:rPr>
                <w:rFonts w:ascii="Arial" w:cs="Arial" w:eastAsia="Arial" w:hAnsi="Arial"/>
                <w:sz w:val="14"/>
                <w:szCs w:val="14"/>
                <w:color w:val="auto"/>
              </w:rPr>
              <w:t>Board fees paid with common stock</w:t>
            </w: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24,404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fair value of stock warrants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(1,667,117)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515,860</w:t>
            </w:r>
          </w:p>
        </w:tc>
        <w:tc>
          <w:tcPr>
            <w:tcW w:w="0" w:type="dxa"/>
            <w:vAlign w:val="bottom"/>
          </w:tcPr>
          <w:p>
            <w:pPr>
              <w:spacing w:after="0"/>
              <w:rPr>
                <w:sz w:val="1"/>
                <w:szCs w:val="1"/>
                <w:color w:val="auto"/>
              </w:rPr>
            </w:pPr>
          </w:p>
        </w:tc>
      </w:tr>
      <w:tr>
        <w:trPr>
          <w:trHeight w:val="149"/>
        </w:trPr>
        <w:tc>
          <w:tcPr>
            <w:tcW w:w="9700" w:type="dxa"/>
            <w:vAlign w:val="bottom"/>
          </w:tcPr>
          <w:p>
            <w:pPr>
              <w:ind w:left="280"/>
              <w:spacing w:after="0" w:line="149" w:lineRule="exact"/>
              <w:rPr>
                <w:sz w:val="20"/>
                <w:szCs w:val="20"/>
                <w:color w:val="auto"/>
              </w:rPr>
            </w:pPr>
            <w:r>
              <w:rPr>
                <w:rFonts w:ascii="Arial" w:cs="Arial" w:eastAsia="Arial" w:hAnsi="Arial"/>
                <w:sz w:val="14"/>
                <w:szCs w:val="14"/>
                <w:color w:val="auto"/>
              </w:rPr>
              <w:t>Loss on disposition of equipment</w:t>
            </w: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Inducement charge for Series C warrants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3,049,375</w:t>
            </w:r>
          </w:p>
        </w:tc>
        <w:tc>
          <w:tcPr>
            <w:tcW w:w="0" w:type="dxa"/>
            <w:vAlign w:val="bottom"/>
          </w:tcPr>
          <w:p>
            <w:pPr>
              <w:spacing w:after="0"/>
              <w:rPr>
                <w:sz w:val="1"/>
                <w:szCs w:val="1"/>
                <w:color w:val="auto"/>
              </w:rPr>
            </w:pPr>
          </w:p>
        </w:tc>
      </w:tr>
      <w:tr>
        <w:trPr>
          <w:trHeight w:val="149"/>
        </w:trPr>
        <w:tc>
          <w:tcPr>
            <w:tcW w:w="9700" w:type="dxa"/>
            <w:vAlign w:val="bottom"/>
          </w:tcPr>
          <w:p>
            <w:pPr>
              <w:ind w:left="280"/>
              <w:spacing w:after="0" w:line="149" w:lineRule="exact"/>
              <w:rPr>
                <w:sz w:val="20"/>
                <w:szCs w:val="20"/>
                <w:color w:val="auto"/>
              </w:rPr>
            </w:pPr>
            <w:r>
              <w:rPr>
                <w:rFonts w:ascii="Arial" w:cs="Arial" w:eastAsia="Arial" w:hAnsi="Arial"/>
                <w:sz w:val="14"/>
                <w:szCs w:val="14"/>
                <w:color w:val="auto"/>
              </w:rPr>
              <w:t>Noncash expense of issuing shares to Aspire Capital</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183,322</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Change in operating assets and liabilities:</w:t>
            </w:r>
          </w:p>
        </w:tc>
        <w:tc>
          <w:tcPr>
            <w:tcW w:w="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00" w:type="dxa"/>
            <w:vAlign w:val="bottom"/>
          </w:tcPr>
          <w:p>
            <w:pPr>
              <w:ind w:left="54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(87,552)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77,601</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Other long-term assets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(49,190)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(76,340)</w:t>
            </w:r>
          </w:p>
        </w:tc>
        <w:tc>
          <w:tcPr>
            <w:tcW w:w="0" w:type="dxa"/>
            <w:vAlign w:val="bottom"/>
          </w:tcPr>
          <w:p>
            <w:pPr>
              <w:spacing w:after="0"/>
              <w:rPr>
                <w:sz w:val="1"/>
                <w:szCs w:val="1"/>
                <w:color w:val="auto"/>
              </w:rPr>
            </w:pPr>
          </w:p>
        </w:tc>
      </w:tr>
      <w:tr>
        <w:trPr>
          <w:trHeight w:val="149"/>
        </w:trPr>
        <w:tc>
          <w:tcPr>
            <w:tcW w:w="9700" w:type="dxa"/>
            <w:vAlign w:val="bottom"/>
          </w:tcPr>
          <w:p>
            <w:pPr>
              <w:ind w:left="54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(76,828)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(435,356)</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540"/>
              <w:spacing w:after="0" w:line="149" w:lineRule="exact"/>
              <w:rPr>
                <w:sz w:val="20"/>
                <w:szCs w:val="20"/>
                <w:color w:val="auto"/>
              </w:rPr>
            </w:pPr>
            <w:r>
              <w:rPr>
                <w:rFonts w:ascii="Arial" w:cs="Arial" w:eastAsia="Arial" w:hAnsi="Arial"/>
                <w:sz w:val="14"/>
                <w:szCs w:val="14"/>
                <w:color w:val="auto"/>
              </w:rPr>
              <w:t>Accrued compensation and other current liabilities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534,486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115,639</w:t>
            </w:r>
          </w:p>
        </w:tc>
        <w:tc>
          <w:tcPr>
            <w:tcW w:w="0" w:type="dxa"/>
            <w:vAlign w:val="bottom"/>
          </w:tcPr>
          <w:p>
            <w:pPr>
              <w:spacing w:after="0"/>
              <w:rPr>
                <w:sz w:val="1"/>
                <w:szCs w:val="1"/>
                <w:color w:val="auto"/>
              </w:rPr>
            </w:pPr>
          </w:p>
        </w:tc>
      </w:tr>
      <w:tr>
        <w:trPr>
          <w:trHeight w:val="149"/>
        </w:trPr>
        <w:tc>
          <w:tcPr>
            <w:tcW w:w="9700" w:type="dxa"/>
            <w:vAlign w:val="bottom"/>
          </w:tcPr>
          <w:p>
            <w:pPr>
              <w:ind w:left="540"/>
              <w:spacing w:after="0" w:line="149" w:lineRule="exact"/>
              <w:rPr>
                <w:sz w:val="20"/>
                <w:szCs w:val="20"/>
                <w:color w:val="auto"/>
              </w:rPr>
            </w:pPr>
            <w:r>
              <w:rPr>
                <w:rFonts w:ascii="Arial" w:cs="Arial" w:eastAsia="Arial" w:hAnsi="Arial"/>
                <w:sz w:val="14"/>
                <w:szCs w:val="14"/>
                <w:color w:val="auto"/>
              </w:rPr>
              <w:t>Other long-term liabilities</w:t>
            </w: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40,039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9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7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rPr>
              <w:t>Net cash used in continuing operating activities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(7,260,708)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(5,568,804)</w:t>
            </w:r>
          </w:p>
        </w:tc>
        <w:tc>
          <w:tcPr>
            <w:tcW w:w="0" w:type="dxa"/>
            <w:vAlign w:val="bottom"/>
          </w:tcPr>
          <w:p>
            <w:pPr>
              <w:spacing w:after="0"/>
              <w:rPr>
                <w:sz w:val="1"/>
                <w:szCs w:val="1"/>
                <w:color w:val="auto"/>
              </w:rPr>
            </w:pPr>
          </w:p>
        </w:tc>
      </w:tr>
      <w:tr>
        <w:trPr>
          <w:trHeight w:val="149"/>
        </w:trPr>
        <w:tc>
          <w:tcPr>
            <w:tcW w:w="970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Net cash used in discontinued operations</w:t>
            </w:r>
          </w:p>
        </w:tc>
        <w:tc>
          <w:tcPr>
            <w:tcW w:w="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(6,237,272)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(4,730,526)</w:t>
            </w:r>
          </w:p>
        </w:tc>
        <w:tc>
          <w:tcPr>
            <w:tcW w:w="0" w:type="dxa"/>
            <w:vAlign w:val="bottom"/>
          </w:tcPr>
          <w:p>
            <w:pPr>
              <w:spacing w:after="0"/>
              <w:rPr>
                <w:sz w:val="1"/>
                <w:szCs w:val="1"/>
                <w:color w:val="auto"/>
              </w:rPr>
            </w:pPr>
          </w:p>
        </w:tc>
      </w:tr>
      <w:tr>
        <w:trPr>
          <w:trHeight w:val="27"/>
        </w:trPr>
        <w:tc>
          <w:tcPr>
            <w:tcW w:w="9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7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rPr>
              <w:t>Net cash used in operating activities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(13,497,980)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5"/>
              </w:rPr>
              <w:t>(10,299,330)</w:t>
            </w:r>
          </w:p>
        </w:tc>
        <w:tc>
          <w:tcPr>
            <w:tcW w:w="0" w:type="dxa"/>
            <w:vAlign w:val="bottom"/>
          </w:tcPr>
          <w:p>
            <w:pPr>
              <w:spacing w:after="0"/>
              <w:rPr>
                <w:sz w:val="1"/>
                <w:szCs w:val="1"/>
                <w:color w:val="auto"/>
              </w:rPr>
            </w:pPr>
          </w:p>
        </w:tc>
      </w:tr>
      <w:tr>
        <w:trPr>
          <w:trHeight w:val="156"/>
        </w:trPr>
        <w:tc>
          <w:tcPr>
            <w:tcW w:w="97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Increase in restricted cash</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9"/>
        </w:trPr>
        <w:tc>
          <w:tcPr>
            <w:tcW w:w="970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w:t>
            </w:r>
          </w:p>
        </w:tc>
        <w:tc>
          <w:tcPr>
            <w:tcW w:w="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(14,795)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(44,019)</w:t>
            </w:r>
          </w:p>
        </w:tc>
        <w:tc>
          <w:tcPr>
            <w:tcW w:w="0" w:type="dxa"/>
            <w:vAlign w:val="bottom"/>
          </w:tcPr>
          <w:p>
            <w:pPr>
              <w:spacing w:after="0"/>
              <w:rPr>
                <w:sz w:val="1"/>
                <w:szCs w:val="1"/>
                <w:color w:val="auto"/>
              </w:rPr>
            </w:pPr>
          </w:p>
        </w:tc>
      </w:tr>
      <w:tr>
        <w:trPr>
          <w:trHeight w:val="27"/>
        </w:trPr>
        <w:tc>
          <w:tcPr>
            <w:tcW w:w="9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7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rPr>
              <w:t>Net cash used in continuing investing activities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(14,795)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(59,019)</w:t>
            </w:r>
          </w:p>
        </w:tc>
        <w:tc>
          <w:tcPr>
            <w:tcW w:w="0" w:type="dxa"/>
            <w:vAlign w:val="bottom"/>
          </w:tcPr>
          <w:p>
            <w:pPr>
              <w:spacing w:after="0"/>
              <w:rPr>
                <w:sz w:val="1"/>
                <w:szCs w:val="1"/>
                <w:color w:val="auto"/>
              </w:rPr>
            </w:pPr>
          </w:p>
        </w:tc>
      </w:tr>
      <w:tr>
        <w:trPr>
          <w:trHeight w:val="149"/>
        </w:trPr>
        <w:tc>
          <w:tcPr>
            <w:tcW w:w="970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Net cash used in discontinued investing activities</w:t>
            </w:r>
          </w:p>
        </w:tc>
        <w:tc>
          <w:tcPr>
            <w:tcW w:w="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(23,885)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(1,261,758)</w:t>
            </w:r>
          </w:p>
        </w:tc>
        <w:tc>
          <w:tcPr>
            <w:tcW w:w="0" w:type="dxa"/>
            <w:vAlign w:val="bottom"/>
          </w:tcPr>
          <w:p>
            <w:pPr>
              <w:spacing w:after="0"/>
              <w:rPr>
                <w:sz w:val="1"/>
                <w:szCs w:val="1"/>
                <w:color w:val="auto"/>
              </w:rPr>
            </w:pPr>
          </w:p>
        </w:tc>
      </w:tr>
      <w:tr>
        <w:trPr>
          <w:trHeight w:val="27"/>
        </w:trPr>
        <w:tc>
          <w:tcPr>
            <w:tcW w:w="9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7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rPr>
              <w:t>Net cash used in investing activities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(38,680)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(1,320,777)</w:t>
            </w:r>
          </w:p>
        </w:tc>
        <w:tc>
          <w:tcPr>
            <w:tcW w:w="0" w:type="dxa"/>
            <w:vAlign w:val="bottom"/>
          </w:tcPr>
          <w:p>
            <w:pPr>
              <w:spacing w:after="0"/>
              <w:rPr>
                <w:sz w:val="1"/>
                <w:szCs w:val="1"/>
                <w:color w:val="auto"/>
              </w:rPr>
            </w:pPr>
          </w:p>
        </w:tc>
      </w:tr>
      <w:tr>
        <w:trPr>
          <w:trHeight w:val="156"/>
        </w:trPr>
        <w:tc>
          <w:tcPr>
            <w:tcW w:w="970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common stock options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70,102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293,573</w:t>
            </w:r>
          </w:p>
        </w:tc>
        <w:tc>
          <w:tcPr>
            <w:tcW w:w="0" w:type="dxa"/>
            <w:vAlign w:val="bottom"/>
          </w:tcPr>
          <w:p>
            <w:pPr>
              <w:spacing w:after="0"/>
              <w:rPr>
                <w:sz w:val="1"/>
                <w:szCs w:val="1"/>
                <w:color w:val="auto"/>
              </w:rPr>
            </w:pPr>
          </w:p>
        </w:tc>
      </w:tr>
      <w:tr>
        <w:trPr>
          <w:trHeight w:val="149"/>
        </w:trPr>
        <w:tc>
          <w:tcPr>
            <w:tcW w:w="9700" w:type="dxa"/>
            <w:vAlign w:val="bottom"/>
          </w:tcPr>
          <w:p>
            <w:pPr>
              <w:spacing w:after="0" w:line="149" w:lineRule="exact"/>
              <w:rPr>
                <w:sz w:val="20"/>
                <w:szCs w:val="20"/>
                <w:color w:val="auto"/>
              </w:rPr>
            </w:pPr>
            <w:r>
              <w:rPr>
                <w:rFonts w:ascii="Arial" w:cs="Arial" w:eastAsia="Arial" w:hAnsi="Arial"/>
                <w:sz w:val="14"/>
                <w:szCs w:val="14"/>
                <w:color w:val="auto"/>
              </w:rPr>
              <w:t>Proceeds from exercise of Series A warrants</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156,000</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Series B warrants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3,720,713</w:t>
            </w:r>
          </w:p>
        </w:tc>
        <w:tc>
          <w:tcPr>
            <w:tcW w:w="0" w:type="dxa"/>
            <w:vAlign w:val="bottom"/>
          </w:tcPr>
          <w:p>
            <w:pPr>
              <w:spacing w:after="0"/>
              <w:rPr>
                <w:sz w:val="1"/>
                <w:szCs w:val="1"/>
                <w:color w:val="auto"/>
              </w:rPr>
            </w:pPr>
          </w:p>
        </w:tc>
      </w:tr>
      <w:tr>
        <w:trPr>
          <w:trHeight w:val="149"/>
        </w:trPr>
        <w:tc>
          <w:tcPr>
            <w:tcW w:w="970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to Aspire Capital</w:t>
            </w:r>
          </w:p>
        </w:tc>
        <w:tc>
          <w:tcPr>
            <w:tcW w:w="6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1,434,194</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proceeds from issuance of Series A Convertible Preferred</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5,070,339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4,230,150</w:t>
            </w:r>
          </w:p>
        </w:tc>
        <w:tc>
          <w:tcPr>
            <w:tcW w:w="0" w:type="dxa"/>
            <w:vAlign w:val="bottom"/>
          </w:tcPr>
          <w:p>
            <w:pPr>
              <w:spacing w:after="0"/>
              <w:rPr>
                <w:sz w:val="1"/>
                <w:szCs w:val="1"/>
                <w:color w:val="auto"/>
              </w:rPr>
            </w:pPr>
          </w:p>
        </w:tc>
      </w:tr>
      <w:tr>
        <w:trPr>
          <w:trHeight w:val="149"/>
        </w:trPr>
        <w:tc>
          <w:tcPr>
            <w:tcW w:w="9700" w:type="dxa"/>
            <w:vAlign w:val="bottom"/>
          </w:tcPr>
          <w:p>
            <w:pPr>
              <w:spacing w:after="0" w:line="149" w:lineRule="exact"/>
              <w:rPr>
                <w:sz w:val="20"/>
                <w:szCs w:val="20"/>
                <w:color w:val="auto"/>
              </w:rPr>
            </w:pPr>
            <w:r>
              <w:rPr>
                <w:rFonts w:ascii="Arial" w:cs="Arial" w:eastAsia="Arial" w:hAnsi="Arial"/>
                <w:sz w:val="14"/>
                <w:szCs w:val="14"/>
                <w:color w:val="auto"/>
              </w:rPr>
              <w:t>Net proceeds from issuance of Series B Convertible Preferred</w:t>
            </w:r>
          </w:p>
        </w:tc>
        <w:tc>
          <w:tcPr>
            <w:tcW w:w="6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13,479,185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 of Series A Convertible Preferred stock in conjunction with issuance of Series B Convertible Preferred stock</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(7,780,000)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00" w:type="dxa"/>
            <w:vAlign w:val="bottom"/>
          </w:tcPr>
          <w:p>
            <w:pPr>
              <w:spacing w:after="0" w:line="149" w:lineRule="exact"/>
              <w:rPr>
                <w:sz w:val="20"/>
                <w:szCs w:val="20"/>
                <w:color w:val="auto"/>
              </w:rPr>
            </w:pPr>
            <w:r>
              <w:rPr>
                <w:rFonts w:ascii="Arial" w:cs="Arial" w:eastAsia="Arial" w:hAnsi="Arial"/>
                <w:sz w:val="14"/>
                <w:szCs w:val="14"/>
                <w:color w:val="auto"/>
              </w:rPr>
              <w:t>Series A Convertible Preferred transaction costs paid</w:t>
            </w:r>
          </w:p>
        </w:tc>
        <w:tc>
          <w:tcPr>
            <w:tcW w:w="6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(71,493)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 of credit line</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(101,529)</w:t>
            </w:r>
          </w:p>
        </w:tc>
        <w:tc>
          <w:tcPr>
            <w:tcW w:w="0" w:type="dxa"/>
            <w:vAlign w:val="bottom"/>
          </w:tcPr>
          <w:p>
            <w:pPr>
              <w:spacing w:after="0"/>
              <w:rPr>
                <w:sz w:val="1"/>
                <w:szCs w:val="1"/>
                <w:color w:val="auto"/>
              </w:rPr>
            </w:pPr>
          </w:p>
        </w:tc>
      </w:tr>
      <w:tr>
        <w:trPr>
          <w:trHeight w:val="149"/>
        </w:trPr>
        <w:tc>
          <w:tcPr>
            <w:tcW w:w="9700" w:type="dxa"/>
            <w:vAlign w:val="bottom"/>
          </w:tcPr>
          <w:p>
            <w:pPr>
              <w:spacing w:after="0" w:line="149" w:lineRule="exact"/>
              <w:rPr>
                <w:sz w:val="20"/>
                <w:szCs w:val="20"/>
                <w:color w:val="auto"/>
              </w:rPr>
            </w:pPr>
            <w:r>
              <w:rPr>
                <w:rFonts w:ascii="Arial" w:cs="Arial" w:eastAsia="Arial" w:hAnsi="Arial"/>
                <w:sz w:val="14"/>
                <w:szCs w:val="14"/>
                <w:color w:val="auto"/>
              </w:rPr>
              <w:t>Initial Public Offering costs paid</w:t>
            </w:r>
          </w:p>
        </w:tc>
        <w:tc>
          <w:tcPr>
            <w:tcW w:w="6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(575,181)</w:t>
            </w:r>
          </w:p>
        </w:tc>
        <w:tc>
          <w:tcPr>
            <w:tcW w:w="0" w:type="dxa"/>
            <w:vAlign w:val="bottom"/>
          </w:tcPr>
          <w:p>
            <w:pPr>
              <w:spacing w:after="0"/>
              <w:rPr>
                <w:sz w:val="1"/>
                <w:szCs w:val="1"/>
                <w:color w:val="auto"/>
              </w:rPr>
            </w:pPr>
          </w:p>
        </w:tc>
      </w:tr>
      <w:tr>
        <w:trPr>
          <w:trHeight w:val="27"/>
        </w:trPr>
        <w:tc>
          <w:tcPr>
            <w:tcW w:w="97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7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rPr>
              <w:t>Net cash provided by continuing financing activities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10,768,133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9,157,920</w:t>
            </w:r>
          </w:p>
        </w:tc>
        <w:tc>
          <w:tcPr>
            <w:tcW w:w="0" w:type="dxa"/>
            <w:vAlign w:val="bottom"/>
          </w:tcPr>
          <w:p>
            <w:pPr>
              <w:spacing w:after="0"/>
              <w:rPr>
                <w:sz w:val="1"/>
                <w:szCs w:val="1"/>
                <w:color w:val="auto"/>
              </w:rPr>
            </w:pPr>
          </w:p>
        </w:tc>
      </w:tr>
      <w:tr>
        <w:trPr>
          <w:trHeight w:val="156"/>
        </w:trPr>
        <w:tc>
          <w:tcPr>
            <w:tcW w:w="9700" w:type="dxa"/>
            <w:vAlign w:val="bottom"/>
          </w:tcPr>
          <w:p>
            <w:pPr>
              <w:ind w:left="820"/>
              <w:spacing w:after="0" w:line="149" w:lineRule="exact"/>
              <w:rPr>
                <w:sz w:val="20"/>
                <w:szCs w:val="20"/>
                <w:color w:val="auto"/>
              </w:rPr>
            </w:pPr>
            <w:r>
              <w:rPr>
                <w:rFonts w:ascii="Arial" w:cs="Arial" w:eastAsia="Arial" w:hAnsi="Arial"/>
                <w:sz w:val="14"/>
                <w:szCs w:val="14"/>
                <w:b w:val="1"/>
                <w:bCs w:val="1"/>
                <w:color w:val="auto"/>
              </w:rPr>
              <w:t>Net cash provided by discontinued financing activities</w:t>
            </w:r>
          </w:p>
        </w:tc>
        <w:tc>
          <w:tcPr>
            <w:tcW w:w="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b w:val="1"/>
                <w:bCs w:val="1"/>
                <w:color w:val="auto"/>
              </w:rPr>
              <w:t>Net cash provided by financing activities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1"/>
              </w:rPr>
              <w:t>10,768,133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9,157,920</w:t>
            </w:r>
          </w:p>
        </w:tc>
        <w:tc>
          <w:tcPr>
            <w:tcW w:w="0" w:type="dxa"/>
            <w:vAlign w:val="bottom"/>
          </w:tcPr>
          <w:p>
            <w:pPr>
              <w:spacing w:after="0"/>
              <w:rPr>
                <w:sz w:val="1"/>
                <w:szCs w:val="1"/>
                <w:color w:val="auto"/>
              </w:rPr>
            </w:pPr>
          </w:p>
        </w:tc>
      </w:tr>
      <w:tr>
        <w:trPr>
          <w:trHeight w:val="20"/>
        </w:trPr>
        <w:tc>
          <w:tcPr>
            <w:tcW w:w="9700" w:type="dxa"/>
            <w:vAlign w:val="bottom"/>
            <w:vMerge w:val="restart"/>
          </w:tcPr>
          <w:p>
            <w:pPr>
              <w:ind w:left="820"/>
              <w:spacing w:after="0"/>
              <w:rPr>
                <w:sz w:val="20"/>
                <w:szCs w:val="20"/>
                <w:color w:val="auto"/>
              </w:rPr>
            </w:pPr>
            <w:r>
              <w:rPr>
                <w:rFonts w:ascii="Arial" w:cs="Arial" w:eastAsia="Arial" w:hAnsi="Arial"/>
                <w:sz w:val="14"/>
                <w:szCs w:val="14"/>
                <w:color w:val="auto"/>
              </w:rPr>
              <w:t>Net increase in cash and cash equivalents from continuing operations</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3,492,630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3,530,097</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ind w:left="820"/>
              <w:spacing w:after="0" w:line="149" w:lineRule="exact"/>
              <w:rPr>
                <w:sz w:val="20"/>
                <w:szCs w:val="20"/>
                <w:color w:val="auto"/>
              </w:rPr>
            </w:pPr>
            <w:r>
              <w:rPr>
                <w:rFonts w:ascii="Arial" w:cs="Arial" w:eastAsia="Arial" w:hAnsi="Arial"/>
                <w:sz w:val="14"/>
                <w:szCs w:val="14"/>
                <w:color w:val="auto"/>
              </w:rPr>
              <w:t>Net decrease in cash and cash equivalents from discontinued operations</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(6,261,157)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4"/>
              </w:rPr>
              <w:t>(5,992,284)</w:t>
            </w:r>
          </w:p>
        </w:tc>
        <w:tc>
          <w:tcPr>
            <w:tcW w:w="0" w:type="dxa"/>
            <w:vAlign w:val="bottom"/>
          </w:tcPr>
          <w:p>
            <w:pPr>
              <w:spacing w:after="0"/>
              <w:rPr>
                <w:sz w:val="1"/>
                <w:szCs w:val="1"/>
                <w:color w:val="auto"/>
              </w:rPr>
            </w:pPr>
          </w:p>
        </w:tc>
      </w:tr>
      <w:tr>
        <w:trPr>
          <w:trHeight w:val="20"/>
        </w:trPr>
        <w:tc>
          <w:tcPr>
            <w:tcW w:w="9700" w:type="dxa"/>
            <w:vAlign w:val="bottom"/>
            <w:vMerge w:val="restart"/>
          </w:tcPr>
          <w:p>
            <w:pPr>
              <w:ind w:left="820"/>
              <w:spacing w:after="0"/>
              <w:rPr>
                <w:sz w:val="20"/>
                <w:szCs w:val="20"/>
                <w:color w:val="auto"/>
              </w:rPr>
            </w:pPr>
            <w:r>
              <w:rPr>
                <w:rFonts w:ascii="Arial" w:cs="Arial" w:eastAsia="Arial" w:hAnsi="Arial"/>
                <w:sz w:val="14"/>
                <w:szCs w:val="14"/>
                <w:color w:val="auto"/>
              </w:rPr>
              <w:t>Net decrease in cash and equivalents</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w w:val="94"/>
              </w:rPr>
              <w:t>(2,768,527)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w w:val="94"/>
              </w:rPr>
              <w:t>(2,462,187)</w:t>
            </w:r>
          </w:p>
        </w:tc>
        <w:tc>
          <w:tcPr>
            <w:tcW w:w="0" w:type="dxa"/>
            <w:vAlign w:val="bottom"/>
          </w:tcPr>
          <w:p>
            <w:pPr>
              <w:spacing w:after="0"/>
              <w:rPr>
                <w:sz w:val="1"/>
                <w:szCs w:val="1"/>
                <w:color w:val="auto"/>
              </w:rPr>
            </w:pPr>
          </w:p>
        </w:tc>
      </w:tr>
      <w:tr>
        <w:trPr>
          <w:trHeight w:val="149"/>
        </w:trPr>
        <w:tc>
          <w:tcPr>
            <w:tcW w:w="9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5,494,523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7,956,710</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b w:val="1"/>
                <w:bCs w:val="1"/>
                <w:color w:val="auto"/>
              </w:rPr>
              <w:t>Cash and cash equivalents, end of period</w:t>
            </w: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700" w:type="dxa"/>
            <w:vAlign w:val="bottom"/>
            <w:vMerge w:val="continue"/>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2,725,996</w:t>
            </w:r>
          </w:p>
        </w:tc>
        <w:tc>
          <w:tcPr>
            <w:tcW w:w="1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5,494,523</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Supplemental disclosures of noncash investing and financing information</w:t>
            </w:r>
          </w:p>
        </w:tc>
        <w:tc>
          <w:tcPr>
            <w:tcW w:w="6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Conversion of Series A preferred to common stock</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1,200,000</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Conversion of Series B preferred to common stock</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1,000,000</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Series A preferred convertible stock transaction costs included in accounts payable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71,493</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Series B preferred convertible stock transaction costs included in accounts payable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4"/>
                <w:szCs w:val="14"/>
                <w:color w:val="auto"/>
              </w:rPr>
              <w:t>52,290</w:t>
            </w:r>
          </w:p>
        </w:tc>
        <w:tc>
          <w:tcPr>
            <w:tcW w:w="14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Fixed asset purchases included in accounts payable</w:t>
            </w: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11,200</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De-recognition of Series B warrant liability through cash exercise</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6,747,765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De-recognition of Series B warrant liability through cashless exercise</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593,584</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w w:val="91"/>
              </w:rPr>
              <w:t>12,527,991</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De-recognition of Series A warrant liability through cash exercise</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42,000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Shares issued as consideration for BDDI patent purchase</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112,400</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Cashless exercise of 2010 and 2012 warrants</w:t>
            </w: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13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700" w:type="dxa"/>
            <w:vAlign w:val="bottom"/>
            <w:vMerge w:val="restart"/>
          </w:tcPr>
          <w:p>
            <w:pPr>
              <w:spacing w:after="0"/>
              <w:rPr>
                <w:sz w:val="20"/>
                <w:szCs w:val="20"/>
                <w:color w:val="auto"/>
              </w:rPr>
            </w:pPr>
            <w:r>
              <w:rPr>
                <w:rFonts w:ascii="Arial" w:cs="Arial" w:eastAsia="Arial" w:hAnsi="Arial"/>
                <w:sz w:val="14"/>
                <w:szCs w:val="14"/>
                <w:color w:val="auto"/>
              </w:rPr>
              <w:t>Contribution of Series B warrants</w:t>
            </w: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700" w:type="dxa"/>
            <w:vAlign w:val="bottom"/>
            <w:vMerge w:val="continue"/>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3,332</w:t>
            </w:r>
          </w:p>
        </w:tc>
        <w:tc>
          <w:tcPr>
            <w:tcW w:w="0" w:type="dxa"/>
            <w:vAlign w:val="bottom"/>
          </w:tcPr>
          <w:p>
            <w:pPr>
              <w:spacing w:after="0"/>
              <w:rPr>
                <w:sz w:val="1"/>
                <w:szCs w:val="1"/>
                <w:color w:val="auto"/>
              </w:rPr>
            </w:pPr>
          </w:p>
        </w:tc>
      </w:tr>
      <w:tr>
        <w:trPr>
          <w:trHeight w:val="20"/>
        </w:trPr>
        <w:tc>
          <w:tcPr>
            <w:tcW w:w="97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81" w:lineRule="exact"/>
        <w:rPr>
          <w:sz w:val="20"/>
          <w:szCs w:val="20"/>
          <w:color w:val="auto"/>
        </w:rPr>
      </w:pPr>
    </w:p>
    <w:p>
      <w:pPr>
        <w:jc w:val="both"/>
        <w:ind w:right="700" w:firstLine="913"/>
        <w:spacing w:after="0" w:line="286" w:lineRule="auto"/>
        <w:rPr>
          <w:sz w:val="20"/>
          <w:szCs w:val="20"/>
          <w:color w:val="auto"/>
        </w:rPr>
      </w:pPr>
      <w:r>
        <w:rPr>
          <w:rFonts w:ascii="Arial" w:cs="Arial" w:eastAsia="Arial" w:hAnsi="Arial"/>
          <w:sz w:val="17"/>
          <w:szCs w:val="17"/>
          <w:color w:val="auto"/>
        </w:rPr>
        <w:t>Soleno Therapeutics, Inc. (formerly known as Capnia, Inc.) (the “Company” or “Soleno”) was incorporated in the State of Delaware on August 25, 1999, and is located in Redwood City, California. The Company develops and commercializes neonatology devices and diagnostics. The Company also has a therapeutics platform based on its proprietary technology for precision metering of gas flow.</w:t>
      </w:r>
    </w:p>
    <w:p>
      <w:pPr>
        <w:spacing w:after="0" w:line="98" w:lineRule="exact"/>
        <w:rPr>
          <w:sz w:val="20"/>
          <w:szCs w:val="20"/>
          <w:color w:val="auto"/>
        </w:rPr>
      </w:pPr>
    </w:p>
    <w:p>
      <w:pPr>
        <w:jc w:val="both"/>
        <w:ind w:right="160" w:firstLine="913"/>
        <w:spacing w:after="0" w:line="259" w:lineRule="auto"/>
        <w:rPr>
          <w:sz w:val="20"/>
          <w:szCs w:val="20"/>
          <w:color w:val="auto"/>
        </w:rPr>
      </w:pPr>
      <w:r>
        <w:rPr>
          <w:rFonts w:ascii="Arial" w:cs="Arial" w:eastAsia="Arial" w:hAnsi="Arial"/>
          <w:sz w:val="18"/>
          <w:szCs w:val="18"/>
          <w:color w:val="auto"/>
        </w:rPr>
        <w:t>On September 2, 2015, the Company established NeoForce, Inc. (“NFI”), a wholly owned subsidiary incorporated in the State of Delaware. On September 8, 2015, NFI, acquired substantially all of the assets of an unrelated privately held company NeoForce Group, Inc. (“NeoForce”) in exchange for an upfront cash payment of $1.0 million and royalties on future sales. NeoForce develops innovative pulmonary resuscitation solutions for the inpatient and ambulatory neonatal markets that the Company is now marketing through NFI.</w:t>
      </w:r>
    </w:p>
    <w:p>
      <w:pPr>
        <w:spacing w:after="0" w:line="119"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On April 27, 2015, the Company established Capnia UK Limited, a wholly owned foreign subsidiary in the United Kingdom. The functional currency of the U.K. subsidiary is the British pound. There have been no significant activities for this entity to date.</w:t>
      </w:r>
    </w:p>
    <w:p>
      <w:pPr>
        <w:spacing w:after="0" w:line="89"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The Company’s most recent product to launch commercially utilizing precision metering of gas flow technology is Serenz</w:t>
      </w:r>
      <w:r>
        <w:rPr>
          <w:rFonts w:ascii="Arial" w:cs="Arial" w:eastAsia="Arial" w:hAnsi="Arial"/>
          <w:sz w:val="15"/>
          <w:szCs w:val="15"/>
          <w:color w:val="auto"/>
        </w:rPr>
        <w:t>®</w:t>
      </w:r>
      <w:r>
        <w:rPr>
          <w:rFonts w:ascii="Arial" w:cs="Arial" w:eastAsia="Arial" w:hAnsi="Arial"/>
          <w:sz w:val="18"/>
          <w:szCs w:val="18"/>
          <w:color w:val="auto"/>
        </w:rPr>
        <w:t xml:space="preserve"> Allergy Relief, or Serenz, which has a CE Mark certification for sale in the European Union (“E.U.”) Serenz is a proprietary handheld device that delivers non-inhaled CO2 topically to the nasal mucosa. Serenz is used only when needed, and does not need to be used on a scheduled basis. Pilot commercial sales of Serenz began in the U.K. and Ireland in the second quarter of 2016.</w:t>
      </w:r>
    </w:p>
    <w:p>
      <w:pPr>
        <w:spacing w:after="0" w:line="119" w:lineRule="exact"/>
        <w:rPr>
          <w:sz w:val="20"/>
          <w:szCs w:val="20"/>
          <w:color w:val="auto"/>
        </w:rPr>
      </w:pPr>
    </w:p>
    <w:p>
      <w:pPr>
        <w:ind w:right="140" w:firstLine="913"/>
        <w:spacing w:after="0" w:line="273" w:lineRule="auto"/>
        <w:rPr>
          <w:sz w:val="20"/>
          <w:szCs w:val="20"/>
          <w:color w:val="auto"/>
        </w:rPr>
      </w:pPr>
      <w:r>
        <w:rPr>
          <w:rFonts w:ascii="Arial" w:cs="Arial" w:eastAsia="Arial" w:hAnsi="Arial"/>
          <w:sz w:val="17"/>
          <w:szCs w:val="17"/>
          <w:color w:val="auto"/>
        </w:rPr>
        <w:t>The Company also sells CoSense</w:t>
      </w:r>
      <w:r>
        <w:rPr>
          <w:rFonts w:ascii="Arial" w:cs="Arial" w:eastAsia="Arial" w:hAnsi="Arial"/>
          <w:sz w:val="14"/>
          <w:szCs w:val="14"/>
          <w:color w:val="auto"/>
        </w:rPr>
        <w:t>®</w:t>
      </w:r>
      <w:r>
        <w:rPr>
          <w:rFonts w:ascii="Arial" w:cs="Arial" w:eastAsia="Arial" w:hAnsi="Arial"/>
          <w:sz w:val="17"/>
          <w:szCs w:val="17"/>
          <w:color w:val="auto"/>
        </w:rPr>
        <w:t>, which aids in diagnosis of excessive hemolysis, a condition in which red blood cells degrade rapidly. When present in neonates with jaundice, hemolysis is a dangerous condition which can lead to adverse neurological outcomes. CoSense has 510(k) clearance for sale in the U.S. with a specific Indication for Use related to hemolysis issued, and has received CE Mark certification for sale in the E.U. CoSense is commercially available in the U.S. In addition, the Company is applying its research and development efforts to additional diagnostic products based on its Sensalyze Technology Platform, a portfolio of proprietary methods and devices which enables CoSense and can be applied to detect a variety of analytes in exhaled breath and other products for the neonatology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 Financial Condition and Management’s Plans</w:t>
      </w:r>
    </w:p>
    <w:p>
      <w:pPr>
        <w:spacing w:after="0" w:line="94"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had a net loss of $12.1 million for the year ended December 31, 2016 and has an accumulated deficit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$98.3 million at December 31, 2016 from having incurred losses since its inception. The Company has approximately $2.1 million of working capital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and used approximately $13.5 million of cash in its operating activities during the year ended December 31, 2016. The Company has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financed its operations principally through issuances of equity securities.</w:t>
      </w:r>
    </w:p>
    <w:p>
      <w:pPr>
        <w:spacing w:after="0" w:line="130"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On July 24, 2015, the Company entered into the 2015 Aspire Purchase Agreement with Aspire Capital, which provides that, upon the terms and subject to the conditions and limitations set forth therein, Aspire Capital is committed to purchase up to an aggregate of $10.0 million in value of shares of the Company’s Common Stock over the 24-month term of the Aspire Purchase Agreement. During the quarter ended September 30, 2015, the Company issued an aggregate of 101,317 shares of Common Stock to Aspire Capital in exchange for approximately $1.4 million.</w:t>
      </w:r>
    </w:p>
    <w:p>
      <w:pPr>
        <w:spacing w:after="0" w:line="104"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On October 12, 2015, the Company entered into a 2015 Purchase Agreement with Sabby to purchase up to $10 million worth of Series A Convertible Preferred Stock (the “Preferred Stock”). The sale of the Preferred Stock took place in two separate closings. On October 15, 2015, the date of the first closing, the Company received proceeds of approximately $4.1 million, net of $0.4 million in estimated expenses. Upon the second closing, which closed on January 8, 2016, the Company received proceeds of approximately $5.0 million, net of $0.5 million in estimated expenses.</w:t>
      </w:r>
    </w:p>
    <w:p>
      <w:pPr>
        <w:spacing w:after="0" w:line="104"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On June 29, 2016, the Company entered into the 2016 Sabby Purchase Agreement with Sabby, pursuant to which the Company agreed to sell to Sabby, in a private placement, an aggregate of up to 13,780 shares of our Series B Convertible Preferred Stock at an aggregate purchase price of $13,780,000, which shares are convertible into 2,756,000 shares of our Common Stock, based on a fixed conversion price of $5.00 per share on an as-converted basis.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In connection with the</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2016 Sabby Purchase Agreement, the Company also repurchased an aggregate of 7,780 shares of Series A Convertible Preferred Stock held by Sabby for an aggregate amount of $7,780,000, which shares were originally purchased by Sabby under the 2015 Sabby Purchase Agreement and which shares represent 841,081 shares of Common Stock on an as-converted basis. The sale of the Series B Convertible Preferred Stock occurred in two separate closings. On July 5, 2016, the date of the first closing under the 2016 Sabby Purchase Agreement, the Company received proceeds of approximately $1.3 million, net of</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$0.1 million in estimated expenses. On September 29, 2016, the date of the second closing under the 2016 Sabby Purchase Agreement, the Company received proceeds of approximately $4.4 million, net of $0.3 million in estimated expenses. After repurchase of the Series A Convertible Preferred Stock and estimated transaction expenses, the Company received approximately $5.6 million of net proceeds (see Note 8).</w:t>
      </w:r>
    </w:p>
    <w:p>
      <w:pPr>
        <w:spacing w:after="0" w:line="10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On December 22, 2016, the Company entered into the Merger Agreement and Plan with Essentialis. Consummation of the merger was subject to various closing conditions, including our consummation of a financing of at least $8 million at, or substantially contemporaneous with, the closing of the merger, which occurred on March 7, 2017 and the receipt of stockholder approval of the merger at a special meeting of our stockholders, which the Company received on March 6, 2017 (see Note 14).</w:t>
      </w:r>
    </w:p>
    <w:p>
      <w:pPr>
        <w:spacing w:after="0" w:line="119"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our Common Stock over the 30-month term of the purchase agreement. Further, on the date of the closing of the financing, as defined in the Merger Agreement, the Company shall sell to Aspire Capital, and Aspire Capital shall purchase from the Company an aggregate of $2.0 million of the Company’s common stock (see Note 14).</w:t>
      </w:r>
    </w:p>
    <w:p>
      <w:pPr>
        <w:spacing w:after="0" w:line="107" w:lineRule="exact"/>
        <w:rPr>
          <w:sz w:val="20"/>
          <w:szCs w:val="20"/>
          <w:color w:val="auto"/>
        </w:rPr>
      </w:pPr>
    </w:p>
    <w:p>
      <w:pPr>
        <w:ind w:right="340" w:firstLine="913"/>
        <w:spacing w:after="0" w:line="342" w:lineRule="auto"/>
        <w:rPr>
          <w:sz w:val="20"/>
          <w:szCs w:val="20"/>
          <w:color w:val="auto"/>
        </w:rPr>
      </w:pPr>
      <w:r>
        <w:rPr>
          <w:rFonts w:ascii="Arial" w:cs="Arial" w:eastAsia="Arial" w:hAnsi="Arial"/>
          <w:sz w:val="16"/>
          <w:szCs w:val="16"/>
          <w:color w:val="auto"/>
        </w:rPr>
        <w:t>During the year ended December 31, 2016, the Company implemented plans to reduce its expenses, including reducing its workforce, eliminating outside consultants, reducing legal fees and implementing a plan to allow Board members to receive common stock, in lieu of cash payments.</w:t>
      </w:r>
    </w:p>
    <w:p>
      <w:pPr>
        <w:spacing w:after="0" w:line="56"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Company expects to continue incurring losses for the foreseeable future and may be required to raise additional capital to complete its clinical trials, pursue product development initiatives and penetrate markets for the sale of its products. Management believes that the Company’s commercial products, including CoSense, the other neonatology products and Serenz, and the distribution strategies implemented will begin to generate meaningful revenue and corresponding cash. In addition, the Company has been successful over the last 12 months in raising additional capital including the completed closings pursuant to the 2015 Sabby Purchase Agreement, the 2016 Sabby Purchase Agreement on June 29, 2016 and the financing completed as part of the merger with Essentialis. Management believes that the Company will continue to have access to capital resources through possible public or private equity offerings, debt financings, corporate collaborations or other means. If the Company is unable to secure additional capital, it may be required to curtail its clinical trials and development of new products and take additional measures to reduce costs in order to conserve its cash in amounts sufficient to sustain operations and meet its obligations. These measures could cause significant delays in the Company’s efforts to complete its clinical trials and commercialize its products, which is critical to the realization of its business plan and the future operations of the Company.</w:t>
      </w:r>
    </w:p>
    <w:p>
      <w:pPr>
        <w:spacing w:after="0" w:line="102" w:lineRule="exact"/>
        <w:rPr>
          <w:sz w:val="20"/>
          <w:szCs w:val="20"/>
          <w:color w:val="auto"/>
        </w:rPr>
      </w:pPr>
    </w:p>
    <w:p>
      <w:pPr>
        <w:ind w:right="660" w:firstLine="913"/>
        <w:spacing w:after="0" w:line="308" w:lineRule="auto"/>
        <w:rPr>
          <w:sz w:val="20"/>
          <w:szCs w:val="20"/>
          <w:color w:val="auto"/>
        </w:rPr>
      </w:pPr>
      <w:r>
        <w:rPr>
          <w:rFonts w:ascii="Arial" w:cs="Arial" w:eastAsia="Arial" w:hAnsi="Arial"/>
          <w:sz w:val="17"/>
          <w:szCs w:val="17"/>
          <w:color w:val="auto"/>
        </w:rPr>
        <w:t>Management believes that the Company has sufficient capital resources, after considering the $10 million of financing that the Company received on March 7, 2017 (see Note 14) to sustain operations through at least the next twelve months from the date of this filing.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50" w:lineRule="exact"/>
        <w:rPr>
          <w:sz w:val="20"/>
          <w:szCs w:val="20"/>
          <w:color w:val="auto"/>
        </w:rPr>
      </w:pPr>
    </w:p>
    <w:p>
      <w:pPr>
        <w:ind w:right="420" w:firstLine="913"/>
        <w:spacing w:after="0" w:line="308" w:lineRule="auto"/>
        <w:rPr>
          <w:sz w:val="20"/>
          <w:szCs w:val="20"/>
          <w:color w:val="auto"/>
        </w:rPr>
      </w:pPr>
      <w:r>
        <w:rPr>
          <w:rFonts w:ascii="Arial" w:cs="Arial" w:eastAsia="Arial" w:hAnsi="Arial"/>
          <w:sz w:val="17"/>
          <w:szCs w:val="17"/>
          <w:color w:val="auto"/>
        </w:rPr>
        <w:t>The accompanying consolidated financial statements have been prepared in accordance with accounting principles generally accepted in the United States of America (“GAAP”) and the applicable rules and regulations of the Securities and Exchange Commission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5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GAAP and include the accounts of the Company and its wholly-owned subsidiaries. All intercompany transactions and balances have been eliminated in consolidation.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36"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 estimates. Key estimates included in the financial statements include the valuation of deferred income tax assets, the valuation of financial instruments, stock-based compensation, value and life of acquired intangibles, and allowances for accounts receivable and inventory.</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right="500" w:firstLine="913"/>
        <w:spacing w:after="0" w:line="312"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and cash equivalents at two commercial banks that management believes are of high credit quality. Cash and cash equivalents deposited with these commercial banks exceeded the Federal Deposit Insurance Corporation insurable limit at December 31, 2016 and December 31, 2015. The Company expects this to continue.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77" w:lineRule="exact"/>
        <w:rPr>
          <w:sz w:val="20"/>
          <w:szCs w:val="20"/>
          <w:color w:val="auto"/>
        </w:rPr>
      </w:pPr>
    </w:p>
    <w:p>
      <w:pPr>
        <w:ind w:right="460" w:firstLine="913"/>
        <w:spacing w:after="0" w:line="342" w:lineRule="auto"/>
        <w:rPr>
          <w:sz w:val="20"/>
          <w:szCs w:val="20"/>
          <w:color w:val="auto"/>
        </w:rPr>
      </w:pPr>
      <w:r>
        <w:rPr>
          <w:rFonts w:ascii="Arial" w:cs="Arial" w:eastAsia="Arial" w:hAnsi="Arial"/>
          <w:sz w:val="16"/>
          <w:szCs w:val="16"/>
          <w:color w:val="auto"/>
        </w:rPr>
        <w:t>The Company operates in one segment. Management uses one measurement of profitability and does not segregate its business for internal reporting, making operating decisions, and assessing financial performance. All long-lived assets are maintained in the United States of America.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7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Company considers all highly liquid investments, including its money market fund, purchased with an original maturity of three months or less to be cash equivalents. The Company’s cash and cash equivalents are held in institutions in the U.S. and the U.K. and include deposits in a money market fund which was unrestricted as to withdrawal or use. Restricted cash is security of the Company credit card.</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90"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Accounts receivable as of December 31, 2016 consist of balances due from customers in the normal course of business. The Company did not record an allowance for doubtful accounts as this balance was deemed fully collectible.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are classified as Assets Held for Sale. See Note 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9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Prepaid expenses and other current assets consist of payments primarily related to insurance and short-term deposits. Prepaid expenses are initially recorded upon payment and are expensed as goods or services are received.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77" w:lineRule="exact"/>
        <w:rPr>
          <w:sz w:val="20"/>
          <w:szCs w:val="20"/>
          <w:color w:val="auto"/>
        </w:rPr>
      </w:pPr>
    </w:p>
    <w:p>
      <w:pPr>
        <w:ind w:right="540" w:firstLine="913"/>
        <w:spacing w:after="0" w:line="264" w:lineRule="auto"/>
        <w:rPr>
          <w:sz w:val="20"/>
          <w:szCs w:val="20"/>
          <w:color w:val="auto"/>
        </w:rPr>
      </w:pPr>
      <w:r>
        <w:rPr>
          <w:rFonts w:ascii="Arial" w:cs="Arial" w:eastAsia="Arial" w:hAnsi="Arial"/>
          <w:sz w:val="18"/>
          <w:szCs w:val="18"/>
          <w:color w:val="auto"/>
        </w:rPr>
        <w:t>Inventory as of December 31, 2016 consisted of raw materials to be used in the assembly of our products. As of December 31, 2016, the Company’s inventory includes approximately $382 thousand of raw material, $101 thousand of work-in-process and $177 thousand of finished goods. Inventory is stated at the lower of cost or market under the first-in, first-out (FIFO) method.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Inventory is classified as Assets Held for Sale. See Note 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w:t>
      </w:r>
    </w:p>
    <w:p>
      <w:pPr>
        <w:spacing w:after="0" w:line="77" w:lineRule="exact"/>
        <w:rPr>
          <w:sz w:val="20"/>
          <w:szCs w:val="20"/>
          <w:color w:val="auto"/>
        </w:rPr>
      </w:pPr>
    </w:p>
    <w:p>
      <w:pPr>
        <w:ind w:right="60" w:firstLine="913"/>
        <w:spacing w:after="0" w:line="291" w:lineRule="auto"/>
        <w:rPr>
          <w:sz w:val="20"/>
          <w:szCs w:val="20"/>
          <w:color w:val="auto"/>
        </w:rPr>
      </w:pPr>
      <w:r>
        <w:rPr>
          <w:rFonts w:ascii="Arial" w:cs="Arial" w:eastAsia="Arial" w:hAnsi="Arial"/>
          <w:sz w:val="16"/>
          <w:szCs w:val="16"/>
          <w:color w:val="auto"/>
        </w:rPr>
        <w:t>On June 30, 2015, the Company entered into an amendment of the BDDI Asset Purchase Agreement, under which the Company committed to pay aggregate cash payments of $450,000 and issued 8,000 shares of Common Stock to an affiliate of BDDI. With respect to the aggregate cash payments of $450,000, the Company paid an affiliate of BDDI an initial sum of $150,000 on July 1, 2015, and is obligated to pay $100,000 on each of the six, twelve and eighteen-month anniversaries of the signing of the amended agreement. The Company made the final installment of $100,000 on December 22, 2016. Under the original Asset Purchase Agreement dated June 11, 2010, the Company purchased a patent for Breath End Tidal Gas Monitor. The patent was issued on June 19, 2003 and expires on August 1, 2027. The Company has capitalized the fair value of the patent purchased as an intangible asset on its consolidated balance sheet, and is amortizing the fair value over the remaining useful life of the patent.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Patent is reported as an Intangible Asset and classified as Assets Held for Sale. See Note 14.</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These standards require that the total cost of an acquisition be allocated to the tangible and intangible assets acquired and liabilities assumed</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their respective fair values at the date of acquisition. The allocation of the purchase price is dependent upon certain valuations and other studies. Acquisition costs are expensed as incurred.</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380"/>
          </w:cols>
          <w:pgMar w:left="240" w:top="459" w:right="2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offset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Property and equipment are stated at cost net of accumulated depreciation and amortization calculated using the straight-line method over the estimated useful lives of the assets, generally between three and five years. Leasehold improvements are amortized on a straight-line basis over the lesser of their useful life or the remaining term of the lease. Maintenance and repairs are charged to expense as incurred, and improvements are capitalized. When assets are retired or otherwise disposed of, the cost and accumulated depreciation are removed from the balance sheet and any resulting gain or loss is reflected in operations in the period realized.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property and equipment are classified as Assets Held for Sale. See Note 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Company reviews its long-lived assets for impairment annually and whenever events or changes in circumstances indicate that the carrying amount of the assets may not be fully recoverable. The Company evaluates assets for potential impairment by comparing estimated future undiscounted net cash flows to the carrying amount of the asset. If the carrying amount of the assets exceeds the estimated future undiscounted cash flows, impairment is measured based on the difference between the carrying amount of the assets and fair value.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are classified as Assets Held for Sale. See Note 14.</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Intangible assets consist of the following at December 31, 2016:</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8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93"/>
              </w:rPr>
              <w:t>Net Amount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7"/>
              </w:rPr>
              <w:t>Useful Lives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280" w:type="dxa"/>
            <w:vAlign w:val="bottom"/>
            <w:gridSpan w:val="3"/>
            <w:vMerge w:val="continue"/>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$697,890</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(105,524)</w:t>
            </w:r>
          </w:p>
        </w:tc>
        <w:tc>
          <w:tcPr>
            <w:tcW w:w="5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592,366</w:t>
            </w: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Customer contracts</w:t>
            </w:r>
          </w:p>
        </w:tc>
        <w:tc>
          <w:tcPr>
            <w:tcW w:w="700" w:type="dxa"/>
            <w:vAlign w:val="bottom"/>
          </w:tcPr>
          <w:p>
            <w:pPr>
              <w:jc w:val="right"/>
              <w:spacing w:after="0"/>
              <w:rPr>
                <w:sz w:val="20"/>
                <w:szCs w:val="20"/>
                <w:color w:val="auto"/>
              </w:rPr>
            </w:pPr>
            <w:r>
              <w:rPr>
                <w:rFonts w:ascii="Arial" w:cs="Arial" w:eastAsia="Arial" w:hAnsi="Arial"/>
                <w:sz w:val="18"/>
                <w:szCs w:val="18"/>
                <w:color w:val="auto"/>
              </w:rPr>
              <w:t>259,730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color w:val="auto"/>
              </w:rPr>
              <w:t>(34,631)</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225,099</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957,620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(140,155)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817,465</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Future amortization expense for intangible assets over their remaining useful lives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60" w:type="dxa"/>
            <w:vAlign w:val="bottom"/>
            <w:vMerge w:val="restart"/>
          </w:tcPr>
          <w:p>
            <w:pPr>
              <w:spacing w:after="0"/>
              <w:rPr>
                <w:sz w:val="20"/>
                <w:szCs w:val="20"/>
                <w:color w:val="auto"/>
              </w:rPr>
            </w:pPr>
            <w:r>
              <w:rPr>
                <w:rFonts w:ascii="Arial" w:cs="Arial" w:eastAsia="Arial" w:hAnsi="Arial"/>
                <w:sz w:val="14"/>
                <w:szCs w:val="14"/>
                <w:b w:val="1"/>
                <w:bCs w:val="1"/>
                <w:color w:val="auto"/>
                <w:w w:val="93"/>
              </w:rPr>
              <w:t>Year ending December 31:</w:t>
            </w:r>
          </w:p>
        </w:tc>
        <w:tc>
          <w:tcPr>
            <w:tcW w:w="3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Patents and</w:t>
            </w:r>
          </w:p>
        </w:tc>
        <w:tc>
          <w:tcPr>
            <w:tcW w:w="15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Customer contracts</w:t>
            </w:r>
          </w:p>
        </w:tc>
        <w:tc>
          <w:tcPr>
            <w:tcW w:w="360" w:type="dxa"/>
            <w:vAlign w:val="bottom"/>
          </w:tcPr>
          <w:p>
            <w:pPr>
              <w:spacing w:after="0"/>
              <w:rPr>
                <w:sz w:val="14"/>
                <w:szCs w:val="14"/>
                <w:color w:val="auto"/>
              </w:rPr>
            </w:pPr>
          </w:p>
        </w:tc>
        <w:tc>
          <w:tcPr>
            <w:tcW w:w="12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2"/>
              </w:rPr>
              <w:t>Total Amortization</w:t>
            </w:r>
          </w:p>
        </w:tc>
        <w:tc>
          <w:tcPr>
            <w:tcW w:w="0" w:type="dxa"/>
            <w:vAlign w:val="bottom"/>
          </w:tcPr>
          <w:p>
            <w:pPr>
              <w:spacing w:after="0"/>
              <w:rPr>
                <w:sz w:val="1"/>
                <w:szCs w:val="1"/>
                <w:color w:val="auto"/>
              </w:rPr>
            </w:pPr>
          </w:p>
        </w:tc>
      </w:tr>
      <w:tr>
        <w:trPr>
          <w:trHeight w:val="171"/>
        </w:trPr>
        <w:tc>
          <w:tcPr>
            <w:tcW w:w="166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trademarks</w:t>
            </w:r>
          </w:p>
        </w:tc>
        <w:tc>
          <w:tcPr>
            <w:tcW w:w="158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3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73,370</w:t>
            </w:r>
          </w:p>
        </w:tc>
        <w:tc>
          <w:tcPr>
            <w:tcW w:w="7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25,973</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99,343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2018</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73,370</w:t>
            </w:r>
          </w:p>
        </w:tc>
        <w:tc>
          <w:tcPr>
            <w:tcW w:w="3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25,973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99,343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73,370</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25,973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99,343</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2020</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64,310</w:t>
            </w:r>
          </w:p>
        </w:tc>
        <w:tc>
          <w:tcPr>
            <w:tcW w:w="36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25,973</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90,283</w:t>
            </w: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46,192</w:t>
            </w:r>
          </w:p>
        </w:tc>
        <w:tc>
          <w:tcPr>
            <w:tcW w:w="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25,973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72,165</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2022 and thereafter</w:t>
            </w:r>
          </w:p>
        </w:tc>
        <w:tc>
          <w:tcPr>
            <w:tcW w:w="3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261,754</w:t>
            </w: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95,234</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356,988</w:t>
            </w:r>
          </w:p>
        </w:tc>
        <w:tc>
          <w:tcPr>
            <w:tcW w:w="0" w:type="dxa"/>
            <w:vAlign w:val="bottom"/>
          </w:tcPr>
          <w:p>
            <w:pPr>
              <w:spacing w:after="0"/>
              <w:rPr>
                <w:sz w:val="1"/>
                <w:szCs w:val="1"/>
                <w:color w:val="auto"/>
              </w:rPr>
            </w:pPr>
          </w:p>
        </w:tc>
      </w:tr>
      <w:tr>
        <w:trPr>
          <w:trHeight w:val="27"/>
        </w:trPr>
        <w:tc>
          <w:tcPr>
            <w:tcW w:w="16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592,366</w:t>
            </w: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225,099</w:t>
            </w:r>
          </w:p>
        </w:tc>
        <w:tc>
          <w:tcPr>
            <w:tcW w:w="7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817,465</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660" w:type="dxa"/>
            <w:vAlign w:val="bottom"/>
          </w:tcPr>
          <w:p>
            <w:pPr>
              <w:spacing w:after="0"/>
              <w:rPr>
                <w:sz w:val="24"/>
                <w:szCs w:val="24"/>
                <w:color w:val="auto"/>
              </w:rPr>
            </w:pPr>
          </w:p>
        </w:tc>
        <w:tc>
          <w:tcPr>
            <w:tcW w:w="3440" w:type="dxa"/>
            <w:vAlign w:val="bottom"/>
            <w:gridSpan w:val="2"/>
          </w:tcPr>
          <w:p>
            <w:pPr>
              <w:ind w:left="2960"/>
              <w:spacing w:after="0"/>
              <w:rPr>
                <w:sz w:val="20"/>
                <w:szCs w:val="20"/>
                <w:color w:val="auto"/>
              </w:rPr>
            </w:pPr>
            <w:r>
              <w:rPr>
                <w:rFonts w:ascii="Arial" w:cs="Arial" w:eastAsia="Arial" w:hAnsi="Arial"/>
                <w:sz w:val="18"/>
                <w:szCs w:val="18"/>
                <w:color w:val="auto"/>
              </w:rPr>
              <w:t>F-10</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Amortization expense for the years ended December 31, 2016 and December 31, 2105 was $99,343 and 40,813,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20" w:firstLine="913"/>
        <w:spacing w:after="0" w:line="289"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implied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did not perform the qualitative assessment, but made its determination using the quantitative approach for goodwill impairment. Using the quantitative approach, the Company determined that there was no impairment of goodwill for the year ended December 31, 2016.</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is classified as Assets Held for Sale. See Note 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913"/>
        <w:spacing w:after="0" w:line="277" w:lineRule="auto"/>
        <w:rPr>
          <w:sz w:val="20"/>
          <w:szCs w:val="20"/>
          <w:color w:val="auto"/>
        </w:rPr>
      </w:pPr>
      <w:r>
        <w:rPr>
          <w:rFonts w:ascii="Arial" w:cs="Arial" w:eastAsia="Arial" w:hAnsi="Arial"/>
          <w:sz w:val="18"/>
          <w:szCs w:val="18"/>
          <w:color w:val="auto"/>
        </w:rPr>
        <w:t>The Company began recognizing sales of CoSense during the year ended December 31, 2015. In addition, the Company began recognizing sales of NFI pulmonary resuscitation products after the acquisition of Neoforce’s assets in September 2015.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recognizes revenue when all of the following criteria are met:</w:t>
      </w:r>
    </w:p>
    <w:p>
      <w:pPr>
        <w:spacing w:after="0" w:line="131" w:lineRule="exact"/>
        <w:rPr>
          <w:sz w:val="20"/>
          <w:szCs w:val="20"/>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sales price is fixed or determinable;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collection of the relevant receivable is probable at the time of sale;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spacing w:after="0" w:line="225"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a majority of sales, where the Company delivers its product to hospitals or medical facilities, the Company recognizes revenue upon delivery, which represents satisfaction of the required revenue recognition criteria. The Company does not offer rights of return or price protection and it has no post-delivery obligations. The Company offers a limited one-year warranty to most customers. Estimated warranty obligations are recorded at the time of sale and to date, warranty costs have been insignificant.</w:t>
      </w:r>
    </w:p>
    <w:p>
      <w:pPr>
        <w:spacing w:after="0" w:line="187"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The Company also recognized revenue related to a government grant awarded during the year ended December 31, 2015. There were no government grants awarded during the year ended December 31, 2016. Government grants provide funds for certain types of expenditures in connection with research and development activities over a contractually defined period. Revenue related to government grants is recognized in the period during which the related costs are incurred and the related services are rendered, provided that the applicable performance obligations under the government grants have been met. Funds received under government grants are recorded as revenue if the Company is deemed to be the principal participant in the contract arrangements because the activities under the contracts are part of the Company’s development programs. If the Company is not the principal participant, the funds from government grants are recorded as a reduction to research and development expense. Funds received from government grants are not refundable and are recognized when the related qualified research and development expenses are incurred and when there is reasonable assurance that the funds will be received.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Revenues are reported as Discontinued Operations. See Note 14.</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firstLine="913"/>
        <w:spacing w:after="0" w:line="308" w:lineRule="auto"/>
        <w:rPr>
          <w:sz w:val="20"/>
          <w:szCs w:val="20"/>
          <w:color w:val="auto"/>
        </w:rPr>
      </w:pPr>
      <w:r>
        <w:rPr>
          <w:rFonts w:ascii="Arial" w:cs="Arial" w:eastAsia="Arial" w:hAnsi="Arial"/>
          <w:sz w:val="17"/>
          <w:szCs w:val="17"/>
          <w:color w:val="auto"/>
        </w:rPr>
        <w:t>Research and development costs are charged to operations as incurred. Research and development costs consist primarily of salaries and benefits, consultant fees, prototype expenses, certain facility costs and other costs associated with clinical trials, net of reimbursed amounts.</w:t>
      </w:r>
    </w:p>
    <w:p>
      <w:pPr>
        <w:spacing w:after="0" w:line="147"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Costs to acquire technologies to be used in research and development that have not reached technological feasibility and have no alternative future use are expensed to research and development costs when incurred.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Research and Development expenses are reported as Discontinued Operations. See Note 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The Company accounts for income taxes using the asset and liability method. Under this method, deferred income tax assets and liabilities are recorded based on the estimated future tax effects of differences between the amounts at which assets and liabilities are recorded for financial reporting purposes and the amounts recorded for income tax purposes. A valuation allowance is provided against the Company’s deferred income tax assets when their realization is not reasonably assured.</w:t>
      </w:r>
    </w:p>
    <w:p>
      <w:pPr>
        <w:spacing w:after="0" w:line="187"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The Company assesses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the Company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might change as new information becomes available.</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loss from discontinued operations is reported net of the related effect for income taxes in the Statement of Operations.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Preferred Stock and other Hybrid Instruments</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The Company’s convertible preferred stock was classified as permanent equity on its balance sheet in accordance with authoritative guidance for the classification and measurement of hybrid securities and distinguishing liability from equity instruments. The preferred stock is not redeemable at the option of the holder.</w:t>
      </w:r>
    </w:p>
    <w:p>
      <w:pPr>
        <w:spacing w:after="0" w:line="181" w:lineRule="exact"/>
        <w:rPr>
          <w:sz w:val="20"/>
          <w:szCs w:val="20"/>
          <w:color w:val="auto"/>
        </w:rPr>
      </w:pPr>
    </w:p>
    <w:p>
      <w:pPr>
        <w:ind w:right="100" w:firstLine="913"/>
        <w:spacing w:after="0" w:line="285" w:lineRule="auto"/>
        <w:rPr>
          <w:sz w:val="20"/>
          <w:szCs w:val="20"/>
          <w:color w:val="auto"/>
        </w:rPr>
      </w:pPr>
      <w:r>
        <w:rPr>
          <w:rFonts w:ascii="Arial" w:cs="Arial" w:eastAsia="Arial" w:hAnsi="Arial"/>
          <w:sz w:val="16"/>
          <w:szCs w:val="16"/>
          <w:color w:val="auto"/>
        </w:rPr>
        <w:t xml:space="preserve">Further, the Company evaluated its Series A and Series B Convertible Preferred Stock and determined that it is considered an equity host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In making this determination, the Company’s analysis followed the whole instrument approach which compares an individual feature against the entire preferred stock instrument which includes that feature. The Company’s analysis was based on a consideration of the economic characteristics and risks of each series of preferred stock. More specifically, the Company evaluated all of the stated and implied substantive terms and features, including (i) whether the preferred stock included redemption features, (ii) how and when any redemption features could be exercised,</w:t>
      </w:r>
    </w:p>
    <w:p>
      <w:pPr>
        <w:spacing w:after="0" w:line="2" w:lineRule="exact"/>
        <w:rPr>
          <w:sz w:val="20"/>
          <w:szCs w:val="20"/>
          <w:color w:val="auto"/>
        </w:rPr>
      </w:pPr>
    </w:p>
    <w:p>
      <w:pPr>
        <w:ind w:right="140" w:firstLine="8"/>
        <w:spacing w:after="0" w:line="254" w:lineRule="auto"/>
        <w:tabs>
          <w:tab w:leader="none" w:pos="31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whether the holders of preferred stock were entitled to dividends, (iv) the voting rights of the preferred stock and (v) the existence and nature of any conversion rights. As a result of the Company’s conclusion that the preferred stock represents an equity host, the conversion feature of all series of preferred stock is considered to be clearly and closely related to the associated preferred stock host instrument. Accordingly, the conversion feature in the preferred stock is not considered an embedded derivative that requires bifurcation.</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Company classifies Common Stock purchase warrants and other free standing derivative financial instruments as equity if the contracts</w:t>
      </w:r>
    </w:p>
    <w:p>
      <w:pPr>
        <w:spacing w:after="0" w:line="46" w:lineRule="exact"/>
        <w:rPr>
          <w:sz w:val="20"/>
          <w:szCs w:val="20"/>
          <w:color w:val="auto"/>
        </w:rPr>
      </w:pPr>
    </w:p>
    <w:p>
      <w:pPr>
        <w:ind w:right="80" w:firstLine="8"/>
        <w:spacing w:after="0" w:line="287" w:lineRule="auto"/>
        <w:tabs>
          <w:tab w:leader="none" w:pos="215" w:val="left"/>
        </w:tabs>
        <w:numPr>
          <w:ilvl w:val="0"/>
          <w:numId w:val="79"/>
        </w:numPr>
        <w:rPr>
          <w:rFonts w:ascii="Arial" w:cs="Arial" w:eastAsia="Arial" w:hAnsi="Arial"/>
          <w:sz w:val="16"/>
          <w:szCs w:val="16"/>
          <w:color w:val="auto"/>
        </w:rPr>
      </w:pPr>
      <w:r>
        <w:rPr>
          <w:rFonts w:ascii="Arial" w:cs="Arial" w:eastAsia="Arial" w:hAnsi="Arial"/>
          <w:sz w:val="16"/>
          <w:szCs w:val="16"/>
          <w:color w:val="auto"/>
        </w:rPr>
        <w:t>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principally consist of Series A, Series B, and Series C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For stock options granted to employees, the Company recognizes compensation expense for all stock-based awards based on the estimated fair value on the date of grant. The value of the portion of the award that is ultimately expected to vest is recognized as expense ratably over the requisite service period. The fair value of stock options is determined using the Black-Scholes option pricing model. The determination of fair value for stock-based awards on the date of grant using an option pricing model requires management to make certain assumptions regarding a number of complex and subjective variables.</w:t>
      </w:r>
    </w:p>
    <w:p>
      <w:pPr>
        <w:spacing w:after="0" w:line="114"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Stock-based compensation expense related to stock options granted to non-employees is recognized based on the fair value of the stock options, determined using the Black-Scholes option pricing model, as they are earned. The awards generally vest over the time period the Company expects to receive services from the non-employee.</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60" w:firstLine="913"/>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or other standard setting bodies and adopted by us as of the specified effective date. Unless otherwise discussed, the impact of recently issued standards that are not yet effective will not have a material impact on the Company’s financial position or results of operations upon adoption.</w:t>
      </w:r>
    </w:p>
    <w:p>
      <w:pPr>
        <w:spacing w:after="0" w:line="141" w:lineRule="exact"/>
        <w:rPr>
          <w:sz w:val="20"/>
          <w:szCs w:val="20"/>
          <w:color w:val="auto"/>
        </w:rPr>
      </w:pPr>
    </w:p>
    <w:p>
      <w:pPr>
        <w:ind w:right="120" w:firstLine="913"/>
        <w:spacing w:after="0" w:line="257" w:lineRule="auto"/>
        <w:rPr>
          <w:sz w:val="20"/>
          <w:szCs w:val="20"/>
          <w:color w:val="auto"/>
        </w:rPr>
      </w:pPr>
      <w:r>
        <w:rPr>
          <w:rFonts w:ascii="Arial" w:cs="Arial" w:eastAsia="Arial" w:hAnsi="Arial"/>
          <w:sz w:val="18"/>
          <w:szCs w:val="18"/>
          <w:color w:val="auto"/>
        </w:rPr>
        <w:t xml:space="preserve">In January 2017, the Financial Accounting Standard Board (the “FASB”) issued Accounting Standards Update (ASU) 2017-04: </w:t>
      </w:r>
      <w:r>
        <w:rPr>
          <w:rFonts w:ascii="Arial" w:cs="Arial" w:eastAsia="Arial" w:hAnsi="Arial"/>
          <w:sz w:val="18"/>
          <w:szCs w:val="18"/>
          <w:i w:val="1"/>
          <w:iCs w:val="1"/>
          <w:color w:val="auto"/>
        </w:rPr>
        <w:t>“Intangibles -</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Goodwill and Other (Topic 350): Simplifying the Test for Goodwill Impairment ” </w:t>
      </w:r>
      <w:r>
        <w:rPr>
          <w:rFonts w:ascii="Arial" w:cs="Arial" w:eastAsia="Arial" w:hAnsi="Arial"/>
          <w:sz w:val="18"/>
          <w:szCs w:val="18"/>
          <w:color w:val="auto"/>
        </w:rPr>
        <w:t>(“ASU 2017-04”), which removes Step 2 from the goodwill impairment</w:t>
      </w:r>
      <w:r>
        <w:rPr>
          <w:rFonts w:ascii="Arial" w:cs="Arial" w:eastAsia="Arial" w:hAnsi="Arial"/>
          <w:sz w:val="18"/>
          <w:szCs w:val="18"/>
          <w:i w:val="1"/>
          <w:iCs w:val="1"/>
          <w:color w:val="auto"/>
        </w:rPr>
        <w:t xml:space="preserve"> </w:t>
      </w:r>
      <w:r>
        <w:rPr>
          <w:rFonts w:ascii="Arial" w:cs="Arial" w:eastAsia="Arial" w:hAnsi="Arial"/>
          <w:sz w:val="18"/>
          <w:szCs w:val="18"/>
          <w:color w:val="auto"/>
        </w:rPr>
        <w:t>test. It is effective for annual and interim periods beginning after December 15, 2019. Early adoption is permitted for interim or annual goodwill impairment test performed with a measurement date after January 1, 2017. The Company expects that this new guidance will have an impact on its financial positions or results of operations, but the impact will not be material.</w:t>
      </w:r>
    </w:p>
    <w:p>
      <w:pPr>
        <w:spacing w:after="0" w:line="148"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The Company does not expect this new guidance to have a material impact on its financial position, results of operations or financial statement disclosures.</w:t>
      </w:r>
    </w:p>
    <w:p>
      <w:pPr>
        <w:spacing w:after="0" w:line="166"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xml:space="preserve"> “(ASU 2016-18”). The update is effective for fiscal years beginning after December 15, 2017, including interim reporting periods within those fiscal years. Early adoption is permitted. The purpose of Update No. 2016-18 is to clarify guidance and presentation related to restricted cash in the statement of cash flows. The amendment requires beginning-of-period and end-of-period total amounts shown on the statement of cash flows to include cash and cash equivalents as well as restricted cash and restricted cash equivalents. The Company is in the process of determining the effect that the adoption will have on its financial position, results of operations or financial statement disclosures.</w:t>
      </w:r>
    </w:p>
    <w:p>
      <w:pPr>
        <w:spacing w:after="0" w:line="153"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In October 2016, the FASB issued updated guidance related to the recognition of income tax consequences of an intra-entity transfer of an asset other than inventory. This guidance will be effective for the first quarter of tax year 2018; however, early adoption is permitted. The Company is evaluating the impact that this guidance will have its consolidated financial statements.</w:t>
      </w:r>
    </w:p>
    <w:p>
      <w:pPr>
        <w:spacing w:after="0" w:line="141"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xml:space="preserve"> (“ASU 2016-15”), which seeks to reduce the existing diversity in practice in how certain cash receipts and cash payments are presented and classified in the statement of cash flows. For public entities, Update 2016-15 becomes effective for fiscal years beginning after December 15, 2017, including interim periods within those fiscal years, with early adoption permitted. The Company is currently evaluating the provisions of Update 2016-15 and assessing the impact, if any, it may have on its financial position, results of operations, cash flows or financial statement disclosures.</w:t>
      </w:r>
    </w:p>
    <w:p>
      <w:pPr>
        <w:spacing w:after="0" w:line="16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In March 2016, the FASB issued ASU 2016-09, “</w:t>
      </w:r>
      <w:r>
        <w:rPr>
          <w:rFonts w:ascii="Arial" w:cs="Arial" w:eastAsia="Arial" w:hAnsi="Arial"/>
          <w:sz w:val="17"/>
          <w:szCs w:val="17"/>
          <w:i w:val="1"/>
          <w:iCs w:val="1"/>
          <w:color w:val="auto"/>
        </w:rPr>
        <w:t>Compensation - Stock Compensation (Topic 718)”</w:t>
      </w:r>
      <w:r>
        <w:rPr>
          <w:rFonts w:ascii="Arial" w:cs="Arial" w:eastAsia="Arial" w:hAnsi="Arial"/>
          <w:sz w:val="17"/>
          <w:szCs w:val="17"/>
          <w:color w:val="auto"/>
        </w:rPr>
        <w:t xml:space="preserve"> (“ASU 2016-09”), which seeks to simplify accounting for share-based payment transactions including income tax consequences, classification of awards as either equity or liabilities, and the classification on the statement of cash flows. For public entities, Update 2016-09 becomes effective for fiscal years beginning after December 15, 2016, including interim periods within those fiscal years, with early adoption permitted. Early adoption is permitted. The Company has not yet determined the effect that ASU 2016-09 will have on its financial position, results of operations or financial statement disclosures.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March 2016, the FASB issued guidance that involves several aspects of the accounting for share-based payment transactions, including the income tax consequences, classification of awards as either equity or liabilities, and classification on the statement of cash flows. This guidance will be effective for the first quarter of tax year 2017; however, early adoption is permitted. The Company is evaluating the impact that this guidance will have on its consolidated financial statements.</w:t>
      </w:r>
    </w:p>
    <w:p>
      <w:pPr>
        <w:spacing w:after="0" w:line="187"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new standard provides guidance intended to improve financial reporting about leasing transaction. The ASU affects all companies that lease assets such as real estate, airplanes and manufacturing equipment. The ASU will require companies that lease assets to recognize on the balance sheet the assets and liabilities for the rights and obligations created by those leases. The new standard will take effect for fiscal years, and interim periods with those fiscal years, beginning after December 15, 2018. Early adoption is permitted. We have not determined the potential effects of this ASU on our consolidated financial statements.</w:t>
      </w:r>
    </w:p>
    <w:p>
      <w:pPr>
        <w:spacing w:after="0" w:line="173"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In January 2016, the FASB issued ASU 2016-01, “</w:t>
      </w:r>
      <w:r>
        <w:rPr>
          <w:rFonts w:ascii="Arial" w:cs="Arial" w:eastAsia="Arial" w:hAnsi="Arial"/>
          <w:sz w:val="16"/>
          <w:szCs w:val="16"/>
          <w:i w:val="1"/>
          <w:iCs w:val="1"/>
          <w:color w:val="auto"/>
        </w:rPr>
        <w:t>Recognition and Measurement of Financial Assets and Liabilities</w:t>
      </w:r>
      <w:r>
        <w:rPr>
          <w:rFonts w:ascii="Arial" w:cs="Arial" w:eastAsia="Arial" w:hAnsi="Arial"/>
          <w:sz w:val="16"/>
          <w:szCs w:val="16"/>
          <w:color w:val="auto"/>
        </w:rPr>
        <w:t>”(“ASU 2016-01”). ASU 2016-01 requires equity investments (excluding equity method investments and investments that are consolidated) to be measured at fair value with changes in fair value recognized in net income. Equity investments that do not have a readily determinable fair value may be measured at cost, adjusted for impairment and observable price changes. The ASU also simplifies the impairment assessment of equity investments, eliminates the disclosure of the assumptions used to estimate the fair value that is required to be disclosed for financial instruments measured at cost on the balance sheet and requires the exit price to be used when measuring fair value of financial instruments for disclosure purposes. Under ASU 2016-01, changes in fair value (resulting from instrument-specific credit risk) will be presented separately in other comprehensive income for liabilities measured using the fair value option and financial assets and liabilities will be presented separately by measurement category and type either on the balance sheet or in the financial statement disclosures. ASU 2016-01 is effective for fiscal years beginning after December 15, 2017, and interim periods within those fiscal years. The Company has not yet determined the effect that ASU 2016-01 will have on its financial position, results of operations, or financial statement disclosures.</w:t>
      </w:r>
    </w:p>
    <w:p>
      <w:pPr>
        <w:spacing w:after="0" w:line="169"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In August 2014, the FASB issued ASU 2014-15, “</w:t>
      </w:r>
      <w:r>
        <w:rPr>
          <w:rFonts w:ascii="Arial" w:cs="Arial" w:eastAsia="Arial" w:hAnsi="Arial"/>
          <w:sz w:val="17"/>
          <w:szCs w:val="17"/>
          <w:i w:val="1"/>
          <w:iCs w:val="1"/>
          <w:color w:val="auto"/>
        </w:rPr>
        <w:t>Presentation of Financial Statements-Going Concern (Subtopic 205-40): Disclosure of</w:t>
      </w:r>
      <w:r>
        <w:rPr>
          <w:rFonts w:ascii="Arial" w:cs="Arial" w:eastAsia="Arial" w:hAnsi="Arial"/>
          <w:sz w:val="17"/>
          <w:szCs w:val="17"/>
          <w:color w:val="auto"/>
        </w:rPr>
        <w:t xml:space="preserve"> </w:t>
      </w:r>
      <w:r>
        <w:rPr>
          <w:rFonts w:ascii="Arial" w:cs="Arial" w:eastAsia="Arial" w:hAnsi="Arial"/>
          <w:sz w:val="17"/>
          <w:szCs w:val="17"/>
          <w:i w:val="1"/>
          <w:iCs w:val="1"/>
          <w:color w:val="auto"/>
        </w:rPr>
        <w:t>Uncertainties about an Entity’s Ability to Continue as a Going Concern</w:t>
      </w:r>
      <w:r>
        <w:rPr>
          <w:rFonts w:ascii="Arial" w:cs="Arial" w:eastAsia="Arial" w:hAnsi="Arial"/>
          <w:sz w:val="17"/>
          <w:szCs w:val="17"/>
          <w:color w:val="auto"/>
        </w:rPr>
        <w:t>.” The amendments is this ASU are intended to provide guidance on the responsibility</w:t>
      </w:r>
      <w:r>
        <w:rPr>
          <w:rFonts w:ascii="Arial" w:cs="Arial" w:eastAsia="Arial" w:hAnsi="Arial"/>
          <w:sz w:val="17"/>
          <w:szCs w:val="17"/>
          <w:i w:val="1"/>
          <w:iCs w:val="1"/>
          <w:color w:val="auto"/>
        </w:rPr>
        <w:t xml:space="preserve"> </w:t>
      </w:r>
      <w:r>
        <w:rPr>
          <w:rFonts w:ascii="Arial" w:cs="Arial" w:eastAsia="Arial" w:hAnsi="Arial"/>
          <w:sz w:val="17"/>
          <w:szCs w:val="17"/>
          <w:color w:val="auto"/>
        </w:rPr>
        <w:t>of reporting entity management. Specifically, this ASU provides guidance to management related to evaluating whether there is substantial doubt about the reporting entity’s ability to continue as a going concern and about related financial statement note disclosures. Although the presumption that a reporting entity will continue to operate as a going concern is fundamental to the preparation of financial statements, prior to the issuance of this ASU, there was no guidance in U.S. generally accepted accounting principles (U.S. GAAP) related to the concept. Due to the lack of guidance in U.S. GAAP, practitioners and their clients often faced challenges in determining whether, when, and how a reporting entity should disclose the relevant information in its financial statements. As a result, the FASB issued this guidance to require management evaluation and potential financial statement disclosures. This ASU will be effective for financial statements with periods ending after December 15, 2016. The Company adopted the ASU during the year and performed going concern evaluations for its 2016 calendar year-end financial statements.</w:t>
      </w:r>
    </w:p>
    <w:p>
      <w:pPr>
        <w:spacing w:after="0" w:line="178" w:lineRule="exact"/>
        <w:rPr>
          <w:sz w:val="20"/>
          <w:szCs w:val="20"/>
          <w:color w:val="auto"/>
        </w:rPr>
      </w:pPr>
    </w:p>
    <w:p>
      <w:pPr>
        <w:ind w:right="60" w:firstLine="913"/>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ASU 2014-09 supersedes the revenue recognition requirements in ASC Topic 605, “Revenue Recognition” and some cost guidance included in ASC Subtopic 605-35, “Revenue Recognition - Construction-Type and Production-Type Contracts.” The core principle of ASU 2014-09 is that revenue is recognized when the transfer of goods or services to customers occurs in an amount that reflects the consideration to which the Company expects to be entitled in exchange for those goods or services. ASU 2014-09 requires the disclosure of sufficient information to enable readers of the Company’s financial statements to understand the nature, amount, timing and uncertainty of revenue and cash flows arising from customer contracts. ASU 2014-09 also requires disclosure of information regarding significant judgments and changes in judgments, and assets recognized from costs incurred to obtain or fulfill a contract. ASU 2014-09 provides two methods of retrospective application. The first method would require the Company to apply ASU 2014-09 to each prior reporting period presented. The second method would require the Company to retrospectively apply ASU 2014-09 with the cumulative effect recognized at the date of initial application. ASU 2014-09 will be effective for the Company beginning in fiscal 2019 as a result of ASU 2015-14, “Revenue from Contracts with Customers (Topic 606): Deferral of the Effective Date,” which was issued by the FASB in August 2015 and extended the original effective date by one year. The Company is currently evaluating the impact of adopting the available methodologies of ASU 2014-09 and 2015-14 upon its financial statements in future reporting periods. The Company has not yet selected a transition method. The Company is in the process of evaluating the new standard against its existing accounting policies, including the timing of revenue recognition, and its contracts with customers to determine the effect the guidance will have on its financial statements and what changes to systems and controls may be warranted.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00"/>
          </w:cols>
          <w:pgMar w:left="240" w:top="459" w:right="2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There have been four new ASUs issued amending certain aspects of ASU 2014-09, ASU 2016-08, </w:t>
      </w:r>
      <w:r>
        <w:rPr>
          <w:rFonts w:ascii="Arial" w:cs="Arial" w:eastAsia="Arial" w:hAnsi="Arial"/>
          <w:sz w:val="16"/>
          <w:szCs w:val="16"/>
          <w:i w:val="1"/>
          <w:iCs w:val="1"/>
          <w:color w:val="auto"/>
        </w:rPr>
        <w:t>“Principal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(Reporting Revenue Gross Versus Net),” </w:t>
      </w:r>
      <w:r>
        <w:rPr>
          <w:rFonts w:ascii="Arial" w:cs="Arial" w:eastAsia="Arial" w:hAnsi="Arial"/>
          <w:sz w:val="16"/>
          <w:szCs w:val="16"/>
          <w:color w:val="auto"/>
        </w:rPr>
        <w:t>was issued in March, 2016 to clarify certain aspects of the principal versus agent guidance in ASU 2014-09.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addition, ASU 2016-10, </w:t>
      </w:r>
      <w:r>
        <w:rPr>
          <w:rFonts w:ascii="Arial" w:cs="Arial" w:eastAsia="Arial" w:hAnsi="Arial"/>
          <w:sz w:val="16"/>
          <w:szCs w:val="16"/>
          <w:i w:val="1"/>
          <w:iCs w:val="1"/>
          <w:color w:val="auto"/>
        </w:rPr>
        <w:t>“Identifying Performance Obligations and Licensing,”</w:t>
      </w:r>
      <w:r>
        <w:rPr>
          <w:rFonts w:ascii="Arial" w:cs="Arial" w:eastAsia="Arial" w:hAnsi="Arial"/>
          <w:sz w:val="16"/>
          <w:szCs w:val="16"/>
          <w:color w:val="auto"/>
        </w:rPr>
        <w:t xml:space="preserve"> issued in April 2016, amends other sections of ASU 2014-09 including clarifying guidance related to identifying performance obligations and licensing implementation. ASU 2016-12, </w:t>
      </w:r>
      <w:r>
        <w:rPr>
          <w:rFonts w:ascii="Arial" w:cs="Arial" w:eastAsia="Arial" w:hAnsi="Arial"/>
          <w:sz w:val="16"/>
          <w:szCs w:val="16"/>
          <w:i w:val="1"/>
          <w:iCs w:val="1"/>
          <w:color w:val="auto"/>
        </w:rPr>
        <w:t>“Revenue from Contracts with Customers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Narrow Scope Improvements and Practical Expedients” </w:t>
      </w:r>
      <w:r>
        <w:rPr>
          <w:rFonts w:ascii="Arial" w:cs="Arial" w:eastAsia="Arial" w:hAnsi="Arial"/>
          <w:sz w:val="16"/>
          <w:szCs w:val="16"/>
          <w:color w:val="auto"/>
        </w:rPr>
        <w:t>provides amendments and practical expedients to the guidance in ASU 2014-09 in the areas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assessing collectibility, presentation of sales taxes received from customers, noncash consideration, contract modification and clarification of using the full retrospective approach to adopt ASU 2014-09. Finally, ASU 2016-20, </w:t>
      </w:r>
      <w:r>
        <w:rPr>
          <w:rFonts w:ascii="Arial" w:cs="Arial" w:eastAsia="Arial" w:hAnsi="Arial"/>
          <w:sz w:val="16"/>
          <w:szCs w:val="16"/>
          <w:i w:val="1"/>
          <w:iCs w:val="1"/>
          <w:color w:val="auto"/>
        </w:rPr>
        <w:t>“Technical Corrections and Improvements to Topic 606, 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was issued in December 2016, and provides elections regarding the disclosures required for remaining performance obligations in certain cases</w:t>
      </w:r>
      <w:r>
        <w:rPr>
          <w:rFonts w:ascii="Arial" w:cs="Arial" w:eastAsia="Arial" w:hAnsi="Arial"/>
          <w:sz w:val="16"/>
          <w:szCs w:val="16"/>
          <w:i w:val="1"/>
          <w:iCs w:val="1"/>
          <w:color w:val="auto"/>
        </w:rPr>
        <w:t xml:space="preserve"> </w:t>
      </w:r>
      <w:r>
        <w:rPr>
          <w:rFonts w:ascii="Arial" w:cs="Arial" w:eastAsia="Arial" w:hAnsi="Arial"/>
          <w:sz w:val="16"/>
          <w:szCs w:val="16"/>
          <w:color w:val="auto"/>
        </w:rPr>
        <w:t>and also makes other technical corrections and improvements to the standard. With its evaluation of the impact of ASU 2014-09, the Company will also consider the impact on its financial statements related to the updated guidance provided by these four new ASUs.</w:t>
      </w:r>
    </w:p>
    <w:p>
      <w:pPr>
        <w:spacing w:after="0" w:line="169"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170"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31" w:lineRule="exact"/>
        <w:rPr>
          <w:sz w:val="20"/>
          <w:szCs w:val="20"/>
          <w:color w:val="auto"/>
        </w:rPr>
      </w:pPr>
    </w:p>
    <w:p>
      <w:pPr>
        <w:ind w:left="1460" w:hanging="547"/>
        <w:spacing w:after="0"/>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130" w:lineRule="exact"/>
        <w:rPr>
          <w:rFonts w:ascii="Arial" w:cs="Arial" w:eastAsia="Arial" w:hAnsi="Arial"/>
          <w:sz w:val="18"/>
          <w:szCs w:val="18"/>
          <w:color w:val="auto"/>
        </w:rPr>
      </w:pPr>
    </w:p>
    <w:p>
      <w:pPr>
        <w:ind w:left="1460" w:right="100" w:hanging="547"/>
        <w:spacing w:after="0" w:line="264" w:lineRule="auto"/>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80"/>
          </w:cols>
          <w:pgMar w:left="240" w:top="459" w:right="3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a recurring basis by level within the fair value hierarchy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Fair Value Measurements at December 31, 2016</w:t>
            </w: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Money market fund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2,563,247</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2,563,247</w:t>
            </w:r>
          </w:p>
        </w:tc>
        <w:tc>
          <w:tcPr>
            <w:tcW w:w="380" w:type="dxa"/>
            <w:vAlign w:val="bottom"/>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194,048</w:t>
            </w:r>
          </w:p>
        </w:tc>
        <w:tc>
          <w:tcPr>
            <w:tcW w:w="10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194,048</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85,490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85,490</w:t>
            </w:r>
          </w:p>
        </w:tc>
      </w:tr>
      <w:tr>
        <w:trPr>
          <w:trHeight w:val="223"/>
        </w:trPr>
        <w:tc>
          <w:tcPr>
            <w:tcW w:w="6440" w:type="dxa"/>
            <w:vAlign w:val="bottom"/>
          </w:tcPr>
          <w:p>
            <w:pPr>
              <w:ind w:left="360"/>
              <w:spacing w:after="0"/>
              <w:rPr>
                <w:sz w:val="20"/>
                <w:szCs w:val="20"/>
                <w:color w:val="auto"/>
              </w:rPr>
            </w:pPr>
            <w:r>
              <w:rPr>
                <w:rFonts w:ascii="Arial" w:cs="Arial" w:eastAsia="Arial" w:hAnsi="Arial"/>
                <w:sz w:val="18"/>
                <w:szCs w:val="18"/>
                <w:color w:val="auto"/>
              </w:rPr>
              <w:t>Total common stock warrant liability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279,538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6"/>
              </w:rPr>
              <w:t>194,048</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85,490</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60" w:type="dxa"/>
            <w:vAlign w:val="bottom"/>
            <w:gridSpan w:val="10"/>
          </w:tcPr>
          <w:p>
            <w:pPr>
              <w:jc w:val="right"/>
              <w:ind w:right="600"/>
              <w:spacing w:after="0"/>
              <w:rPr>
                <w:sz w:val="20"/>
                <w:szCs w:val="20"/>
                <w:color w:val="auto"/>
              </w:rPr>
            </w:pPr>
            <w:r>
              <w:rPr>
                <w:rFonts w:ascii="Arial" w:cs="Arial" w:eastAsia="Arial" w:hAnsi="Arial"/>
                <w:sz w:val="14"/>
                <w:szCs w:val="14"/>
                <w:b w:val="1"/>
                <w:bCs w:val="1"/>
                <w:color w:val="auto"/>
              </w:rPr>
              <w:t>Fair Value Measurements at December 31, 2015</w:t>
            </w:r>
          </w:p>
        </w:tc>
      </w:tr>
      <w:tr>
        <w:trPr>
          <w:trHeight w:val="142"/>
        </w:trPr>
        <w:tc>
          <w:tcPr>
            <w:tcW w:w="6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96"/>
        </w:trPr>
        <w:tc>
          <w:tcPr>
            <w:tcW w:w="6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6440" w:type="dxa"/>
            <w:vAlign w:val="bottom"/>
          </w:tcPr>
          <w:p>
            <w:pPr>
              <w:spacing w:after="0"/>
              <w:rPr>
                <w:sz w:val="20"/>
                <w:szCs w:val="20"/>
                <w:color w:val="auto"/>
              </w:rPr>
            </w:pPr>
            <w:r>
              <w:rPr>
                <w:rFonts w:ascii="Arial" w:cs="Arial" w:eastAsia="Arial" w:hAnsi="Arial"/>
                <w:sz w:val="18"/>
                <w:szCs w:val="18"/>
                <w:color w:val="auto"/>
              </w:rPr>
              <w:t>Money market fund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3,803,929</w:t>
            </w:r>
          </w:p>
        </w:tc>
        <w:tc>
          <w:tcPr>
            <w:tcW w:w="3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3,803,929</w:t>
            </w:r>
          </w:p>
        </w:tc>
        <w:tc>
          <w:tcPr>
            <w:tcW w:w="380" w:type="dxa"/>
            <w:vAlign w:val="bottom"/>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1,212,803</w:t>
            </w:r>
          </w:p>
        </w:tc>
        <w:tc>
          <w:tcPr>
            <w:tcW w:w="100" w:type="dxa"/>
            <w:vAlign w:val="bottom"/>
          </w:tcPr>
          <w:p>
            <w:pPr>
              <w:spacing w:after="0"/>
              <w:rPr>
                <w:sz w:val="18"/>
                <w:szCs w:val="18"/>
                <w:color w:val="auto"/>
              </w:rPr>
            </w:pPr>
          </w:p>
        </w:tc>
        <w:tc>
          <w:tcPr>
            <w:tcW w:w="1100" w:type="dxa"/>
            <w:vAlign w:val="bottom"/>
            <w:gridSpan w:val="2"/>
          </w:tcPr>
          <w:p>
            <w:pPr>
              <w:spacing w:after="0"/>
              <w:rPr>
                <w:sz w:val="20"/>
                <w:szCs w:val="20"/>
                <w:color w:val="auto"/>
              </w:rPr>
            </w:pPr>
            <w:r>
              <w:rPr>
                <w:rFonts w:ascii="Arial" w:cs="Arial" w:eastAsia="Arial" w:hAnsi="Arial"/>
                <w:sz w:val="18"/>
                <w:szCs w:val="18"/>
                <w:color w:val="auto"/>
              </w:rPr>
              <w:t>1,212,803</w:t>
            </w: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Series B warrant liability</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865,000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Series C warrant liability</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462,437</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ind w:lef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462,437</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common stock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2,540,240</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1,212,803</w:t>
            </w:r>
          </w:p>
        </w:tc>
        <w:tc>
          <w:tcPr>
            <w:tcW w:w="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1,327,437</w:t>
            </w:r>
          </w:p>
        </w:tc>
      </w:tr>
      <w:tr>
        <w:trPr>
          <w:trHeight w:val="20"/>
        </w:trPr>
        <w:tc>
          <w:tcPr>
            <w:tcW w:w="6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913"/>
        <w:spacing w:after="0" w:line="290" w:lineRule="auto"/>
        <w:rPr>
          <w:sz w:val="20"/>
          <w:szCs w:val="20"/>
          <w:color w:val="auto"/>
        </w:rPr>
      </w:pPr>
      <w:r>
        <w:rPr>
          <w:rFonts w:ascii="Arial" w:cs="Arial" w:eastAsia="Arial" w:hAnsi="Arial"/>
          <w:sz w:val="16"/>
          <w:szCs w:val="16"/>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B and Series C Warrants are based on significant inputs that are unobservable and thus represent Level 3 measurements. The Company’s estimated fair value of the Series B Warrant liability is calculated using a Monte Carlo simulation. Key assumptions include the volatility of the Company’s stock, the expected warrant term, expected dividend yield and risk-free interest rates. (see Note 6) The Company’s estimated fair value of the Series C Warrant liability is calculated using the Black-Scholes valuation model, which is equivalent to fair value computed using the Binomial Lattice Option Model. Key assumptions include the volatility of the Company’s stock, the expected warrant term, expected dividend yield and risk-free interest rates. (see Note 6) The Level 3 estimates are based, in part, on subjective assumptions.</w:t>
      </w:r>
    </w:p>
    <w:p>
      <w:pPr>
        <w:spacing w:after="0" w:line="166"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The agreement to pay the annual royalty in the NeoForce acquisition resulted in the recognition of a contingent consideration, which was recognized on the acquisition date. Subsequent changes to estimates of the amount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 thousand at the date of acquisition and $136 thousand as of December 31, 2016.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67"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On January 13, 2016, we entered into an agreement to sublease our excess space located in Redwood City. By the end of February, we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 of capital of 20%. These inputs are considered Level 3 inputs under the fair value measurements and disclosure guidance.</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financial instruments, which are treated as liabilities,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8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Series A Warrant</w:t>
            </w:r>
          </w:p>
        </w:tc>
        <w:tc>
          <w:tcPr>
            <w:tcW w:w="320" w:type="dxa"/>
            <w:vAlign w:val="bottom"/>
          </w:tcPr>
          <w:p>
            <w:pPr>
              <w:spacing w:after="0"/>
              <w:rPr>
                <w:sz w:val="14"/>
                <w:szCs w:val="14"/>
                <w:color w:val="auto"/>
              </w:rPr>
            </w:pPr>
          </w:p>
        </w:tc>
        <w:tc>
          <w:tcPr>
            <w:tcW w:w="1720" w:type="dxa"/>
            <w:vAlign w:val="bottom"/>
            <w:tcBorders>
              <w:bottom w:val="single" w:sz="8" w:color="auto"/>
            </w:tcBorders>
            <w:gridSpan w:val="5"/>
          </w:tcPr>
          <w:p>
            <w:pPr>
              <w:jc w:val="right"/>
              <w:ind w:right="232"/>
              <w:spacing w:after="0"/>
              <w:rPr>
                <w:sz w:val="20"/>
                <w:szCs w:val="20"/>
                <w:color w:val="auto"/>
              </w:rPr>
            </w:pPr>
            <w:r>
              <w:rPr>
                <w:rFonts w:ascii="Arial" w:cs="Arial" w:eastAsia="Arial" w:hAnsi="Arial"/>
                <w:sz w:val="14"/>
                <w:szCs w:val="14"/>
                <w:b w:val="1"/>
                <w:bCs w:val="1"/>
                <w:color w:val="auto"/>
              </w:rPr>
              <w:t>Series B Warrant</w:t>
            </w:r>
          </w:p>
        </w:tc>
        <w:tc>
          <w:tcPr>
            <w:tcW w:w="320" w:type="dxa"/>
            <w:vAlign w:val="bottom"/>
          </w:tcPr>
          <w:p>
            <w:pPr>
              <w:spacing w:after="0"/>
              <w:rPr>
                <w:sz w:val="14"/>
                <w:szCs w:val="14"/>
                <w:color w:val="auto"/>
              </w:rPr>
            </w:pPr>
          </w:p>
        </w:tc>
        <w:tc>
          <w:tcPr>
            <w:tcW w:w="16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rPr>
              <w:t>Series C Warrant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60" w:type="dxa"/>
            <w:vAlign w:val="bottom"/>
          </w:tcPr>
          <w:p>
            <w:pPr>
              <w:spacing w:after="0"/>
              <w:rPr>
                <w:sz w:val="10"/>
                <w:szCs w:val="10"/>
                <w:color w:val="auto"/>
              </w:rPr>
            </w:pP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Liability</w:t>
            </w:r>
          </w:p>
        </w:tc>
        <w:tc>
          <w:tcPr>
            <w:tcW w:w="860" w:type="dxa"/>
            <w:vAlign w:val="bottom"/>
            <w:gridSpan w:val="2"/>
          </w:tcPr>
          <w:p>
            <w:pPr>
              <w:jc w:val="right"/>
              <w:ind w:right="200"/>
              <w:spacing w:after="0" w:line="119"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8"/>
              </w:rPr>
              <w:t>Liability</w:t>
            </w:r>
          </w:p>
        </w:tc>
        <w:tc>
          <w:tcPr>
            <w:tcW w:w="92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8"/>
              </w:rPr>
              <w:t>Number of</w:t>
            </w:r>
          </w:p>
        </w:tc>
        <w:tc>
          <w:tcPr>
            <w:tcW w:w="100" w:type="dxa"/>
            <w:vAlign w:val="bottom"/>
          </w:tcPr>
          <w:p>
            <w:pPr>
              <w:spacing w:after="0"/>
              <w:rPr>
                <w:sz w:val="10"/>
                <w:szCs w:val="10"/>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Warrants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10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1,212,803</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865,000</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462,437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Change in value of Series A Warrants</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(1,018,755)</w:t>
            </w: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De-recognition of Series B Warrant liability upon cashless exercise of</w:t>
            </w: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warrants (97,040 shares issued)</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(20,460)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(593,584)</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De-recognition of Series B Warrant liability upon expiration</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Series B Warrants</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(271,416)</w:t>
            </w: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Change in value of Series C Warrants</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(376,947)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194,048</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118,083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F-17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Property and Equipment, Net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22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30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23,074</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15,439</w:t>
            </w:r>
          </w:p>
        </w:tc>
        <w:tc>
          <w:tcPr>
            <w:tcW w:w="1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Computer hardware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56,527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43,469</w:t>
            </w:r>
          </w:p>
        </w:tc>
        <w:tc>
          <w:tcPr>
            <w:tcW w:w="1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12,849</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c>
          <w:tcPr>
            <w:tcW w:w="12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92,450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68,025</w:t>
            </w:r>
          </w:p>
        </w:tc>
        <w:tc>
          <w:tcPr>
            <w:tcW w:w="120" w:type="dxa"/>
            <w:vAlign w:val="bottom"/>
          </w:tcPr>
          <w:p>
            <w:pPr>
              <w:spacing w:after="0"/>
              <w:rPr>
                <w:sz w:val="19"/>
                <w:szCs w:val="19"/>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(50,429)</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(32,562)</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42,021</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35,463</w:t>
            </w:r>
          </w:p>
        </w:tc>
        <w:tc>
          <w:tcPr>
            <w:tcW w:w="120" w:type="dxa"/>
            <w:vAlign w:val="bottom"/>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Depreciation expense was $18,670 and $10,274 for the fiscal years ended December 31, 2016 and December 31, 2015, respectively.</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Depreciation expense of $13,628 and $57,141 was classified in discontinued operations for the years ended December 31, 2016, and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has issued Series A Warrants, Series B Warrants and Series C Warrants (the “Warrants”).</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Company’s Series A, Series B and Series C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 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IPO or Private Transaction proceeds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 which is equivalent to fair value computed using the Binomial Lattice Option Model.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660" w:firstLine="913"/>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The Company classified the Warrants, with a term greater than one year, as long term liabilities at their fair value and will re-measure the warrants at each balance sheet date until they are exercised or expire. Any change in the fair value is recognized as other income (expense) in the Company’s statement of operations. The Series B Warrant liability was classified as a current liability in the year ended December 31, 2015, as the Warrants were set to expire on February 12, 2016.</w:t>
      </w:r>
    </w:p>
    <w:p>
      <w:pPr>
        <w:spacing w:after="0" w:line="18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380"/>
          </w:cols>
          <w:pgMar w:left="240" w:top="459" w:right="2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ind w:right="20" w:firstLine="913"/>
        <w:spacing w:after="0" w:line="308" w:lineRule="auto"/>
        <w:rPr>
          <w:sz w:val="20"/>
          <w:szCs w:val="20"/>
          <w:color w:val="auto"/>
        </w:rPr>
      </w:pPr>
      <w:r>
        <w:rPr>
          <w:rFonts w:ascii="Arial" w:cs="Arial" w:eastAsia="Arial" w:hAnsi="Arial"/>
          <w:sz w:val="17"/>
          <w:szCs w:val="17"/>
          <w:color w:val="auto"/>
        </w:rPr>
        <w:t>Upon the completion of the IPO, the Series A Warrants started trading on the NASDAQ under the symbol CAPNW. As the Series A Warrants are publicly traded, the Company uses the closing price on the measurement date to determine the fair value of these the Series A Warrants.</w:t>
      </w:r>
    </w:p>
    <w:p>
      <w:pPr>
        <w:spacing w:after="0" w:line="147"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Since their issuance, a total of 4,800 Series A Warrants have been exercised. As of December 31, 2016, the fair value of the 485,121 outstanding Series A Warrants was approximately $194 thousand, and the decrease of $1 million in fair value during the year ended December 31, 2016 was recorded as other income in the statement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The Company issued 489,921 Series B Warrants to purchase shares of its Common Stock at an exercise price of $32.50 per share in connection with the IPO.</w:t>
      </w:r>
    </w:p>
    <w:p>
      <w:pPr>
        <w:spacing w:after="0" w:line="170" w:lineRule="exact"/>
        <w:rPr>
          <w:sz w:val="20"/>
          <w:szCs w:val="20"/>
          <w:color w:val="auto"/>
        </w:rPr>
      </w:pPr>
    </w:p>
    <w:p>
      <w:pPr>
        <w:ind w:right="280" w:firstLine="913"/>
        <w:spacing w:after="0" w:line="291" w:lineRule="auto"/>
        <w:rPr>
          <w:sz w:val="20"/>
          <w:szCs w:val="20"/>
          <w:color w:val="auto"/>
        </w:rPr>
      </w:pPr>
      <w:r>
        <w:rPr>
          <w:rFonts w:ascii="Arial" w:cs="Arial" w:eastAsia="Arial" w:hAnsi="Arial"/>
          <w:sz w:val="16"/>
          <w:szCs w:val="16"/>
          <w:color w:val="auto"/>
        </w:rPr>
        <w:t>Between January 1, 2016, and the expiration date of the Series B Warrants of February 12, 2016, certain holders of Series B warrants cashless exercised a total of 20,460 Series B Warrants resulting in the issuance of 97,040 shares of Common Stock and the derecognition of approximately</w:t>
      </w:r>
    </w:p>
    <w:p>
      <w:pPr>
        <w:ind w:right="580"/>
        <w:spacing w:after="0" w:line="323" w:lineRule="auto"/>
        <w:rPr>
          <w:sz w:val="20"/>
          <w:szCs w:val="20"/>
          <w:color w:val="auto"/>
        </w:rPr>
      </w:pPr>
      <w:r>
        <w:rPr>
          <w:rFonts w:ascii="Arial" w:cs="Arial" w:eastAsia="Arial" w:hAnsi="Arial"/>
          <w:sz w:val="16"/>
          <w:szCs w:val="16"/>
          <w:color w:val="auto"/>
        </w:rPr>
        <w:t>$593 thousand in Series B Warrant liability. The remaining Series B Warrant liability was reduced to zero upon expiration resulting in the recording of $272 thousand in other income in the statement of operations. The remaining Series B Warrants expired unexercised on February 12, 2016.</w:t>
      </w:r>
    </w:p>
    <w:p>
      <w:pPr>
        <w:spacing w:after="0" w:line="139" w:lineRule="exact"/>
        <w:rPr>
          <w:sz w:val="20"/>
          <w:szCs w:val="20"/>
          <w:color w:val="auto"/>
        </w:rPr>
      </w:pPr>
    </w:p>
    <w:p>
      <w:pPr>
        <w:ind w:right="160" w:firstLine="913"/>
        <w:spacing w:after="0" w:line="297" w:lineRule="auto"/>
        <w:rPr>
          <w:sz w:val="20"/>
          <w:szCs w:val="20"/>
          <w:color w:val="auto"/>
        </w:rPr>
      </w:pPr>
      <w:r>
        <w:rPr>
          <w:rFonts w:ascii="Arial" w:cs="Arial" w:eastAsia="Arial" w:hAnsi="Arial"/>
          <w:sz w:val="16"/>
          <w:szCs w:val="16"/>
          <w:color w:val="auto"/>
        </w:rPr>
        <w:t>As of February 12, 2016 and December 31, 2015 the Company used a Monte Carlo simulation to calculate the fair value of its Series B Warrant liability. This model is dependent upon several variables such as the warrant’s term, exercise price, current stock price, risk-free interest rate estimated over the contractual term, estimated volatility of our stock over the term of the warrant and the estimated market price of our stock during the cashless exercise period. The risk-free rate is based on U.S. Treasury securities with similar maturities as the expected terms of the warrants. The volatility is estimated based on blending the volatility rates for a number of similar publicly-traded companies. The Company used the following inputs:</w:t>
      </w:r>
    </w:p>
    <w:p>
      <w:pPr>
        <w:spacing w:after="0" w:line="16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February 12,</w:t>
            </w:r>
          </w:p>
        </w:tc>
        <w:tc>
          <w:tcPr>
            <w:tcW w:w="14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4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Expected Term (years)</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0.00</w:t>
            </w:r>
          </w:p>
        </w:tc>
        <w:tc>
          <w:tcPr>
            <w:tcW w:w="5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2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 %</w:t>
            </w:r>
          </w:p>
        </w:tc>
        <w:tc>
          <w:tcPr>
            <w:tcW w:w="3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Risk-free rate</w:t>
            </w:r>
          </w:p>
        </w:tc>
        <w:tc>
          <w:tcPr>
            <w:tcW w:w="3420" w:type="dxa"/>
            <w:vAlign w:val="bottom"/>
            <w:gridSpan w:val="3"/>
          </w:tcPr>
          <w:p>
            <w:pPr>
              <w:jc w:val="right"/>
              <w:ind w:right="380"/>
              <w:spacing w:after="0"/>
              <w:rPr>
                <w:sz w:val="20"/>
                <w:szCs w:val="20"/>
                <w:color w:val="auto"/>
              </w:rPr>
            </w:pPr>
            <w:r>
              <w:rPr>
                <w:rFonts w:ascii="Arial" w:cs="Arial" w:eastAsia="Arial" w:hAnsi="Arial"/>
                <w:sz w:val="18"/>
                <w:szCs w:val="18"/>
                <w:color w:val="auto"/>
              </w:rPr>
              <w:t>0.65%</w:t>
            </w:r>
          </w:p>
        </w:tc>
        <w:tc>
          <w:tcPr>
            <w:tcW w:w="1420" w:type="dxa"/>
            <w:vAlign w:val="bottom"/>
            <w:gridSpan w:val="3"/>
          </w:tcPr>
          <w:p>
            <w:pPr>
              <w:jc w:val="right"/>
              <w:ind w:right="60"/>
              <w:spacing w:after="0"/>
              <w:rPr>
                <w:sz w:val="20"/>
                <w:szCs w:val="20"/>
                <w:color w:val="auto"/>
              </w:rPr>
            </w:pPr>
            <w:r>
              <w:rPr>
                <w:rFonts w:ascii="Arial" w:cs="Arial" w:eastAsia="Arial" w:hAnsi="Arial"/>
                <w:sz w:val="18"/>
                <w:szCs w:val="18"/>
                <w:color w:val="auto"/>
              </w:rPr>
              <w:t>0.65%</w:t>
            </w:r>
          </w:p>
        </w:tc>
      </w:tr>
    </w:tbl>
    <w:p>
      <w:pPr>
        <w:spacing w:after="0" w:line="187" w:lineRule="exact"/>
        <w:rPr>
          <w:sz w:val="20"/>
          <w:szCs w:val="20"/>
          <w:color w:val="auto"/>
        </w:rPr>
      </w:pPr>
    </w:p>
    <w:p>
      <w:pPr>
        <w:ind w:right="680" w:firstLine="913"/>
        <w:spacing w:after="0" w:line="259" w:lineRule="auto"/>
        <w:rPr>
          <w:sz w:val="20"/>
          <w:szCs w:val="20"/>
          <w:color w:val="auto"/>
        </w:rPr>
      </w:pPr>
      <w:r>
        <w:rPr>
          <w:rFonts w:ascii="Arial" w:cs="Arial" w:eastAsia="Arial" w:hAnsi="Arial"/>
          <w:sz w:val="18"/>
          <w:szCs w:val="18"/>
          <w:color w:val="auto"/>
        </w:rPr>
        <w:t>In addition to the assumptions above, the Company’s estimated fair value of the Series B Warrant liability is calculated using other key assumptions. Management, with the assistance of an independent valuation firm, makes these subjective determinations based on available current information; however, as such information changes, so might management’s determinations and such changes could have a material impact on future operating results.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181 Series C Warrants and proceeds to the Company of $5,882.</w:t>
      </w:r>
    </w:p>
    <w:p>
      <w:pPr>
        <w:spacing w:after="0" w:line="158"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color w:val="auto"/>
        </w:rPr>
        <w:t>The Series C Warrants are exercisable into 118,083 shares of the Company’s Common Stock. As of December 31, 2016, the fair value of the Series C Warrants was determined to be $85,490. The decline in the fair value of the liability for the Series C Warrants of $376,947 in the year ended December 31, 2016 was recorded as other income in the consolidated statement of operations.</w:t>
      </w:r>
    </w:p>
    <w:p>
      <w:pPr>
        <w:spacing w:after="0" w:line="181"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is equivalent to the fair value computed using the Binomial Lattice Option Model. The Black-Scholes pricing model requires the input of highly subjective assumptions including the expected stock price volatility. The Company used the following inputs:</w:t>
      </w:r>
    </w:p>
    <w:p>
      <w:pPr>
        <w:spacing w:after="0" w:line="18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34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800" w:type="dxa"/>
            <w:vAlign w:val="bottom"/>
            <w:tcBorders>
              <w:bottom w:val="single" w:sz="8" w:color="CCEEFF"/>
            </w:tcBorders>
          </w:tcPr>
          <w:p>
            <w:pPr>
              <w:spacing w:after="0"/>
              <w:rPr>
                <w:sz w:val="14"/>
                <w:szCs w:val="14"/>
                <w:color w:val="auto"/>
              </w:rPr>
            </w:pPr>
          </w:p>
        </w:tc>
        <w:tc>
          <w:tcPr>
            <w:tcW w:w="20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Expected Term (years)</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5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2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0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 %</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Risk-free rate</w:t>
            </w:r>
          </w:p>
        </w:tc>
        <w:tc>
          <w:tcPr>
            <w:tcW w:w="3420" w:type="dxa"/>
            <w:vAlign w:val="bottom"/>
            <w:gridSpan w:val="3"/>
          </w:tcPr>
          <w:p>
            <w:pPr>
              <w:jc w:val="right"/>
              <w:ind w:right="400"/>
              <w:spacing w:after="0"/>
              <w:rPr>
                <w:sz w:val="20"/>
                <w:szCs w:val="20"/>
                <w:color w:val="auto"/>
              </w:rPr>
            </w:pPr>
            <w:r>
              <w:rPr>
                <w:rFonts w:ascii="Arial" w:cs="Arial" w:eastAsia="Arial" w:hAnsi="Arial"/>
                <w:sz w:val="18"/>
                <w:szCs w:val="18"/>
                <w:color w:val="auto"/>
              </w:rPr>
              <w:t>1.51%</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1.76%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225" w:lineRule="exact"/>
        <w:rPr>
          <w:sz w:val="20"/>
          <w:szCs w:val="20"/>
          <w:color w:val="auto"/>
        </w:rPr>
      </w:pPr>
    </w:p>
    <w:p>
      <w:pPr>
        <w:ind w:right="160" w:firstLine="913"/>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ind w:right="100" w:firstLine="913"/>
        <w:spacing w:after="0" w:line="286" w:lineRule="auto"/>
        <w:rPr>
          <w:sz w:val="20"/>
          <w:szCs w:val="20"/>
          <w:color w:val="auto"/>
        </w:rPr>
      </w:pPr>
      <w:r>
        <w:rPr>
          <w:rFonts w:ascii="Arial" w:cs="Arial" w:eastAsia="Arial" w:hAnsi="Arial"/>
          <w:sz w:val="17"/>
          <w:szCs w:val="17"/>
          <w:color w:val="auto"/>
        </w:rPr>
        <w:t>The Company leases office space under a non-cancelable operating lease agreement which was set to expire in May 2015. On February 2, 2015, the Company signed an amendment to its lease agreement, extending the lease through June 2018. The amendment provides for monthly lease payments of $22,000 beginning in June 2015, with increases in the following two years. The Company subleased this facility in January 2016.</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Company also leases approximately 2,100 square feet for its operations in Ivyland, Pennsylvania under a month-to-month lease.</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Minimum rental commitments under all noncancelable leases with an initial term in excess of one year as of December 31, 2016 were as follows:</w:t>
      </w:r>
    </w:p>
    <w:p>
      <w:pPr>
        <w:spacing w:after="0" w:line="254"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Operating</w:t>
            </w:r>
          </w:p>
        </w:tc>
        <w:tc>
          <w:tcPr>
            <w:tcW w:w="0" w:type="dxa"/>
            <w:vAlign w:val="bottom"/>
          </w:tcPr>
          <w:p>
            <w:pPr>
              <w:spacing w:after="0"/>
              <w:rPr>
                <w:sz w:val="1"/>
                <w:szCs w:val="1"/>
                <w:color w:val="auto"/>
              </w:rPr>
            </w:pPr>
          </w:p>
        </w:tc>
      </w:tr>
      <w:tr>
        <w:trPr>
          <w:trHeight w:val="171"/>
        </w:trPr>
        <w:tc>
          <w:tcPr>
            <w:tcW w:w="1640" w:type="dxa"/>
            <w:vAlign w:val="bottom"/>
            <w:vMerge w:val="continue"/>
          </w:tcPr>
          <w:p>
            <w:pPr>
              <w:spacing w:after="0"/>
              <w:rPr>
                <w:sz w:val="14"/>
                <w:szCs w:val="14"/>
                <w:color w:val="auto"/>
              </w:rPr>
            </w:pPr>
          </w:p>
        </w:tc>
        <w:tc>
          <w:tcPr>
            <w:tcW w:w="5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Leases</w:t>
            </w:r>
          </w:p>
        </w:tc>
        <w:tc>
          <w:tcPr>
            <w:tcW w:w="0" w:type="dxa"/>
            <w:vAlign w:val="bottom"/>
          </w:tcPr>
          <w:p>
            <w:pPr>
              <w:spacing w:after="0"/>
              <w:rPr>
                <w:sz w:val="1"/>
                <w:szCs w:val="1"/>
                <w:color w:val="auto"/>
              </w:rPr>
            </w:pPr>
          </w:p>
        </w:tc>
      </w:tr>
      <w:tr>
        <w:trPr>
          <w:trHeight w:val="210"/>
        </w:trPr>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526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750,118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5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334,747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20"/>
                <w:szCs w:val="20"/>
                <w:color w:val="auto"/>
              </w:rPr>
            </w:pPr>
            <w:r>
              <w:rPr>
                <w:rFonts w:ascii="Arial" w:cs="Arial" w:eastAsia="Arial" w:hAnsi="Arial"/>
                <w:sz w:val="18"/>
                <w:szCs w:val="18"/>
                <w:color w:val="auto"/>
              </w:rPr>
              <w:t>Total</w:t>
            </w:r>
          </w:p>
        </w:tc>
        <w:tc>
          <w:tcPr>
            <w:tcW w:w="5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1,714,788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table above does not consider the impact of lease payments the Company will receive under the sublease executed in January 2016.</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Rent expense was $595,000 and $375,000 during the years ended December 31, 2016 and 2015,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60" w:right="2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was determined to be $153,000 at the date of acquisition (see Note 11).</w:t>
      </w:r>
    </w:p>
    <w:p>
      <w:pPr>
        <w:spacing w:after="0" w:line="158" w:lineRule="exact"/>
        <w:rPr>
          <w:sz w:val="20"/>
          <w:szCs w:val="20"/>
          <w:color w:val="auto"/>
        </w:rPr>
      </w:pPr>
    </w:p>
    <w:p>
      <w:pPr>
        <w:jc w:val="both"/>
        <w:ind w:right="140" w:firstLine="913"/>
        <w:spacing w:after="0" w:line="264" w:lineRule="auto"/>
        <w:rPr>
          <w:sz w:val="20"/>
          <w:szCs w:val="20"/>
          <w:color w:val="auto"/>
        </w:rPr>
      </w:pPr>
      <w:r>
        <w:rPr>
          <w:rFonts w:ascii="Arial" w:cs="Arial" w:eastAsia="Arial" w:hAnsi="Arial"/>
          <w:sz w:val="18"/>
          <w:szCs w:val="18"/>
          <w:color w:val="auto"/>
        </w:rPr>
        <w:t>As of December 31, 2016, the Company updated the cash flow and revenue projections. Based on the updated assumptions, the fair value of the net unpaid Royalty was determined to be $136,000. As a result, the Company recognized $15,000 of general and administrative expense in the statement of operations.</w:t>
      </w:r>
    </w:p>
    <w:p>
      <w:pPr>
        <w:spacing w:after="0" w:line="18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On February 28, 2017, the Company settled the Lawsuit (see Note 14) by agreeing to make additional supplemental disclosures and agreeing to pay $175,000 for dismissal of the Lawsuit. This amount was recorded as a current liability on the balance sheet as of December 31, 2016 and recognized as general and administrative expense in the statement of operations for the year ended December 31, 2016. The stipulation of dismissal is pending with the court.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25" w:lineRule="exact"/>
        <w:rPr>
          <w:sz w:val="20"/>
          <w:szCs w:val="20"/>
          <w:color w:val="auto"/>
        </w:rPr>
      </w:pPr>
    </w:p>
    <w:p>
      <w:pPr>
        <w:ind w:right="280" w:firstLine="913"/>
        <w:spacing w:after="0" w:line="297" w:lineRule="auto"/>
        <w:rPr>
          <w:sz w:val="20"/>
          <w:szCs w:val="20"/>
          <w:color w:val="auto"/>
        </w:rPr>
      </w:pPr>
      <w:r>
        <w:rPr>
          <w:rFonts w:ascii="Arial" w:cs="Arial" w:eastAsia="Arial" w:hAnsi="Arial"/>
          <w:sz w:val="16"/>
          <w:szCs w:val="16"/>
          <w:color w:val="auto"/>
        </w:rPr>
        <w:t>The Company issued a total of 10,000 Series A Convertible Preferred Stock under the 2015 Sabby Purchase Agreement, with a par value of $0.001 and a stated value of $1,000 per share. The Series A Convertible Preferred Stock did not have an expiration date and were not redeemable at the option of the holders. During the three months ended March 31, 2016 and June 30, 2016 the holders of the Series A Convertible Preferred Stock converted 1,665 and 555, respectively, shares of Series A Convertible Preferred Stock resulting in the issuance of 180,000 and 60,000 shares of Common Stock, respectively. Under the 2016 Sabby Purchase Agreement, the remaining 7,780 shares of Series A Convertible Preferred Stock were repurchased.</w:t>
      </w:r>
    </w:p>
    <w:p>
      <w:pPr>
        <w:spacing w:after="0" w:line="158"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The Company has issued a total of 13,780 Series B Convertible Preferred Stock under the 2016 Sabby Purchase Agreement, with a par value of $0.001 and a stated value of $1,000 per share (see Note 2). During the year ended December 31, 2016, the holders of the Series B Convertible Preferred Stock converted 1,000 shares of the Series B Convertible Preferred Stock resulting in the issuance of 200,000 shares of Common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$12.30 to $8.75 per share on the effective date of the 2016 Sabby Purchase Agreement.</w:t>
      </w:r>
    </w:p>
    <w:p>
      <w:pPr>
        <w:spacing w:after="0" w:line="167" w:lineRule="exact"/>
        <w:rPr>
          <w:sz w:val="20"/>
          <w:szCs w:val="20"/>
          <w:color w:val="auto"/>
        </w:rPr>
      </w:pPr>
    </w:p>
    <w:p>
      <w:pPr>
        <w:ind w:right="160" w:firstLine="913"/>
        <w:spacing w:after="0" w:line="293" w:lineRule="auto"/>
        <w:rPr>
          <w:sz w:val="20"/>
          <w:szCs w:val="20"/>
          <w:color w:val="auto"/>
        </w:rPr>
      </w:pPr>
      <w:r>
        <w:rPr>
          <w:rFonts w:ascii="Arial" w:cs="Arial" w:eastAsia="Arial" w:hAnsi="Arial"/>
          <w:sz w:val="16"/>
          <w:szCs w:val="16"/>
          <w:color w:val="auto"/>
        </w:rPr>
        <w:t>The Company has recognized the repurchase of the Series A Convertible Preferred Stock as an extinguishment of the Series A Convertible Preferred Stock. The Company compared the fair value of the Series B Convertible Preferred Stock immediately after the two close dates under the 2016 Sabby Purchase Agreement to the carrying value of the Series A Convertible Preferred Stock immediately prior to the two close dates under the 2016 Sabby Purchase Agreement. The Company recorded the excess of the aggregate fair value of the Series B Convertible Preferred Stock, $3.4 million, as a loss on extinguishment. In addition, the Company estimated the effect of modifying the exercise price on the existing Series D warrants to be $203 thousand. The Company therefore recorded a total of $3.7 million extinguishment loss to net loss applicable to common stockholders.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right="100" w:firstLine="913"/>
        <w:spacing w:after="0" w:line="273"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78"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Options are to be granted at an exercise price not less than fair value for an ISO or 85% of fair value for an NSO. For individuals holding more than 10% of the voting rights of all classes of stock, the exercise price of an option will not be less than 110% of fair value. The vesting period is normally monthly over a period of 4 years from the vesting date. The contractual term of an option is no longer than five years for ISOs for which the grantee owns greater than 10% of the voting power of all classes of stock and no longer than ten years for all other options.</w:t>
      </w:r>
    </w:p>
    <w:p>
      <w:pPr>
        <w:spacing w:after="0" w:line="171"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Company recognized stock-based compensation expense related to options granted to employees for the fiscal years ended December 31, 2016 and 2015 of $871,270 and $942,369, respectively. The compensation expense is allocated on a departmental basis, based on the classification of the option holder. No income tax benefits have been recognized in the statements of operations for stock-based compensation arrangements as of December 31, 2016 and December 31, 2015.</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Stock compensation expense was allocated between departments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Year ended</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6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4"/>
              </w:rPr>
              <w:t>December 31,</w:t>
            </w:r>
          </w:p>
        </w:tc>
        <w:tc>
          <w:tcPr>
            <w:tcW w:w="1440" w:type="dxa"/>
            <w:vAlign w:val="bottom"/>
            <w:gridSpan w:val="3"/>
          </w:tcPr>
          <w:p>
            <w:pPr>
              <w:ind w:left="60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r>
      <w:tr>
        <w:trPr>
          <w:trHeight w:val="171"/>
        </w:trPr>
        <w:tc>
          <w:tcPr>
            <w:tcW w:w="63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165,154</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148,948</w:t>
            </w:r>
          </w:p>
        </w:tc>
        <w:tc>
          <w:tcPr>
            <w:tcW w:w="6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Sales &amp; Marketing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30,418</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62,533</w:t>
            </w:r>
          </w:p>
        </w:tc>
        <w:tc>
          <w:tcPr>
            <w:tcW w:w="6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675,698</w:t>
            </w:r>
          </w:p>
        </w:tc>
        <w:tc>
          <w:tcPr>
            <w:tcW w:w="6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730,888</w:t>
            </w:r>
          </w:p>
        </w:tc>
        <w:tc>
          <w:tcPr>
            <w:tcW w:w="60" w:type="dxa"/>
            <w:vAlign w:val="bottom"/>
            <w:shd w:val="clear" w:color="auto" w:fill="CCEEFF"/>
          </w:tcPr>
          <w:p>
            <w:pPr>
              <w:spacing w:after="0"/>
              <w:rPr>
                <w:sz w:val="18"/>
                <w:szCs w:val="18"/>
                <w:color w:val="auto"/>
              </w:rPr>
            </w:pPr>
          </w:p>
        </w:tc>
      </w:tr>
      <w:tr>
        <w:trPr>
          <w:trHeight w:val="223"/>
        </w:trPr>
        <w:tc>
          <w:tcPr>
            <w:tcW w:w="634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871,270</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942,369</w:t>
            </w:r>
          </w:p>
        </w:tc>
        <w:tc>
          <w:tcPr>
            <w:tcW w:w="6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Company granted options to purchase 267,851 and 191,142 of the Company’s common stock in 2016 and 2015. The fair value of each award granted was estimated on the date of grant using the Black-Scholes option pricing model with the following assumptions for the year ended December 31, 2016:</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Year Ended</w:t>
            </w:r>
          </w:p>
        </w:tc>
        <w:tc>
          <w:tcPr>
            <w:tcW w:w="520" w:type="dxa"/>
            <w:vAlign w:val="bottom"/>
            <w:tcBorders>
              <w:bottom w:val="single" w:sz="8" w:color="auto"/>
            </w:tcBorders>
          </w:tcPr>
          <w:p>
            <w:pPr>
              <w:spacing w:after="0"/>
              <w:rPr>
                <w:sz w:val="14"/>
                <w:szCs w:val="14"/>
                <w:color w:val="auto"/>
              </w:rPr>
            </w:pPr>
          </w:p>
        </w:tc>
      </w:tr>
      <w:tr>
        <w:trPr>
          <w:trHeight w:val="119"/>
        </w:trPr>
        <w:tc>
          <w:tcPr>
            <w:tcW w:w="40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9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December 31,</w:t>
            </w:r>
          </w:p>
        </w:tc>
        <w:tc>
          <w:tcPr>
            <w:tcW w:w="340" w:type="dxa"/>
            <w:vAlign w:val="bottom"/>
          </w:tcPr>
          <w:p>
            <w:pPr>
              <w:spacing w:after="0"/>
              <w:rPr>
                <w:sz w:val="10"/>
                <w:szCs w:val="10"/>
                <w:color w:val="auto"/>
              </w:rPr>
            </w:pPr>
          </w:p>
        </w:tc>
        <w:tc>
          <w:tcPr>
            <w:tcW w:w="9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r>
      <w:tr>
        <w:trPr>
          <w:trHeight w:val="171"/>
        </w:trPr>
        <w:tc>
          <w:tcPr>
            <w:tcW w:w="4040" w:type="dxa"/>
            <w:vAlign w:val="bottom"/>
          </w:tcPr>
          <w:p>
            <w:pPr>
              <w:spacing w:after="0"/>
              <w:rPr>
                <w:sz w:val="14"/>
                <w:szCs w:val="14"/>
                <w:color w:val="auto"/>
              </w:rPr>
            </w:pPr>
          </w:p>
        </w:tc>
        <w:tc>
          <w:tcPr>
            <w:tcW w:w="3400" w:type="dxa"/>
            <w:vAlign w:val="bottom"/>
            <w:gridSpan w:val="3"/>
          </w:tcPr>
          <w:p>
            <w:pPr>
              <w:jc w:val="center"/>
              <w:ind w:left="2396"/>
              <w:spacing w:after="0"/>
              <w:rPr>
                <w:sz w:val="20"/>
                <w:szCs w:val="20"/>
                <w:color w:val="auto"/>
              </w:rPr>
            </w:pPr>
            <w:r>
              <w:rPr>
                <w:rFonts w:ascii="Arial" w:cs="Arial" w:eastAsia="Arial" w:hAnsi="Arial"/>
                <w:sz w:val="14"/>
                <w:szCs w:val="14"/>
                <w:b w:val="1"/>
                <w:bCs w:val="1"/>
                <w:color w:val="auto"/>
                <w:w w:val="89"/>
              </w:rPr>
              <w:t>2016</w:t>
            </w:r>
          </w:p>
        </w:tc>
        <w:tc>
          <w:tcPr>
            <w:tcW w:w="1240" w:type="dxa"/>
            <w:vAlign w:val="bottom"/>
            <w:gridSpan w:val="3"/>
          </w:tcPr>
          <w:p>
            <w:pPr>
              <w:jc w:val="center"/>
              <w:ind w:left="236"/>
              <w:spacing w:after="0"/>
              <w:rPr>
                <w:sz w:val="20"/>
                <w:szCs w:val="20"/>
                <w:color w:val="auto"/>
              </w:rPr>
            </w:pPr>
            <w:r>
              <w:rPr>
                <w:rFonts w:ascii="Arial" w:cs="Arial" w:eastAsia="Arial" w:hAnsi="Arial"/>
                <w:sz w:val="14"/>
                <w:szCs w:val="14"/>
                <w:b w:val="1"/>
                <w:bCs w:val="1"/>
                <w:color w:val="auto"/>
                <w:w w:val="89"/>
              </w:rPr>
              <w:t>2015</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24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6.1</w:t>
            </w:r>
          </w:p>
        </w:tc>
        <w:tc>
          <w:tcPr>
            <w:tcW w:w="3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7"/>
              </w:rPr>
              <w:t>6.1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520" w:type="dxa"/>
            <w:vAlign w:val="bottom"/>
          </w:tcPr>
          <w:p>
            <w:pPr>
              <w:ind w:left="20"/>
              <w:spacing w:after="0"/>
              <w:rPr>
                <w:sz w:val="20"/>
                <w:szCs w:val="20"/>
                <w:color w:val="auto"/>
              </w:rPr>
            </w:pPr>
            <w:r>
              <w:rPr>
                <w:rFonts w:ascii="Arial" w:cs="Arial" w:eastAsia="Arial" w:hAnsi="Arial"/>
                <w:sz w:val="18"/>
                <w:szCs w:val="18"/>
                <w:color w:val="auto"/>
                <w:w w:val="92"/>
              </w:rPr>
              <w:t>- 1.7%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ind w:left="20"/>
              <w:spacing w:after="0"/>
              <w:rPr>
                <w:sz w:val="20"/>
                <w:szCs w:val="20"/>
                <w:color w:val="auto"/>
              </w:rPr>
            </w:pPr>
            <w:r>
              <w:rPr>
                <w:rFonts w:ascii="Arial" w:cs="Arial" w:eastAsia="Arial" w:hAnsi="Arial"/>
                <w:sz w:val="18"/>
                <w:szCs w:val="18"/>
                <w:color w:val="auto"/>
                <w:w w:val="92"/>
              </w:rPr>
              <w:t>- 1.7%</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- 66%</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Dividend rate</w:t>
            </w:r>
          </w:p>
        </w:tc>
        <w:tc>
          <w:tcPr>
            <w:tcW w:w="2480" w:type="dxa"/>
            <w:vAlign w:val="bottom"/>
          </w:tcPr>
          <w:p>
            <w:pPr>
              <w:spacing w:after="0"/>
              <w:rPr>
                <w:sz w:val="20"/>
                <w:szCs w:val="20"/>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rPr>
              <w:t>— %</w:t>
            </w:r>
          </w:p>
        </w:tc>
        <w:tc>
          <w:tcPr>
            <w:tcW w:w="34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Black-Scholes option-pricing model requires the use of highly subjective assumptions to estimate the fair value of stock-based awards.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assumptions include:</w:t>
      </w:r>
    </w:p>
    <w:p>
      <w:pPr>
        <w:spacing w:after="0" w:line="116" w:lineRule="exact"/>
        <w:rPr>
          <w:sz w:val="20"/>
          <w:szCs w:val="20"/>
          <w:color w:val="auto"/>
        </w:rPr>
      </w:pPr>
    </w:p>
    <w:p>
      <w:pPr>
        <w:ind w:left="1460" w:right="380" w:hanging="547"/>
        <w:spacing w:after="0" w:line="277" w:lineRule="auto"/>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The estimated volatility rate based on a peer index of common stock of comparable companies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w:t>
      </w:r>
    </w:p>
    <w:p>
      <w:pPr>
        <w:spacing w:after="0" w:line="75" w:lineRule="exact"/>
        <w:rPr>
          <w:rFonts w:ascii="Arial" w:cs="Arial" w:eastAsia="Arial" w:hAnsi="Arial"/>
          <w:sz w:val="18"/>
          <w:szCs w:val="18"/>
          <w:color w:val="auto"/>
        </w:rPr>
      </w:pPr>
    </w:p>
    <w:p>
      <w:pPr>
        <w:ind w:left="1460" w:right="120" w:hanging="547"/>
        <w:spacing w:after="0" w:line="259" w:lineRule="auto"/>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w:t>
      </w:r>
      <w:r>
        <w:rPr>
          <w:rFonts w:ascii="Arial" w:cs="Arial" w:eastAsia="Arial" w:hAnsi="Arial"/>
          <w:sz w:val="18"/>
          <w:szCs w:val="18"/>
          <w:i w:val="1"/>
          <w:iCs w:val="1"/>
          <w:color w:val="auto"/>
        </w:rPr>
        <w:t xml:space="preserve"> </w:t>
      </w:r>
      <w:r>
        <w:rPr>
          <w:rFonts w:ascii="Arial" w:cs="Arial" w:eastAsia="Arial" w:hAnsi="Arial"/>
          <w:sz w:val="18"/>
          <w:szCs w:val="18"/>
          <w:color w:val="auto"/>
        </w:rPr>
        <w:t>vesting 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92"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Risk-free rate: </w:t>
      </w:r>
      <w:r>
        <w:rPr>
          <w:rFonts w:ascii="Arial" w:cs="Arial" w:eastAsia="Arial" w:hAnsi="Arial"/>
          <w:sz w:val="18"/>
          <w:szCs w:val="18"/>
          <w:color w:val="auto"/>
        </w:rPr>
        <w:t>The risk-free interest rate is based on the yields of U.S. Treasury securities with maturities similar to the expected time to</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w:t>
      </w:r>
    </w:p>
    <w:p>
      <w:pPr>
        <w:spacing w:after="0" w:line="75"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foreseeable future. Consequently, the Company used an expected dividend yield of zero.</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table summarizes stock option transactions for the years ended December 31, 2016 and 2015 as issued under the Plans: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2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Weighted-</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89"/>
              </w:rPr>
              <w:t>Shares Available</w:t>
            </w:r>
          </w:p>
        </w:tc>
        <w:tc>
          <w:tcPr>
            <w:tcW w:w="112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12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6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for Grant</w:t>
            </w: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9"/>
              </w:rPr>
              <w:t>Outstanding</w:t>
            </w:r>
          </w:p>
        </w:tc>
        <w:tc>
          <w:tcPr>
            <w:tcW w:w="300" w:type="dxa"/>
            <w:vAlign w:val="bottom"/>
          </w:tcPr>
          <w:p>
            <w:pPr>
              <w:spacing w:after="0"/>
              <w:rPr>
                <w:sz w:val="14"/>
                <w:szCs w:val="14"/>
                <w:color w:val="auto"/>
              </w:rPr>
            </w:pPr>
          </w:p>
        </w:tc>
        <w:tc>
          <w:tcPr>
            <w:tcW w:w="16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5"/>
              </w:rPr>
              <w:t>Price per Share</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121,212</w:t>
            </w:r>
          </w:p>
        </w:tc>
        <w:tc>
          <w:tcPr>
            <w:tcW w:w="6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214,402</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31.70</w:t>
            </w:r>
          </w:p>
        </w:tc>
        <w:tc>
          <w:tcPr>
            <w:tcW w:w="6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Additional shares authorized</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54,152</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(191,142)</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191,142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15.40</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Options exercised</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(16,769)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17.50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canceled/forfeited</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17,007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(17,007)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25.15</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Balance at December 31, 2015</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1,229</w:t>
            </w:r>
          </w:p>
        </w:tc>
        <w:tc>
          <w:tcPr>
            <w:tcW w:w="6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371,768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shares authorized</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112,143</w:t>
            </w:r>
          </w:p>
        </w:tc>
        <w:tc>
          <w:tcPr>
            <w:tcW w:w="11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Amendment to plan to authorize additional shares</w:t>
            </w:r>
          </w:p>
        </w:tc>
        <w:tc>
          <w:tcPr>
            <w:tcW w:w="1680" w:type="dxa"/>
            <w:vAlign w:val="bottom"/>
            <w:gridSpan w:val="2"/>
          </w:tcPr>
          <w:p>
            <w:pPr>
              <w:jc w:val="right"/>
              <w:ind w:right="660"/>
              <w:spacing w:after="0"/>
              <w:rPr>
                <w:sz w:val="20"/>
                <w:szCs w:val="20"/>
                <w:color w:val="auto"/>
              </w:rPr>
            </w:pPr>
            <w:r>
              <w:rPr>
                <w:rFonts w:ascii="Arial" w:cs="Arial" w:eastAsia="Arial" w:hAnsi="Arial"/>
                <w:sz w:val="18"/>
                <w:szCs w:val="18"/>
                <w:color w:val="auto"/>
              </w:rPr>
              <w:t>300,000</w:t>
            </w:r>
          </w:p>
        </w:tc>
        <w:tc>
          <w:tcPr>
            <w:tcW w:w="11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granted</w:t>
            </w:r>
          </w:p>
        </w:tc>
        <w:tc>
          <w:tcPr>
            <w:tcW w:w="16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(267,851)</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267,851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6.80</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Options exercised</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(11,683)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20"/>
              <w:spacing w:after="0"/>
              <w:rPr>
                <w:sz w:val="20"/>
                <w:szCs w:val="20"/>
                <w:color w:val="auto"/>
              </w:rPr>
            </w:pPr>
            <w:r>
              <w:rPr>
                <w:rFonts w:ascii="Arial" w:cs="Arial" w:eastAsia="Arial" w:hAnsi="Arial"/>
                <w:sz w:val="18"/>
                <w:szCs w:val="18"/>
                <w:color w:val="auto"/>
              </w:rPr>
              <w:t>6.00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Options canceled/forfeited</w:t>
            </w:r>
          </w:p>
        </w:tc>
        <w:tc>
          <w:tcPr>
            <w:tcW w:w="16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46,249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(46,249)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15.45</w:t>
            </w: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191,770</w:t>
            </w:r>
          </w:p>
        </w:tc>
        <w:tc>
          <w:tcPr>
            <w:tcW w:w="6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581,687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62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at December 31, 2016</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290,006</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20.60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Options vested and expected to vest at December 31, 2016</w:t>
            </w: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581,686</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62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$8.30 and $4.05 per share for the year ended December 31, 2016 and December 31, 2015, respectively. At December 31, 2016 total unrecognized employee stock-based compensation was $1,553,427, which is expected to be recognized over the weighted-average remaining vesting period of 2.7 years. As of December 31, 2016, the outstanding stock options had an intrinsic value of zero.</w:t>
      </w:r>
    </w:p>
    <w:p>
      <w:pPr>
        <w:spacing w:after="0" w:line="146"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141"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In June 2016, the Company granted 11,000 NSOs to sales representatives of Bemes, Inc. Of the 11,000 options granted, 5,499 options with a fair value of $26,355 vested immediately upon grant. Accelerated vesting of the remaining options were contingent on the satisfaction of certain performance requirements, that were not met. Regardless of not achieving accelerated vesting, the remaining options have a one year cliff vesting. As a result, the Company recognized $13,502 in expense for the remaining options during 2016, which will vest during the first quarter of 2017. Total expense for the two groups of options reflects the fair value of the Company’s common stock on the applicable vesting commencement dates.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7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27,967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19" w:lineRule="exact"/>
        <w:rPr>
          <w:sz w:val="20"/>
          <w:szCs w:val="20"/>
          <w:color w:val="auto"/>
        </w:rPr>
      </w:pPr>
    </w:p>
    <w:p>
      <w:pPr>
        <w:ind w:left="1460" w:hanging="547"/>
        <w:spacing w:after="0"/>
        <w:tabs>
          <w:tab w:leader="none" w:pos="1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55,936 shares;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December 31, 2016 there were no purchases by employees under this plan.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90"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Company has issued 256,064 Series D Warrants, with an exercise price of $12.30 and a term of five years expiring on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herein. The Company evaluated the registration payment arrangement stipulated in the terms of this securities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77"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77"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As of December 31, 2016, the Company had 96,029 Common Stock warrants outstanding from the 2010/2012 convertible notes, with an exercise price of $24.35 and a term of 10 years expiring in November 2024. During the year ended December 31, 2015, 8,744 Common Stock warrants were cashless exercised resulting in the issuance of 2,681 shares of the Company’s Common Stock. The Company also has outstanding 1,851 Common Stock warrants issued in 2009, with an exercise price of $108.00 and a term of 10 years, expiring in January 2019 and 16,500 Common Stock warrants issued to the underwriter in our IPO, with an exercise price of $35.70 and a term of 10 years, expiring in November 2024.</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21"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Due to net losses in 2016 and 2015, the Company had no material current, deferred, or total income tax expense in the years ended December 31, 2016 and 2015.</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geographical distribution of loss before income taxes are summarized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23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880" w:type="dxa"/>
            <w:vAlign w:val="bottom"/>
            <w:tcBorders>
              <w:top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7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$(6,501,997)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$(9,740,066)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Foreign</w:t>
            </w:r>
          </w:p>
        </w:tc>
        <w:tc>
          <w:tcPr>
            <w:tcW w:w="27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(235,623)</w:t>
            </w:r>
          </w:p>
        </w:tc>
        <w:tc>
          <w:tcPr>
            <w:tcW w:w="2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(6,737,620)</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(9,740,066)</w:t>
            </w:r>
          </w:p>
        </w:tc>
        <w:tc>
          <w:tcPr>
            <w:tcW w:w="0" w:type="dxa"/>
            <w:vAlign w:val="bottom"/>
          </w:tcPr>
          <w:p>
            <w:pPr>
              <w:spacing w:after="0"/>
              <w:rPr>
                <w:sz w:val="1"/>
                <w:szCs w:val="1"/>
                <w:color w:val="auto"/>
              </w:rPr>
            </w:pPr>
          </w:p>
        </w:tc>
      </w:tr>
      <w:tr>
        <w:trPr>
          <w:trHeight w:val="20"/>
        </w:trPr>
        <w:tc>
          <w:tcPr>
            <w:tcW w:w="3660" w:type="dxa"/>
            <w:vAlign w:val="bottom"/>
            <w:gridSpan w:val="2"/>
            <w:vMerge w:val="restart"/>
          </w:tcPr>
          <w:p>
            <w:pPr>
              <w:spacing w:after="0"/>
              <w:rPr>
                <w:sz w:val="20"/>
                <w:szCs w:val="20"/>
                <w:color w:val="auto"/>
              </w:rPr>
            </w:pPr>
            <w:r>
              <w:rPr>
                <w:rFonts w:ascii="Arial" w:cs="Arial" w:eastAsia="Arial" w:hAnsi="Arial"/>
                <w:sz w:val="18"/>
                <w:szCs w:val="18"/>
                <w:color w:val="auto"/>
              </w:rPr>
              <w:t>Loss resulting from discontinued operations</w:t>
            </w:r>
          </w:p>
        </w:tc>
        <w:tc>
          <w:tcPr>
            <w:tcW w:w="27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gridSpan w:val="2"/>
            <w:vMerge w:val="continue"/>
          </w:tcPr>
          <w:p>
            <w:pPr>
              <w:spacing w:after="0"/>
              <w:rPr>
                <w:sz w:val="18"/>
                <w:szCs w:val="18"/>
                <w:color w:val="auto"/>
              </w:rPr>
            </w:pPr>
          </w:p>
        </w:tc>
        <w:tc>
          <w:tcPr>
            <w:tcW w:w="27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(5,305,894</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(6,168,480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Taxes allocated to discontinued operations</w:t>
            </w:r>
          </w:p>
        </w:tc>
        <w:tc>
          <w:tcPr>
            <w:tcW w:w="27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840" w:type="dxa"/>
            <w:vAlign w:val="bottom"/>
            <w:gridSpan w:val="3"/>
          </w:tcPr>
          <w:p>
            <w:pPr>
              <w:jc w:val="right"/>
              <w:ind w:right="2920"/>
              <w:spacing w:after="0"/>
              <w:rPr>
                <w:sz w:val="20"/>
                <w:szCs w:val="20"/>
                <w:color w:val="auto"/>
              </w:rPr>
            </w:pPr>
            <w:r>
              <w:rPr>
                <w:rFonts w:ascii="Arial" w:cs="Arial" w:eastAsia="Arial" w:hAnsi="Arial"/>
                <w:sz w:val="18"/>
                <w:szCs w:val="18"/>
                <w:color w:val="auto"/>
              </w:rPr>
              <w:t>F-24</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A reconciliation of income tax expense for continuing operations with amounts determined by applying the statutory U.S. federal income tax rate to income before income taxes is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r>
      <w:tr>
        <w:trPr>
          <w:trHeight w:val="182"/>
        </w:trPr>
        <w:tc>
          <w:tcPr>
            <w:tcW w:w="20" w:type="dxa"/>
            <w:vAlign w:val="bottom"/>
          </w:tcPr>
          <w:p>
            <w:pPr>
              <w:spacing w:after="0"/>
              <w:rPr>
                <w:sz w:val="15"/>
                <w:szCs w:val="15"/>
                <w:color w:val="auto"/>
              </w:rPr>
            </w:pPr>
          </w:p>
        </w:tc>
        <w:tc>
          <w:tcPr>
            <w:tcW w:w="57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3"/>
              </w:rPr>
              <w:t>Tax on the loss before income tax expense computed at the federal statutory</w:t>
            </w:r>
          </w:p>
        </w:tc>
        <w:tc>
          <w:tcPr>
            <w:tcW w:w="3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30"/>
        </w:trPr>
        <w:tc>
          <w:tcPr>
            <w:tcW w:w="20" w:type="dxa"/>
            <w:vAlign w:val="bottom"/>
          </w:tcPr>
          <w:p>
            <w:pPr>
              <w:spacing w:after="0"/>
              <w:rPr>
                <w:sz w:val="20"/>
                <w:szCs w:val="20"/>
                <w:color w:val="auto"/>
              </w:rPr>
            </w:pPr>
          </w:p>
        </w:tc>
        <w:tc>
          <w:tcPr>
            <w:tcW w:w="57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rate of 34%</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$(2,290,862)</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$(3,311,267)</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State tax (benefit) at statutory rate, net of federal benefit</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(136,982)</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(568,213)</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2,355,170</w:t>
            </w:r>
          </w:p>
        </w:tc>
        <w:tc>
          <w:tcPr>
            <w:tcW w:w="3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1,826,219</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 in research and development credits</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(129,974)</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(60,991)</w:t>
            </w: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Stock Based Compensation - ISO</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274,506</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warrants</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(619,067)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1,493,215</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511,866</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621,037</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 %</w:t>
            </w: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and liabilities are as follows at December 31, 2016 and 2015:</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Non-Current Deferred Tax 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Reserves and accruals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159,163</w:t>
            </w:r>
          </w:p>
        </w:tc>
        <w:tc>
          <w:tcPr>
            <w:tcW w:w="3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152,137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Assets held for sale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30,291,080</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26,174,912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1,580,253</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1,381,296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340"/>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(74,376)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(77,168)</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Fixed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20" w:type="dxa"/>
            <w:vAlign w:val="bottom"/>
            <w:shd w:val="clear" w:color="auto" w:fill="CCEEFF"/>
          </w:tcPr>
          <w:p>
            <w:pPr>
              <w:spacing w:after="0"/>
              <w:rPr>
                <w:sz w:val="18"/>
                <w:szCs w:val="18"/>
                <w:color w:val="auto"/>
              </w:rPr>
            </w:pPr>
          </w:p>
        </w:tc>
      </w:t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Total Non-Current Deferred Tax Assets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32,017,896</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27,779,025</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8"/>
              </w:rPr>
              <w:t>(32,017,896)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(27,779,025)</w:t>
            </w:r>
          </w:p>
        </w:tc>
      </w:tr>
      <w:tr>
        <w:trPr>
          <w:trHeight w:val="223"/>
        </w:trPr>
        <w:tc>
          <w:tcPr>
            <w:tcW w:w="5920" w:type="dxa"/>
            <w:vAlign w:val="bottom"/>
            <w:gridSpan w:val="2"/>
          </w:tcPr>
          <w:p>
            <w:pPr>
              <w:spacing w:after="0"/>
              <w:rPr>
                <w:sz w:val="20"/>
                <w:szCs w:val="20"/>
                <w:color w:val="auto"/>
              </w:rPr>
            </w:pPr>
            <w:r>
              <w:rPr>
                <w:rFonts w:ascii="Arial" w:cs="Arial" w:eastAsia="Arial" w:hAnsi="Arial"/>
                <w:sz w:val="18"/>
                <w:szCs w:val="18"/>
                <w:color w:val="auto"/>
              </w:rPr>
              <w:t>Net Deferred Tax Liability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Company has recorded a full valuation allowance against its net deferred tax assets as it believes that it is more likely than not that such assets will not be realized. The valuation allowance increased by $4,238,871 from December 31, 2015 to December 31, 2016 primarily due to the generation of current year net operating losses and research and development credits claimed.</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380"/>
          </w:cols>
          <w:pgMar w:left="240" w:top="459" w:right="2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As of December 31, 2016, the Company had $80 million of federal, $52 million of state and $235,000 of United Kingdom net operating losses available to offset future taxable income. The federal net operating loss carryforwards begins to expire in 2019, the state net operating loss carryforwards will begin to expire in 2017 and the foreign net operating loss carryforward can be carried forward indefinitely. As of December 31, 2016, the Company also had $1.5 million of federal and $1.2 million of state research and development credit carryforwards. The federal research and development credit carryforward begins to expire in 2024 and the state research and development credit can be carried forward indefinitely.</w:t>
      </w:r>
    </w:p>
    <w:p>
      <w:pPr>
        <w:spacing w:after="0" w:line="173"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United States taxes and foreign withholding taxes have not been provided on undistributed earnings for non-United States subsidiaries as of December 31, 2016, as the earnings, if any, are intended to be indefinitely reinvested.</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tables summarize the activities of gross unrecognized tax benefits: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108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$691,697</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$673,247</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35,804</w:t>
            </w:r>
          </w:p>
        </w:tc>
        <w:tc>
          <w:tcPr>
            <w:tcW w:w="1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(13,207)</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67,461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31,657</w:t>
            </w:r>
          </w:p>
        </w:tc>
        <w:tc>
          <w:tcPr>
            <w:tcW w:w="12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794,962</w:t>
            </w:r>
          </w:p>
        </w:tc>
        <w:tc>
          <w:tcPr>
            <w:tcW w:w="4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691,697</w:t>
            </w:r>
          </w:p>
        </w:tc>
        <w:tc>
          <w:tcPr>
            <w:tcW w:w="12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913"/>
        <w:spacing w:after="0" w:line="342" w:lineRule="auto"/>
        <w:rPr>
          <w:sz w:val="20"/>
          <w:szCs w:val="20"/>
          <w:color w:val="auto"/>
        </w:rPr>
      </w:pPr>
      <w:r>
        <w:rPr>
          <w:rFonts w:ascii="Arial" w:cs="Arial" w:eastAsia="Arial" w:hAnsi="Arial"/>
          <w:sz w:val="16"/>
          <w:szCs w:val="16"/>
          <w:color w:val="auto"/>
        </w:rPr>
        <w:t>The amount of unrecognized tax benefits that would impact the effective tax rate were approximately none and none as of December 31, 2016 and December 31, 2015, respectively. As of December 31, 2016, unrecognized tax benefits of $794,962 would be offset by a change in valuation allowance.</w:t>
      </w:r>
    </w:p>
    <w:p>
      <w:pPr>
        <w:spacing w:after="0" w:line="124"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The Company files income tax returns in the U.S. federal jurisdiction, certain state jurisdictions and the United Kingdom. In the normal course of business, the Company is subject to examination by federal, state, local and foreign jurisdictions, where applicable. In the U.S federal jurisdiction, tax years 1999 forward remain open to examination, in the state tax jurisdiction, years 2005 forward remain open to examination and in the foreign jurisdiction 2015 remain open to examination. The Company is currently not under audit by any federal, state or local jurisdiction.</w:t>
      </w:r>
    </w:p>
    <w:p>
      <w:pPr>
        <w:spacing w:after="0" w:line="171" w:lineRule="exact"/>
        <w:rPr>
          <w:sz w:val="20"/>
          <w:szCs w:val="20"/>
          <w:color w:val="auto"/>
        </w:rPr>
      </w:pPr>
    </w:p>
    <w:p>
      <w:pPr>
        <w:ind w:right="240" w:firstLine="913"/>
        <w:spacing w:after="0" w:line="257" w:lineRule="auto"/>
        <w:rPr>
          <w:sz w:val="20"/>
          <w:szCs w:val="20"/>
          <w:color w:val="auto"/>
        </w:rPr>
      </w:pPr>
      <w:r>
        <w:rPr>
          <w:rFonts w:ascii="Arial" w:cs="Arial" w:eastAsia="Arial" w:hAnsi="Arial"/>
          <w:sz w:val="18"/>
          <w:szCs w:val="18"/>
          <w:color w:val="auto"/>
        </w:rPr>
        <w:t>The Company uses the “more likely than not” criterion for recognizing the tax benefit of uncertain tax positions and to establish measurement criteria for income tax benefits. The Company has determined it has no material unrecognized assets or liabilities related to uncertain tax positions as of December 31, 2016. The Company does not anticipate any significant changes in such uncertainties and judgments during the next 12 months. In the event the Company should need to recognize interest and penalties related to unrecognized tax liabilities, this amount will be recorded as a component of other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21"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Diluted net loss per share is computed by dividing net loss by the weighted-average number of Common Stock outstanding and dilutive potential Common Stock that would be issued upon the exercise of Common Stock warrants and options. For the year ended December 31, 2016 and 2015, the effect of issuing the potential common stock is anti-dilutive due to the net losses in those periods and the number of shares used to compute basic and diluted earnings per share are the same in each of those periods.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firstLine="913"/>
        <w:spacing w:after="0" w:line="308" w:lineRule="auto"/>
        <w:rPr>
          <w:sz w:val="20"/>
          <w:szCs w:val="20"/>
          <w:color w:val="auto"/>
        </w:rPr>
      </w:pPr>
      <w:r>
        <w:rPr>
          <w:rFonts w:ascii="Arial" w:cs="Arial" w:eastAsia="Arial" w:hAnsi="Arial"/>
          <w:sz w:val="17"/>
          <w:szCs w:val="17"/>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6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8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77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2"/>
                <w:szCs w:val="12"/>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2,556,000</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492,432</w:t>
            </w:r>
          </w:p>
        </w:tc>
        <w:tc>
          <w:tcPr>
            <w:tcW w:w="6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96,029</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96,029</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581,686</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371,767</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Warrants issued in 2009 to purchase common stock</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1,851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1,851</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16,500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Series A warrants to purchase common stock</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485,121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485,121</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Series B warrants to purchase common stock</w:t>
            </w: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23,316</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Series C warrants to purchase common stock</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118,083</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118,083</w:t>
            </w:r>
          </w:p>
        </w:tc>
      </w:tr>
      <w:tr>
        <w:trPr>
          <w:trHeight w:val="216"/>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Series D warrants to purchase common stock</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586,162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256,064</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NeoForce Group, Inc. Acquisition</w:t>
      </w:r>
    </w:p>
    <w:p>
      <w:pPr>
        <w:spacing w:after="0" w:line="12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On September 8, 2015, the Company through its wholly owned subsidiary Neoforce, Inc (“NFI”), acquired substantially all of the assets of NeoForce in exchange for an upfront cash payment of $1.0 million. In addition, the Company agreed to pay the former NeoForce shareholder an annual royalty payment for a period of 36 months (“Royalty”) in the low single digits based on net sales of NeoForce products that were acquired by the Company. As of December 31, 2016, the Company recorded $11,142 of Royalty payable.</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The acquisition of NeoForce strengthens the Company’s commitment to leveraging technology to address unmet needs in neonatology, which is a high growth segment in the healthcare business. The Company plans to leverage the expertise and hospital relationships of NeoForce to accelerate the adoption of CoSense.</w:t>
      </w:r>
    </w:p>
    <w:p>
      <w:pPr>
        <w:spacing w:after="0" w:line="181"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The transaction has been accounted for as a business combination under the acquisition method of accounting. Accordingly, the tangible assets and identifiable intangible assets acquired and liabilities assumed have been recorded at fair value, with the remaining purchase price recorded as goodwill. The fair values of current assets and liabilities approximated their book value. The fair values of acquired assets and liabilities are based on preliminary cash flow projections and other assumptions. The fair values of acquired intangible assets were determined using several significant unobservable inputs for projected cash flows and a discount rate. These inputs are considered Level 3 inputs under the fair value measurements and disclosure guidance.</w:t>
      </w:r>
    </w:p>
    <w:p>
      <w:pPr>
        <w:spacing w:after="0" w:line="158" w:lineRule="exact"/>
        <w:rPr>
          <w:sz w:val="20"/>
          <w:szCs w:val="20"/>
          <w:color w:val="auto"/>
        </w:rPr>
      </w:pPr>
    </w:p>
    <w:p>
      <w:pPr>
        <w:ind w:right="20" w:firstLine="913"/>
        <w:spacing w:after="0" w:line="272" w:lineRule="auto"/>
        <w:rPr>
          <w:sz w:val="20"/>
          <w:szCs w:val="20"/>
          <w:color w:val="auto"/>
        </w:rPr>
      </w:pPr>
      <w:r>
        <w:rPr>
          <w:rFonts w:ascii="Arial" w:cs="Arial" w:eastAsia="Arial" w:hAnsi="Arial"/>
          <w:sz w:val="17"/>
          <w:szCs w:val="17"/>
          <w:color w:val="auto"/>
        </w:rPr>
        <w:t>The agreement to pay the annual Royalty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was determined to be $153,000 at the date of acquisition and at December 31, 2015. The fair value of the royalty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w:t>
      </w:r>
    </w:p>
    <w:p>
      <w:pPr>
        <w:spacing w:after="0" w:line="178"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w w:val="92"/>
              </w:rPr>
              <w:t>The aggregate purchase price consideration was as follows:</w:t>
            </w:r>
          </w:p>
        </w:tc>
        <w:tc>
          <w:tcPr>
            <w:tcW w:w="3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vMerge w:val="restart"/>
          </w:tcPr>
          <w:p>
            <w:pPr>
              <w:spacing w:after="0"/>
              <w:rPr>
                <w:sz w:val="21"/>
                <w:szCs w:val="21"/>
                <w:color w:val="auto"/>
              </w:rPr>
            </w:pPr>
          </w:p>
        </w:tc>
        <w:tc>
          <w:tcPr>
            <w:tcW w:w="354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33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purchase price consideration</w:t>
            </w:r>
          </w:p>
        </w:tc>
        <w:tc>
          <w:tcPr>
            <w:tcW w:w="4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1,153,000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4220" w:type="dxa"/>
            <w:vAlign w:val="bottom"/>
            <w:gridSpan w:val="3"/>
          </w:tcPr>
          <w:p>
            <w:pPr>
              <w:ind w:left="160"/>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1" w:name="page152"/>
    <w:bookmarkEnd w:id="1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5">
              <w:r>
                <w:rPr>
                  <w:rFonts w:ascii="Arial" w:cs="Arial" w:eastAsia="Arial" w:hAnsi="Arial"/>
                  <w:sz w:val="18"/>
                  <w:szCs w:val="18"/>
                  <w:b w:val="1"/>
                  <w:bCs w:val="1"/>
                  <w:color w:val="0000EE"/>
                  <w:w w:val="88"/>
                </w:rPr>
                <w:t>Table of Contents</w:t>
              </w:r>
            </w:hyperlink>
          </w:p>
        </w:tc>
        <w:tc>
          <w:tcPr>
            <w:tcW w:w="6340" w:type="dxa"/>
            <w:vAlign w:val="bottom"/>
            <w:gridSpan w:val="2"/>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7700" w:type="dxa"/>
            <w:vAlign w:val="bottom"/>
            <w:gridSpan w:val="3"/>
          </w:tcPr>
          <w:p>
            <w:pPr>
              <w:ind w:left="920"/>
              <w:spacing w:after="0"/>
              <w:rPr>
                <w:sz w:val="20"/>
                <w:szCs w:val="20"/>
                <w:color w:val="auto"/>
              </w:rPr>
            </w:pPr>
            <w:r>
              <w:rPr>
                <w:rFonts w:ascii="Arial" w:cs="Arial" w:eastAsia="Arial" w:hAnsi="Arial"/>
                <w:sz w:val="18"/>
                <w:szCs w:val="18"/>
                <w:color w:val="auto"/>
              </w:rPr>
              <w:t>The fair values of assets acquired at the transaction date are summarized below:</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6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58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6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 acquired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Customer contracts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259,730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Goodwill</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Acquired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1,153,000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Net tangible assets acquired consisted primarily of equipment, furniture and fixtures.</w:t>
      </w:r>
    </w:p>
    <w:p>
      <w:pPr>
        <w:spacing w:after="0" w:line="225"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Goodwill is an unidentifiable asset and, as such, can only be measured as a residual. A significant component of the NeoForce goodwill, which did not meet the criteria for separate recognition as an intangible asset was a skilled and assembled workforce. The founder of NeoForce, who became the General Manager of Neonatology at the Company, brings 25 years of medical device sales, operations and product development experience at neonatology focused companies. The Company plans to use his expertise and broad relationships with top tier hospitals across the United States to accelerate the adoption of CoSense. The Company also expects to achieve synergies in the areas of accounting, informational technology, sales &amp; marketing and other general administration expenses through the combination.</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 (Unaudited)</w:t>
      </w:r>
    </w:p>
    <w:p>
      <w:pPr>
        <w:spacing w:after="0" w:line="117"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The following table presents the unaudited pro forma results of the Company (including the operations of Neoforce) for the year ended December 31, 2015. The unaudited pro forma financial information combines the results of operations of the Company and NeoForce as though the companies had been combined as of the beginning of the fiscal period presented. As of September 8, 2015, the date of the acquisition, the results of NFI have been combined with the Company as a wholly-owned subsidiary. The unaudited pro forma financial information is presented for informational purposes only and is not indicative of the consolidated results of operations that would have been achieved if the acquisition had taken place at the beginning of fiscal 2015. In addition, the unaudited pro forma financial information does not attempt to project the future consolidated results of operations.</w:t>
      </w:r>
    </w:p>
    <w:p>
      <w:pPr>
        <w:spacing w:after="0" w:line="18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6"/>
              </w:rPr>
              <w:t>December 31,</w:t>
            </w:r>
          </w:p>
        </w:tc>
      </w:tr>
      <w:tr>
        <w:trPr>
          <w:trHeight w:val="142"/>
        </w:trPr>
        <w:tc>
          <w:tcPr>
            <w:tcW w:w="524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2"/>
                <w:szCs w:val="12"/>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 forma total revenues</w:t>
            </w: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1,168,846</w:t>
            </w:r>
          </w:p>
        </w:tc>
        <w:tc>
          <w:tcPr>
            <w:tcW w:w="12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Pro forma net loss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(16,002,126)</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Pro forma weighted-average shares-basic and diluted</w:t>
            </w: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1,885,176</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unaudited pro forma financial information above reflects the following:</w:t>
      </w:r>
    </w:p>
    <w:p>
      <w:pPr>
        <w:spacing w:after="0" w:line="131" w:lineRule="exact"/>
        <w:rPr>
          <w:sz w:val="20"/>
          <w:szCs w:val="20"/>
          <w:color w:val="auto"/>
        </w:rPr>
      </w:pPr>
    </w:p>
    <w:p>
      <w:pPr>
        <w:ind w:left="1460" w:right="360" w:hanging="547"/>
        <w:spacing w:after="0" w:line="259" w:lineRule="auto"/>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increase of amortization expense of $53,000 in the year ended December 31, 2015 related to the estimated fair value of intangible assets from the purchase price allocation which are being amortized over their estimated useful lives through 2028. The change in depreciation expense related to the change in estimated fair value of property and equipment from the book value at the time of the acquisition was not material.</w:t>
      </w:r>
    </w:p>
    <w:p>
      <w:pPr>
        <w:spacing w:after="0" w:line="18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For the year ended December 31, 2015, NFI revenue and net income are classified in loss from discontinued operations in the Company’s Consolidated Statement of Operations were $279,000 and $76,000,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Compensation Plan for Board Members</w:t>
      </w:r>
    </w:p>
    <w:p>
      <w:pPr>
        <w:spacing w:after="0" w:line="12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Compensation Committee of the Board of Directors of the Company recommended and the Board approved a new compensation plan for the payment of quarterly Board fees. At the election of each Board member, beginning with the third quarter of 2016, they had the option to either receive cash payments or to be paid in common stock of the Company. For the third quarter of 2016, two of the Board members elected to be paid in common stock of the Company resulting in the issuance of 5,084 shares of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46" w:right="23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Defined Contribution Plan</w:t>
      </w:r>
    </w:p>
    <w:p>
      <w:pPr>
        <w:spacing w:after="0" w:line="94" w:lineRule="exact"/>
        <w:rPr>
          <w:sz w:val="20"/>
          <w:szCs w:val="20"/>
          <w:color w:val="auto"/>
        </w:rPr>
      </w:pPr>
    </w:p>
    <w:p>
      <w:pPr>
        <w:ind w:right="340" w:firstLine="913"/>
        <w:spacing w:after="0" w:line="264" w:lineRule="auto"/>
        <w:rPr>
          <w:sz w:val="20"/>
          <w:szCs w:val="20"/>
          <w:color w:val="auto"/>
        </w:rPr>
      </w:pPr>
      <w:r>
        <w:rPr>
          <w:rFonts w:ascii="Arial" w:cs="Arial" w:eastAsia="Arial" w:hAnsi="Arial"/>
          <w:sz w:val="18"/>
          <w:szCs w:val="18"/>
          <w:color w:val="auto"/>
        </w:rPr>
        <w:t>The Company sponsors a 401(k) Plan, which stipulates that eligible employees can elect to contribute to the 401(k) Plan, subject to certain limitations of eligible compensation. The Company may match employee contributions in amounts to be determined at the Company’s sole discretion. To date, the Company has not made any matching contributions.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Merger agreement with Essentialis</w:t>
      </w:r>
    </w:p>
    <w:p>
      <w:pPr>
        <w:spacing w:after="0" w:line="9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On December 22, 2016, the Company entered into the Merger Agreement with Essentialis. Consummation of the merger was subject to various closing conditions, including the Company’s consummation of a financing of at least $8 million at, or substantially contemporaneous with, the closing of the Merger and the receipt of stockholder approval of the Merger at a special meeting of stockholders.</w:t>
      </w:r>
    </w:p>
    <w:p>
      <w:pPr>
        <w:spacing w:after="0" w:line="33"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On March 6, 2017, the Company held a special shareholder meeting and received approval for issuance of the merger shares under the Merger Agreement with Essentialis, issuance of the shares of common stock for the $8 million of concurrent financing and issuance of the shares of common Stock for the $2 million investment by Aspire Capital.</w:t>
      </w:r>
    </w:p>
    <w:p>
      <w:pPr>
        <w:spacing w:after="0" w:line="33"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On March 7, 2017, the Company completed the merger with Essentialis and issued 3,783,388 shares of common stock to shareholders of Essentialis. The Company held back 182,676 shares of common stock as partial recourse to satisfy indemnification claims, and such shares will be issued to Essentialis stockholders on the 1 year anniversary of the closing of the merger. The Company is also obligated to issue an additional 913,389 shares of common stock to Essentialis stockholders upon the achievement of a development milestone. Assuming that we issues all of the shares of our common stock held back and the development milestone is achieved, we would issue a total of 4,879,453 shares of common stock to Essentialis stockholders. Additionally, upon the achievement of certain commercial milestones associated with the sale of Essentialis’ product in accordance with the terms of the Merger Agreement, we are obligated to make cash earnout payments of up to a maximum of $30 million to Essentialis stockholders. The merger consideration described above will be reduced by any such shares of common stock issuable, or cash earnout payments payable, to Essentialis’ management carve-out plan participants and other service providers of Essentialis, in each case, in accordance with the terms of the Merger Agreement.</w:t>
      </w:r>
    </w:p>
    <w:p>
      <w:pPr>
        <w:spacing w:after="0" w:line="32" w:lineRule="exact"/>
        <w:rPr>
          <w:sz w:val="20"/>
          <w:szCs w:val="20"/>
          <w:color w:val="auto"/>
        </w:rPr>
      </w:pPr>
    </w:p>
    <w:p>
      <w:pPr>
        <w:jc w:val="both"/>
        <w:ind w:right="520" w:firstLine="913"/>
        <w:spacing w:after="0" w:line="277" w:lineRule="auto"/>
        <w:rPr>
          <w:sz w:val="20"/>
          <w:szCs w:val="20"/>
          <w:color w:val="auto"/>
        </w:rPr>
      </w:pPr>
      <w:r>
        <w:rPr>
          <w:rFonts w:ascii="Arial" w:cs="Arial" w:eastAsia="Arial" w:hAnsi="Arial"/>
          <w:sz w:val="18"/>
          <w:szCs w:val="18"/>
          <w:color w:val="auto"/>
        </w:rPr>
        <w:t>In addition, the Company issued 1,666,666 shares of common stock for an investment of $8 million from the completion of the concurrent financing and issued 416,666 shares of common stock for an investment of $2 million from Aspire Capital.</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 Shareholder lawsuit</w:t>
      </w:r>
    </w:p>
    <w:p>
      <w:pPr>
        <w:spacing w:after="0" w:line="90" w:lineRule="exact"/>
        <w:rPr>
          <w:sz w:val="20"/>
          <w:szCs w:val="20"/>
          <w:color w:val="auto"/>
        </w:rPr>
      </w:pPr>
    </w:p>
    <w:p>
      <w:pPr>
        <w:jc w:val="both"/>
        <w:ind w:right="500" w:firstLine="913"/>
        <w:spacing w:after="0" w:line="286" w:lineRule="auto"/>
        <w:rPr>
          <w:sz w:val="20"/>
          <w:szCs w:val="20"/>
          <w:color w:val="auto"/>
        </w:rPr>
      </w:pPr>
      <w:r>
        <w:rPr>
          <w:rFonts w:ascii="Arial" w:cs="Arial" w:eastAsia="Arial" w:hAnsi="Arial"/>
          <w:sz w:val="17"/>
          <w:szCs w:val="17"/>
          <w:color w:val="auto"/>
        </w:rPr>
        <w:t>On February 28, 2017, in regards the Lawsuit mentioned below, the Company agreed to make additional supplemental disclosures and pay $175,000 for dismissal of the lawsuit. This amount was accrued as a current liability on the balance sheet as of December 31, 2016 and recorded as an expense in general and administrative expense on the statement of operations for the year ended December 31, 2016.</w:t>
      </w:r>
    </w:p>
    <w:p>
      <w:pPr>
        <w:spacing w:after="0" w:line="1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On February 16, 2017, the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was filed in Superior Court of the State of California, County of Contra Costa against the Company and certain of its officers and directors. The Lawsuit alleged, generally, that the Company’s directors breached their fiduciary duties to the Company’s stockholders by seeking to sell control of the Company through an allegedly defective process, and on unfair terms. The Lawsuit also alleged that defendants failed to disclose all material facts concerning the proposed merger with Essentialis to stockholders. The Lawsuit sought, among other things, equitable relief that would have enjoined the consummation of the proposed merger, compensatory and/or rescissory damages, and attorneys’ fees and costs. The Company made certain supplemental disclosures in a Current Report on Form 8-K filed with the SEC on February 28, 2017 in connection with plaintiff’s agreement to voluntarily dismiss plaintiff’s claims in the Lawsuit. The stipulation of dismissal is pending with the court.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(iii) Sabby conversion of Series B convertible stock</w:t>
      </w:r>
    </w:p>
    <w:p>
      <w:pPr>
        <w:spacing w:after="0" w:line="77"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On January 4th, 10th, 12th and 18th of January 2017, the two funds managed by Sabby converted an aggregate of 601 shares of their Series B Convertible Stock into 120,200 shares of Common Stock.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(iv) Aspire purchase agreement</w:t>
      </w:r>
    </w:p>
    <w:p>
      <w:pPr>
        <w:spacing w:after="0" w:line="7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On January 27, 2017, the Company entered into the 2017 Aspire Purchase Agreement with Aspire Capital Fund, LLC, which provides that, upon the terms and subject to the conditions and limitations set forth therein, Aspire Capital is committed to purchase up to an aggregate of $17.0 million in value of shares of our Common Stock over the 30-month term of the purchase agreement. The Company issued Aspire Capital 141,666 shares of Common Stock as commitment shares under the 2017 Aspire Purchase Agreement. Further, on the date of the closing of the financing, as defined in the Merger Agreement, the Company sold to Aspire Capital, and Aspire Capital purchased from the Company an aggregate of $2.0 million of the Company’s common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59" w:right="2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 Change of name to Soleno Therapeutics, Inc. from Capnia, Inc.</w:t>
      </w:r>
    </w:p>
    <w:p>
      <w:pPr>
        <w:spacing w:after="0" w:line="88" w:lineRule="exact"/>
        <w:rPr>
          <w:sz w:val="20"/>
          <w:szCs w:val="20"/>
          <w:color w:val="auto"/>
        </w:rPr>
      </w:pPr>
    </w:p>
    <w:p>
      <w:pPr>
        <w:ind w:right="120" w:firstLine="456"/>
        <w:spacing w:after="0" w:line="274" w:lineRule="auto"/>
        <w:rPr>
          <w:sz w:val="20"/>
          <w:szCs w:val="20"/>
          <w:color w:val="auto"/>
        </w:rPr>
      </w:pPr>
      <w:r>
        <w:rPr>
          <w:rFonts w:ascii="Arial" w:cs="Arial" w:eastAsia="Arial" w:hAnsi="Arial"/>
          <w:sz w:val="17"/>
          <w:szCs w:val="17"/>
          <w:color w:val="auto"/>
        </w:rPr>
        <w:t>On May 8, 2017, the Company obtained stockholder approval to amend the Amended and Restated Certificate of Incorporation of the Company, to change the name if the Company to Soleno, Therapeutics, Inc.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 Reverse stock split</w:t>
      </w:r>
    </w:p>
    <w:p>
      <w:pPr>
        <w:spacing w:after="0" w:line="75" w:lineRule="exact"/>
        <w:rPr>
          <w:sz w:val="20"/>
          <w:szCs w:val="20"/>
          <w:color w:val="auto"/>
        </w:rPr>
      </w:pPr>
    </w:p>
    <w:p>
      <w:pPr>
        <w:ind w:firstLine="456"/>
        <w:spacing w:after="0" w:line="274" w:lineRule="auto"/>
        <w:rPr>
          <w:sz w:val="20"/>
          <w:szCs w:val="20"/>
          <w:color w:val="auto"/>
        </w:rPr>
      </w:pPr>
      <w:r>
        <w:rPr>
          <w:rFonts w:ascii="Arial" w:cs="Arial" w:eastAsia="Arial" w:hAnsi="Arial"/>
          <w:sz w:val="17"/>
          <w:szCs w:val="17"/>
          <w:color w:val="auto"/>
        </w:rPr>
        <w:t>On October 6, 2017, the Company effected a one-for-five reverse stock split of its then outstanding Common Stock. Consequently, all common shares and other per share amounts and disclosures have been retroactively adjusted for all periods presented herein.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(vii) Discontinued operations and assets held for sale</w:t>
      </w:r>
    </w:p>
    <w:p>
      <w:pPr>
        <w:spacing w:after="0" w:line="75" w:lineRule="exact"/>
        <w:rPr>
          <w:sz w:val="20"/>
          <w:szCs w:val="20"/>
          <w:color w:val="auto"/>
        </w:rPr>
      </w:pPr>
    </w:p>
    <w:p>
      <w:pPr>
        <w:ind w:right="340" w:firstLine="456"/>
        <w:spacing w:after="0" w:line="274" w:lineRule="auto"/>
        <w:rPr>
          <w:sz w:val="20"/>
          <w:szCs w:val="20"/>
          <w:color w:val="auto"/>
        </w:rPr>
      </w:pPr>
      <w:r>
        <w:rPr>
          <w:rFonts w:ascii="Arial" w:cs="Arial" w:eastAsia="Arial" w:hAnsi="Arial"/>
          <w:sz w:val="17"/>
          <w:szCs w:val="17"/>
          <w:color w:val="auto"/>
        </w:rPr>
        <w:t>Subsequent to the merger with Essentialis described above, the Company explored opportunities divest, sell or dispose of the CoSense, Neo Force, Inc. and Serenz businesses.</w:t>
      </w:r>
    </w:p>
    <w:p>
      <w:pPr>
        <w:spacing w:after="0" w:line="67" w:lineRule="exact"/>
        <w:rPr>
          <w:sz w:val="20"/>
          <w:szCs w:val="20"/>
          <w:color w:val="auto"/>
        </w:rPr>
      </w:pPr>
    </w:p>
    <w:p>
      <w:pPr>
        <w:ind w:firstLine="456"/>
        <w:spacing w:after="0" w:line="257" w:lineRule="auto"/>
        <w:rPr>
          <w:sz w:val="20"/>
          <w:szCs w:val="20"/>
          <w:color w:val="auto"/>
        </w:rPr>
      </w:pPr>
      <w:r>
        <w:rPr>
          <w:rFonts w:ascii="Arial" w:cs="Arial" w:eastAsia="Arial" w:hAnsi="Arial"/>
          <w:sz w:val="17"/>
          <w:szCs w:val="17"/>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85"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 The Company sold NFI in a stock transaction that was completed on July 18, 2017, pursuant to a Stock Purchase Agreement with Neoforce Holdings, Inc. a wholly-owned subsidiary of Flexicare Medical Limited, a privately-held United Kingdom company (see Note 5).</w:t>
      </w:r>
    </w:p>
    <w:p>
      <w:pPr>
        <w:spacing w:after="0" w:line="18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components of the Balance Sheet accounts presented as assets and liabilities held for sale are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80" w:type="dxa"/>
            <w:vAlign w:val="bottom"/>
            <w:gridSpan w:val="3"/>
          </w:tcPr>
          <w:p>
            <w:pPr>
              <w:ind w:left="900"/>
              <w:spacing w:after="0"/>
              <w:rPr>
                <w:sz w:val="20"/>
                <w:szCs w:val="20"/>
                <w:color w:val="auto"/>
              </w:rPr>
            </w:pPr>
            <w:r>
              <w:rPr>
                <w:rFonts w:ascii="Arial" w:cs="Arial" w:eastAsia="Arial" w:hAnsi="Arial"/>
                <w:sz w:val="14"/>
                <w:szCs w:val="14"/>
                <w:b w:val="1"/>
                <w:bCs w:val="1"/>
                <w:color w:val="auto"/>
                <w:w w:val="91"/>
              </w:rPr>
              <w:t>December 31, 2016</w:t>
            </w:r>
          </w:p>
        </w:tc>
        <w:tc>
          <w:tcPr>
            <w:tcW w:w="2080" w:type="dxa"/>
            <w:vAlign w:val="bottom"/>
            <w:gridSpan w:val="4"/>
          </w:tcPr>
          <w:p>
            <w:pPr>
              <w:ind w:left="860"/>
              <w:spacing w:after="0"/>
              <w:rPr>
                <w:sz w:val="20"/>
                <w:szCs w:val="20"/>
                <w:color w:val="auto"/>
              </w:rPr>
            </w:pPr>
            <w:r>
              <w:rPr>
                <w:rFonts w:ascii="Arial" w:cs="Arial" w:eastAsia="Arial" w:hAnsi="Arial"/>
                <w:sz w:val="14"/>
                <w:szCs w:val="14"/>
                <w:b w:val="1"/>
                <w:bCs w:val="1"/>
                <w:color w:val="auto"/>
                <w:w w:val="95"/>
              </w:rPr>
              <w:t>December 31, 2015</w:t>
            </w:r>
          </w:p>
        </w:tc>
      </w:tr>
      <w:tr>
        <w:trPr>
          <w:trHeight w:val="183"/>
        </w:trPr>
        <w:tc>
          <w:tcPr>
            <w:tcW w:w="20" w:type="dxa"/>
            <w:vAlign w:val="bottom"/>
          </w:tcPr>
          <w:p>
            <w:pPr>
              <w:spacing w:after="0"/>
              <w:rPr>
                <w:sz w:val="15"/>
                <w:szCs w:val="15"/>
                <w:color w:val="auto"/>
              </w:rPr>
            </w:pPr>
          </w:p>
        </w:tc>
        <w:tc>
          <w:tcPr>
            <w:tcW w:w="450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Current assets</w:t>
            </w:r>
          </w:p>
        </w:tc>
        <w:tc>
          <w:tcPr>
            <w:tcW w:w="9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Accounts receivable</w:t>
            </w:r>
          </w:p>
        </w:tc>
        <w:tc>
          <w:tcPr>
            <w:tcW w:w="1200" w:type="dxa"/>
            <w:vAlign w:val="bottom"/>
            <w:gridSpan w:val="2"/>
          </w:tcPr>
          <w:p>
            <w:pPr>
              <w:ind w:left="9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133,337</w:t>
            </w:r>
          </w:p>
        </w:tc>
        <w:tc>
          <w:tcPr>
            <w:tcW w:w="116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156,127</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Inventory</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660,391</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551,008</w:t>
            </w: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Prepaid expenses and other current assets</w:t>
            </w:r>
          </w:p>
        </w:tc>
        <w:tc>
          <w:tcPr>
            <w:tcW w:w="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8,624</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Current assets held for sale</w:t>
            </w:r>
          </w:p>
        </w:tc>
        <w:tc>
          <w:tcPr>
            <w:tcW w:w="9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793,728</w:t>
            </w:r>
          </w:p>
        </w:tc>
        <w:tc>
          <w:tcPr>
            <w:tcW w:w="8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715,759</w:t>
            </w:r>
          </w:p>
        </w:tc>
        <w:tc>
          <w:tcPr>
            <w:tcW w:w="40" w:type="dxa"/>
            <w:vAlign w:val="bottom"/>
            <w:shd w:val="clear" w:color="auto" w:fill="CCEEFF"/>
          </w:tcPr>
          <w:p>
            <w:pPr>
              <w:spacing w:after="0"/>
              <w:rPr>
                <w:sz w:val="17"/>
                <w:szCs w:val="17"/>
                <w:color w:val="auto"/>
              </w:rPr>
            </w:pPr>
          </w:p>
        </w:tc>
      </w:tr>
      <w:tr>
        <w:trPr>
          <w:trHeight w:val="207"/>
        </w:trPr>
        <w:tc>
          <w:tcPr>
            <w:tcW w:w="4520" w:type="dxa"/>
            <w:vAlign w:val="bottom"/>
            <w:gridSpan w:val="2"/>
          </w:tcPr>
          <w:p>
            <w:pPr>
              <w:spacing w:after="0"/>
              <w:rPr>
                <w:sz w:val="20"/>
                <w:szCs w:val="20"/>
                <w:color w:val="auto"/>
              </w:rPr>
            </w:pPr>
            <w:r>
              <w:rPr>
                <w:rFonts w:ascii="Arial" w:cs="Arial" w:eastAsia="Arial" w:hAnsi="Arial"/>
                <w:sz w:val="16"/>
                <w:szCs w:val="16"/>
                <w:color w:val="auto"/>
              </w:rPr>
              <w:t>Long-term assets</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Property &amp; equipment, net</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w:t>
            </w: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50,282</w:t>
            </w: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Goodwill</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718,003</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718,003</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intangible assets</w:t>
            </w:r>
          </w:p>
        </w:tc>
        <w:tc>
          <w:tcPr>
            <w:tcW w:w="9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817,465</w:t>
            </w:r>
          </w:p>
        </w:tc>
        <w:tc>
          <w:tcPr>
            <w:tcW w:w="8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916,807</w:t>
            </w:r>
          </w:p>
        </w:tc>
        <w:tc>
          <w:tcPr>
            <w:tcW w:w="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500" w:type="dxa"/>
            <w:vAlign w:val="bottom"/>
          </w:tcPr>
          <w:p>
            <w:pPr>
              <w:ind w:left="620"/>
              <w:spacing w:after="0"/>
              <w:rPr>
                <w:sz w:val="20"/>
                <w:szCs w:val="20"/>
                <w:color w:val="auto"/>
              </w:rPr>
            </w:pPr>
            <w:r>
              <w:rPr>
                <w:rFonts w:ascii="Arial" w:cs="Arial" w:eastAsia="Arial" w:hAnsi="Arial"/>
                <w:sz w:val="16"/>
                <w:szCs w:val="16"/>
                <w:color w:val="auto"/>
              </w:rPr>
              <w:t>Long-term assets held for sale</w:t>
            </w:r>
          </w:p>
        </w:tc>
        <w:tc>
          <w:tcPr>
            <w:tcW w:w="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1,596,007</w:t>
            </w:r>
          </w:p>
        </w:tc>
        <w:tc>
          <w:tcPr>
            <w:tcW w:w="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1,685,092</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Accounts payable</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123,379</w:t>
            </w: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199,714</w:t>
            </w:r>
          </w:p>
        </w:tc>
        <w:tc>
          <w:tcPr>
            <w:tcW w:w="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Accrued compensation and other current liabilities</w:t>
            </w:r>
          </w:p>
        </w:tc>
        <w:tc>
          <w:tcPr>
            <w:tcW w:w="9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119,021</w:t>
            </w:r>
          </w:p>
        </w:tc>
        <w:tc>
          <w:tcPr>
            <w:tcW w:w="8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1,116,699</w:t>
            </w:r>
          </w:p>
        </w:tc>
        <w:tc>
          <w:tcPr>
            <w:tcW w:w="4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4500" w:type="dxa"/>
            <w:vAlign w:val="bottom"/>
          </w:tcPr>
          <w:p>
            <w:pPr>
              <w:ind w:left="620"/>
              <w:spacing w:after="0"/>
              <w:rPr>
                <w:sz w:val="20"/>
                <w:szCs w:val="20"/>
                <w:color w:val="auto"/>
              </w:rPr>
            </w:pPr>
            <w:r>
              <w:rPr>
                <w:rFonts w:ascii="Arial" w:cs="Arial" w:eastAsia="Arial" w:hAnsi="Arial"/>
                <w:sz w:val="16"/>
                <w:szCs w:val="16"/>
                <w:color w:val="auto"/>
              </w:rPr>
              <w:t>Total current liabilities for sale</w:t>
            </w:r>
          </w:p>
        </w:tc>
        <w:tc>
          <w:tcPr>
            <w:tcW w:w="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246,400</w:t>
            </w:r>
          </w:p>
        </w:tc>
        <w:tc>
          <w:tcPr>
            <w:tcW w:w="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1,316,413</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500" w:type="dxa"/>
            <w:vAlign w:val="bottom"/>
          </w:tcPr>
          <w:p>
            <w:pPr>
              <w:ind w:left="300"/>
              <w:spacing w:after="0"/>
              <w:rPr>
                <w:sz w:val="20"/>
                <w:szCs w:val="20"/>
                <w:color w:val="auto"/>
              </w:rPr>
            </w:pPr>
            <w:r>
              <w:rPr>
                <w:rFonts w:ascii="Arial" w:cs="Arial" w:eastAsia="Arial" w:hAnsi="Arial"/>
                <w:sz w:val="16"/>
                <w:szCs w:val="16"/>
                <w:color w:val="auto"/>
              </w:rPr>
              <w:t>Other long-term liabilities</w:t>
            </w:r>
          </w:p>
        </w:tc>
        <w:tc>
          <w:tcPr>
            <w:tcW w:w="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81,000</w:t>
            </w:r>
          </w:p>
        </w:tc>
        <w:tc>
          <w:tcPr>
            <w:tcW w:w="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109,404</w:t>
            </w:r>
          </w:p>
        </w:tc>
        <w:tc>
          <w:tcPr>
            <w:tcW w:w="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500" w:type="dxa"/>
            <w:vAlign w:val="bottom"/>
            <w:shd w:val="clear" w:color="auto" w:fill="CCEEFF"/>
          </w:tcPr>
          <w:p>
            <w:pPr>
              <w:ind w:left="620"/>
              <w:spacing w:after="0"/>
              <w:rPr>
                <w:sz w:val="20"/>
                <w:szCs w:val="20"/>
                <w:color w:val="auto"/>
              </w:rPr>
            </w:pPr>
            <w:r>
              <w:rPr>
                <w:rFonts w:ascii="Arial" w:cs="Arial" w:eastAsia="Arial" w:hAnsi="Arial"/>
                <w:sz w:val="16"/>
                <w:szCs w:val="16"/>
                <w:color w:val="auto"/>
              </w:rPr>
              <w:t>Long-term liabilities held for sale</w:t>
            </w:r>
          </w:p>
        </w:tc>
        <w:tc>
          <w:tcPr>
            <w:tcW w:w="120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81,000</w:t>
            </w:r>
          </w:p>
        </w:tc>
        <w:tc>
          <w:tcPr>
            <w:tcW w:w="1160" w:type="dxa"/>
            <w:vAlign w:val="bottom"/>
            <w:gridSpan w:val="2"/>
            <w:shd w:val="clear" w:color="auto" w:fill="CCEEFF"/>
          </w:tcPr>
          <w:p>
            <w:pPr>
              <w:ind w:left="8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109,404</w:t>
            </w:r>
          </w:p>
        </w:tc>
        <w:tc>
          <w:tcPr>
            <w:tcW w:w="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the Statement of Operations presented as Discontinued Operations are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10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Borders>
              <w:top w:val="single" w:sz="8" w:color="auto"/>
            </w:tcBorders>
          </w:tcPr>
          <w:p>
            <w:pPr>
              <w:jc w:val="right"/>
              <w:ind w:right="16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Product revenue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$ 1,450,788</w:t>
            </w:r>
          </w:p>
        </w:tc>
        <w:tc>
          <w:tcPr>
            <w:tcW w:w="2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Government grant revenue</w:t>
            </w:r>
          </w:p>
        </w:tc>
        <w:tc>
          <w:tcPr>
            <w:tcW w:w="1500" w:type="dxa"/>
            <w:vAlign w:val="bottom"/>
          </w:tcPr>
          <w:p>
            <w:pPr>
              <w:spacing w:after="0"/>
              <w:rPr>
                <w:sz w:val="18"/>
                <w:szCs w:val="18"/>
                <w:color w:val="auto"/>
              </w:rPr>
            </w:pP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Total revenue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1,450,788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Cost of product revenue</w:t>
            </w:r>
          </w:p>
        </w:tc>
        <w:tc>
          <w:tcPr>
            <w:tcW w:w="15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1,509,306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Gross profit loss</w:t>
            </w:r>
          </w:p>
        </w:tc>
        <w:tc>
          <w:tcPr>
            <w:tcW w:w="25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(58,518)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254,789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Expenses</w:t>
            </w:r>
          </w:p>
        </w:tc>
        <w:tc>
          <w:tcPr>
            <w:tcW w:w="15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2,937,662</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4,536,244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2280" w:type="dxa"/>
            <w:vAlign w:val="bottom"/>
            <w:gridSpan w:val="2"/>
          </w:tcPr>
          <w:p>
            <w:pPr>
              <w:jc w:val="right"/>
              <w:spacing w:after="0"/>
              <w:rPr>
                <w:sz w:val="20"/>
                <w:szCs w:val="20"/>
                <w:color w:val="auto"/>
              </w:rPr>
            </w:pPr>
            <w:r>
              <w:rPr>
                <w:rFonts w:ascii="Arial" w:cs="Arial" w:eastAsia="Arial" w:hAnsi="Arial"/>
                <w:sz w:val="16"/>
                <w:szCs w:val="16"/>
                <w:color w:val="auto"/>
              </w:rPr>
              <w:t>1,630,591</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5"/>
              </w:rPr>
              <w:t>1,737,470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150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659,227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149,555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tcPr>
          <w:p>
            <w:pPr>
              <w:ind w:left="620"/>
              <w:spacing w:after="0"/>
              <w:rPr>
                <w:sz w:val="20"/>
                <w:szCs w:val="20"/>
                <w:color w:val="auto"/>
              </w:rPr>
            </w:pPr>
            <w:r>
              <w:rPr>
                <w:rFonts w:ascii="Arial" w:cs="Arial" w:eastAsia="Arial" w:hAnsi="Arial"/>
                <w:sz w:val="16"/>
                <w:szCs w:val="16"/>
                <w:color w:val="auto"/>
              </w:rPr>
              <w:t>Total expenses</w:t>
            </w:r>
          </w:p>
        </w:tc>
        <w:tc>
          <w:tcPr>
            <w:tcW w:w="15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5,227,480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6,423,269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ind w:left="620"/>
              <w:spacing w:after="0"/>
              <w:rPr>
                <w:sz w:val="20"/>
                <w:szCs w:val="20"/>
                <w:color w:val="auto"/>
              </w:rPr>
            </w:pPr>
            <w:r>
              <w:rPr>
                <w:rFonts w:ascii="Arial" w:cs="Arial" w:eastAsia="Arial" w:hAnsi="Arial"/>
                <w:sz w:val="16"/>
                <w:szCs w:val="16"/>
                <w:color w:val="auto"/>
              </w:rPr>
              <w:t>Operating loss</w:t>
            </w:r>
          </w:p>
        </w:tc>
        <w:tc>
          <w:tcPr>
            <w:tcW w:w="25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(5,285,998)</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(6,168,480)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Other income (expense)</w:t>
            </w:r>
          </w:p>
        </w:tc>
        <w:tc>
          <w:tcPr>
            <w:tcW w:w="1500" w:type="dxa"/>
            <w:vAlign w:val="bottom"/>
          </w:tcPr>
          <w:p>
            <w:pPr>
              <w:spacing w:after="0"/>
              <w:rPr>
                <w:sz w:val="17"/>
                <w:szCs w:val="17"/>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(19,896)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6"/>
                <w:szCs w:val="16"/>
                <w:color w:val="auto"/>
              </w:rPr>
              <w:t>Net loss from discontinued operations, net of tax effect</w:t>
            </w:r>
          </w:p>
        </w:tc>
        <w:tc>
          <w:tcPr>
            <w:tcW w:w="25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(5,327,594)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7"/>
              </w:rPr>
              <w:t>(6,168,480)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right="20" w:firstLine="913"/>
        <w:spacing w:after="0" w:line="274" w:lineRule="auto"/>
        <w:rPr>
          <w:sz w:val="20"/>
          <w:szCs w:val="20"/>
          <w:color w:val="auto"/>
        </w:rPr>
      </w:pPr>
      <w:r>
        <w:rPr>
          <w:rFonts w:ascii="Arial" w:cs="Arial" w:eastAsia="Arial" w:hAnsi="Arial"/>
          <w:sz w:val="17"/>
          <w:szCs w:val="17"/>
          <w:color w:val="auto"/>
        </w:rPr>
        <w:t>Stock-based compensation expense of approximately $132,000 and $211,000 was classified in discontinued operations for the years ended December 31, 2016, and 2015, respectively.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60" w:right="2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5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5,647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2,726</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Restricted cash</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247</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assets held for sale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w:t>
            </w:r>
          </w:p>
        </w:tc>
      </w:tr>
      <w:tr>
        <w:trPr>
          <w:trHeight w:val="223"/>
        </w:trPr>
        <w:tc>
          <w:tcPr>
            <w:tcW w:w="20" w:type="dxa"/>
            <w:vAlign w:val="bottom"/>
          </w:tcPr>
          <w:p>
            <w:pPr>
              <w:spacing w:after="0"/>
              <w:rPr>
                <w:sz w:val="19"/>
                <w:szCs w:val="19"/>
                <w:color w:val="auto"/>
              </w:rPr>
            </w:pPr>
          </w:p>
        </w:tc>
        <w:tc>
          <w:tcPr>
            <w:tcW w:w="8960" w:type="dxa"/>
            <w:vAlign w:val="bottom"/>
          </w:tcPr>
          <w:p>
            <w:pPr>
              <w:ind w:left="10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6,390</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3,801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19,353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assets held for sale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458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r>
      <w:tr>
        <w:trPr>
          <w:trHeight w:val="223"/>
        </w:trPr>
        <w:tc>
          <w:tcPr>
            <w:tcW w:w="20" w:type="dxa"/>
            <w:vAlign w:val="bottom"/>
          </w:tcPr>
          <w:p>
            <w:pPr>
              <w:spacing w:after="0"/>
              <w:rPr>
                <w:sz w:val="19"/>
                <w:szCs w:val="19"/>
                <w:color w:val="auto"/>
              </w:rPr>
            </w:pPr>
          </w:p>
        </w:tc>
        <w:tc>
          <w:tcPr>
            <w:tcW w:w="8960" w:type="dxa"/>
            <w:vAlign w:val="bottom"/>
          </w:tcPr>
          <w:p>
            <w:pPr>
              <w:ind w:left="10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26,382</w:t>
            </w: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Accrued compensation and other current liabilities</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Current liabilities held for sale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23"/>
        </w:trPr>
        <w:tc>
          <w:tcPr>
            <w:tcW w:w="20" w:type="dxa"/>
            <w:vAlign w:val="bottom"/>
          </w:tcPr>
          <w:p>
            <w:pPr>
              <w:spacing w:after="0"/>
              <w:rPr>
                <w:sz w:val="19"/>
                <w:szCs w:val="19"/>
                <w:color w:val="auto"/>
              </w:rPr>
            </w:pPr>
          </w:p>
        </w:tc>
        <w:tc>
          <w:tcPr>
            <w:tcW w:w="8960" w:type="dxa"/>
            <w:vAlign w:val="bottom"/>
          </w:tcPr>
          <w:p>
            <w:pPr>
              <w:ind w:left="106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w:t>
            </w: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Series A warrant liability</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289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Series C warrant liability</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r>
      <w:tr>
        <w:trPr>
          <w:trHeight w:val="216"/>
        </w:trPr>
        <w:tc>
          <w:tcPr>
            <w:tcW w:w="20" w:type="dxa"/>
            <w:vAlign w:val="bottom"/>
          </w:tcPr>
          <w:p>
            <w:pPr>
              <w:spacing w:after="0"/>
              <w:rPr>
                <w:sz w:val="18"/>
                <w:szCs w:val="18"/>
                <w:color w:val="auto"/>
              </w:rPr>
            </w:pPr>
          </w:p>
        </w:tc>
        <w:tc>
          <w:tcPr>
            <w:tcW w:w="896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1,132</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liabilities held for sale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30"/>
        </w:trPr>
        <w:tc>
          <w:tcPr>
            <w:tcW w:w="20" w:type="dxa"/>
            <w:vAlign w:val="bottom"/>
          </w:tcPr>
          <w:p>
            <w:pPr>
              <w:spacing w:after="0"/>
              <w:rPr>
                <w:sz w:val="20"/>
                <w:szCs w:val="20"/>
                <w:color w:val="auto"/>
              </w:rPr>
            </w:pPr>
          </w:p>
        </w:tc>
        <w:tc>
          <w:tcPr>
            <w:tcW w:w="8960" w:type="dxa"/>
            <w:vAlign w:val="bottom"/>
          </w:tcPr>
          <w:p>
            <w:pPr>
              <w:ind w:left="106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3,172</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$.001 par value, 10,000,000 shares authorized:</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960" w:type="dxa"/>
            <w:vAlign w:val="bottom"/>
          </w:tcPr>
          <w:p>
            <w:pPr>
              <w:ind w:left="700"/>
              <w:spacing w:after="0" w:line="201" w:lineRule="exact"/>
              <w:rPr>
                <w:sz w:val="20"/>
                <w:szCs w:val="20"/>
                <w:color w:val="auto"/>
              </w:rPr>
            </w:pPr>
            <w:r>
              <w:rPr>
                <w:rFonts w:ascii="Arial" w:cs="Arial" w:eastAsia="Arial" w:hAnsi="Arial"/>
                <w:sz w:val="18"/>
                <w:szCs w:val="18"/>
                <w:color w:val="auto"/>
              </w:rPr>
              <w:t>Series B convertible preferred stock, 13,780 are designated at September 30, 2017 and December 31,</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880"/>
              <w:spacing w:after="0"/>
              <w:rPr>
                <w:sz w:val="20"/>
                <w:szCs w:val="20"/>
                <w:color w:val="auto"/>
              </w:rPr>
            </w:pPr>
            <w:r>
              <w:rPr>
                <w:rFonts w:ascii="Arial" w:cs="Arial" w:eastAsia="Arial" w:hAnsi="Arial"/>
                <w:sz w:val="18"/>
                <w:szCs w:val="18"/>
                <w:color w:val="auto"/>
                <w:w w:val="99"/>
              </w:rPr>
              <w:t>2016; 10,049 and 12,780 shares issued and outstanding at September 30, 2017 and at December 31,</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960" w:type="dxa"/>
            <w:vAlign w:val="bottom"/>
          </w:tcPr>
          <w:p>
            <w:pPr>
              <w:ind w:left="880"/>
              <w:spacing w:after="0"/>
              <w:rPr>
                <w:sz w:val="20"/>
                <w:szCs w:val="20"/>
                <w:color w:val="auto"/>
              </w:rPr>
            </w:pPr>
            <w:r>
              <w:rPr>
                <w:rFonts w:ascii="Arial" w:cs="Arial" w:eastAsia="Arial" w:hAnsi="Arial"/>
                <w:sz w:val="18"/>
                <w:szCs w:val="18"/>
                <w:color w:val="auto"/>
              </w:rPr>
              <w:t>2016, respectively. Liquidation value of zero.</w:t>
            </w:r>
          </w:p>
        </w:tc>
        <w:tc>
          <w:tcPr>
            <w:tcW w:w="16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100,000,000 shares authorized, 9,970,538 and 3,357,390 shares issued and</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at September 30, 2017 and December 31, 2016, respectively. (Note 14)</w:t>
            </w:r>
          </w:p>
        </w:tc>
        <w:tc>
          <w:tcPr>
            <w:tcW w:w="16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color w:val="auto"/>
              </w:rPr>
              <w:t>132,154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101,743</w:t>
            </w: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(108,954)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(98,312)</w:t>
            </w:r>
          </w:p>
        </w:tc>
      </w:tr>
      <w:tr>
        <w:trPr>
          <w:trHeight w:val="230"/>
        </w:trPr>
        <w:tc>
          <w:tcPr>
            <w:tcW w:w="20" w:type="dxa"/>
            <w:vAlign w:val="bottom"/>
          </w:tcPr>
          <w:p>
            <w:pPr>
              <w:spacing w:after="0"/>
              <w:rPr>
                <w:sz w:val="20"/>
                <w:szCs w:val="20"/>
                <w:color w:val="auto"/>
              </w:rPr>
            </w:pPr>
          </w:p>
        </w:tc>
        <w:tc>
          <w:tcPr>
            <w:tcW w:w="8960" w:type="dxa"/>
            <w:vAlign w:val="bottom"/>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23,210</w:t>
            </w:r>
          </w:p>
        </w:tc>
        <w:tc>
          <w:tcPr>
            <w:tcW w:w="6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26,382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5,565</w:t>
            </w: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Therapuetics,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982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2,046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Operating loss</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warrants liabilities income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Cease-use expense</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Interest and other income (expense), net</w:t>
            </w:r>
          </w:p>
        </w:tc>
        <w:tc>
          <w:tcPr>
            <w:tcW w:w="2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Loss from continuing operations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Loss on sale of assets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(10,642</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w w:val="97"/>
              </w:rPr>
              <w:t>Loss per common share from continuing operations, basic and diluted (Note 14)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w w:val="93"/>
              </w:rPr>
              <w:t>Loss per common share from discontinued operations, basic and diluted (Note 14):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ind w:left="340"/>
              <w:spacing w:after="0"/>
              <w:rPr>
                <w:sz w:val="20"/>
                <w:szCs w:val="20"/>
                <w:color w:val="auto"/>
              </w:rPr>
            </w:pPr>
            <w:r>
              <w:rPr>
                <w:rFonts w:ascii="Arial" w:cs="Arial" w:eastAsia="Arial" w:hAnsi="Arial"/>
                <w:sz w:val="18"/>
                <w:szCs w:val="18"/>
                <w:color w:val="auto"/>
              </w:rPr>
              <w:t>Loss on sale of assets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rPr>
              <w:t>Net loss per common share, basic and diluted (Note 14)</w:t>
            </w: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Weighted-average common shares outstanding used to calculate basic and diluted</w:t>
            </w: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per common share (Note 14)</w:t>
            </w:r>
          </w:p>
        </w:tc>
        <w:tc>
          <w:tcPr>
            <w:tcW w:w="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10,766,608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3,152,306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8,936,255</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3,072,729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(10,642)</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(9,452)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(4,136)</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from continuing operations to net cash used in operating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Loss on disposition of property &amp; equipment</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Board fees paid with common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Change in fair value of common stock warrants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(1,323)</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expense of issuing shares to Aspire Capital</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assets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compensation and other current liabilities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continuing operating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(5,956)</w:t>
            </w: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Net cash used in discontinued operating activities</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(2,577)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(4,853)</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operating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(7,218)</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(10,809)</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Costs of Essentialis acquisition paid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2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continuing investing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(used for) discontinued investing activities</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used in investing activities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Series A preferred convertible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5,070</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Series A preferred convertible stock transaction costs paid</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Series B preferred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13,479</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Redemption of Series A preferred stock in conjunction with issuance of Series B preferred stock</w:t>
            </w: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(7,780)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23"/>
        </w:trPr>
        <w:tc>
          <w:tcPr>
            <w:tcW w:w="20" w:type="dxa"/>
            <w:vAlign w:val="bottom"/>
          </w:tcPr>
          <w:p>
            <w:pPr>
              <w:spacing w:after="0"/>
              <w:rPr>
                <w:sz w:val="19"/>
                <w:szCs w:val="19"/>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continuing financing activities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Net cash provided by discontinued financing activities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b w:val="1"/>
                <w:bCs w:val="1"/>
                <w:color w:val="auto"/>
              </w:rPr>
              <w:t>Net cash provided by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4,783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4,790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Discontinued operations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(4,870)</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w:t>
            </w: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Conversion of Series A preferred to common stock</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in Essentialis acquisition</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18,764</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Contingent consideration of Essentialis acquisition</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1,090</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De-recognition of Series B warrant liability (cashless exercise)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Series B preferred transactions costs in accounts payable</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Fixed asset purchases in accounts payable</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Soleno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(formerly known as Capnia,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Soleno Therapeutics, Inc. (formerly known as Capnia, Inc.) (the “Company”) was incorporated in the State of Delaware on August 25, 1999, and is located in Redwood City, California. On May 8, 2017, the Company received stockholder approval to amend the Amended and Restate Certificate of Incorporation of the Company, to change the name of the Company to Soleno Therapeutics, Inc.</w:t>
      </w:r>
    </w:p>
    <w:p>
      <w:pPr>
        <w:spacing w:after="0" w:line="18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On September 2, 2015, the Company established NeoForce, Inc. (“NFI”), a wholly owned subsidiary of the Company and through NFI, acquired substantially all of the assets of an unrelated privately held company NeoForce Group, Inc.(“NeoForce”). NFI markets innovative pulmonary resuscitation solutions for the inpatient and ambulatory neonatal markets. The Company sold NFI in a stock transaction that was completed on July 18, 2017, pursuant to a Stock Purchase Agreement with Neoforce Holdings, Inc. a wholly-owned subsidiary of Flexicare Medical Limited, a privately-held United Kingdom company (see Note 5).</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27, 2015, the Company established Capnia UK Limited, a wholly owned foreign subsidiary in the United Kingdom.</w:t>
      </w:r>
    </w:p>
    <w:p>
      <w:pPr>
        <w:spacing w:after="0" w:line="22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March 7, 2017, the Company completed the merger with Essentialis, Inc., a Delaware corporation, or Essentialis. After the merger, the Company’s primary focus is transitioning to the development and commercialization of novel therapeutics for the treatment of rare diseases. Essentialis was a privately held, clinical stage biotechnology company focused on the development of breakthrough medicines for the treatment of rare metabolic diseases where there is increased mortality and risk of cardiovascular and endocrine complications. Prior to the merger, Essentialis’s efforts were focused primarily on developing and testing product candidates that target the ATP-sensitive potassium channel, a metabolically regulated membrane protein whose modulation has the potential to impact a wide range of rare metabolic, cardiovascular, and central nervous system diseases. Essentialis has tested Diazoxide Choline Controlled Release, or DCCR, tablets as a treatment for Prader-Willi syndrome, or PWS, a complex metabolic/neurobehavioral disorder.</w:t>
      </w:r>
    </w:p>
    <w:p>
      <w:pPr>
        <w:spacing w:after="0" w:line="16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In May of 2017 the Company had a scientific advice meeting with the U. S. Food and Drug Administration, or FDA . The FDA supported change in hyperphagia score (without a change in weight) compared to placebo as the primary endpoint for the planned Phase III study. The dosing paradigm proposed for the Phase III study was acceptable. The FDA proposed and the Company agreed that the duration of the randomized double-blind placebo controlled study should be shorter (3-4 months). Safety information about DCCR could be obtained in a long-term, safety extension study. There was agreement on several other aspects of the study and the overall development program, and additional regulatory input is being sought on others.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June 1, 2017, the Company established Capnia, Inc. (“Capnia”), a wholly owned subsidiary of the Company.</w:t>
      </w:r>
    </w:p>
    <w:p>
      <w:pPr>
        <w:spacing w:after="0" w:line="22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through its wholly owned subsidiary Capnia, continues to sell the CoSense</w:t>
      </w:r>
      <w:r>
        <w:rPr>
          <w:rFonts w:ascii="Arial" w:cs="Arial" w:eastAsia="Arial" w:hAnsi="Arial"/>
          <w:sz w:val="15"/>
          <w:szCs w:val="15"/>
          <w:color w:val="auto"/>
        </w:rPr>
        <w:t>®</w:t>
      </w:r>
      <w:r>
        <w:rPr>
          <w:rFonts w:ascii="Arial" w:cs="Arial" w:eastAsia="Arial" w:hAnsi="Arial"/>
          <w:sz w:val="18"/>
          <w:szCs w:val="18"/>
          <w:color w:val="auto"/>
        </w:rPr>
        <w:t xml:space="preserve"> End-Tidal Carbon Monoxide (ETCO) Monitor, or CoSense, which measures ETCO and aids in the detection of excessive hemolysis, a condition in which red blood cells degrade rapidly. When present in neonates with jaundice, excessive hemolysis is a dangerous condition which can lead to adverse neurological outcomes. CoSense is 510(k) cleared for sale in the U.S. and received CE Mark certification for sale in the E.U.</w:t>
      </w:r>
    </w:p>
    <w:p>
      <w:pPr>
        <w:spacing w:after="0" w:line="187" w:lineRule="exact"/>
        <w:rPr>
          <w:sz w:val="20"/>
          <w:szCs w:val="20"/>
          <w:color w:val="auto"/>
        </w:rPr>
      </w:pPr>
    </w:p>
    <w:p>
      <w:pPr>
        <w:ind w:right="300" w:firstLine="456"/>
        <w:spacing w:after="0" w:line="312" w:lineRule="auto"/>
        <w:rPr>
          <w:sz w:val="20"/>
          <w:szCs w:val="20"/>
          <w:color w:val="auto"/>
        </w:rPr>
      </w:pPr>
      <w:r>
        <w:rPr>
          <w:rFonts w:ascii="Arial" w:cs="Arial" w:eastAsia="Arial" w:hAnsi="Arial"/>
          <w:sz w:val="16"/>
          <w:szCs w:val="16"/>
          <w:color w:val="auto"/>
        </w:rPr>
        <w:t>Following the merger with Essentialis, the Company initiated a comprehensive review of strategic alternatives for the legacy products and product candidates, CoSense</w:t>
      </w:r>
      <w:r>
        <w:rPr>
          <w:rFonts w:ascii="Arial" w:cs="Arial" w:eastAsia="Arial" w:hAnsi="Arial"/>
          <w:sz w:val="13"/>
          <w:szCs w:val="13"/>
          <w:color w:val="auto"/>
        </w:rPr>
        <w:t>®</w:t>
      </w:r>
      <w:r>
        <w:rPr>
          <w:rFonts w:ascii="Arial" w:cs="Arial" w:eastAsia="Arial" w:hAnsi="Arial"/>
          <w:sz w:val="16"/>
          <w:szCs w:val="16"/>
          <w:color w:val="auto"/>
        </w:rPr>
        <w:t xml:space="preserve"> ETCO Monitor, and its portfolio of innovative pulmonary resuscitation solutions for the neonatal market. The Company may also license elements of its Sensalyze Technology Platform to other companies that have complementary development or commercial capabilities (see Note 5).</w:t>
      </w:r>
    </w:p>
    <w:p>
      <w:pPr>
        <w:spacing w:after="0" w:line="14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On October 6, 2017, the Company effected a one-for-five (1:5) reverse stock split of its then outstanding Common Stock and, accordingly, all common share and per share data are retrospectively restated to give effect of the split for all periods presented herein (see Note 14).</w:t>
      </w:r>
    </w:p>
    <w:p>
      <w:pPr>
        <w:spacing w:after="0" w:line="147"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Company’s current research and development efforts are primarily focused on advancing its lead candidate, DCCR tablets, for the treatment of PWS into late-stage clinical development.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59" w:right="2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Liquidity, Going Concern and Management’s Plans</w:t>
      </w:r>
    </w:p>
    <w:p>
      <w:pPr>
        <w:spacing w:after="0" w:line="121"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The Company had a net loss of approximately $10.6 million for the nine months ended September 30, 2017, and has an accumulated deficit of approximately $109.0 million at September 30, 2017, from having incurred losses since its inception. The Company has approximately $4.7 million of working capital at September 30, 2017, and used approximately $7.2 million of cash in its operating activities during the nine months ended September 30, 2017. The Company has financed its operations principally through issuances of debt and equity securities.</w:t>
      </w:r>
    </w:p>
    <w:p>
      <w:pPr>
        <w:spacing w:after="0" w:line="17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On January 27, 2017, the Company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The Company issued Aspire Capital 141,666 shares of Common Stock as commitment shares under the 2017 Aspire Purchase Agreement.</w:t>
      </w:r>
    </w:p>
    <w:p>
      <w:pPr>
        <w:spacing w:after="0" w:line="154"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On March 7, 2017, the Company completed the merger with Essentialis. Concurrently, the Company issued 1,666,666 shares of common stock for an investment of $8 million from the completion of the concurrent financing and issued 416,666 shares of common stock for an investment of $2 million from Aspire Capital.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July 18, 2017, the Company sold NFI, its wholly owned subsidiary, for $977,000 (see Note 5).</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Company expects to continue incurring losses for the foreseeable future and may be required to raise additional capital to pursue its therapeutic product development initiatives. These conditions raise substantial doubt about the Company’s ability to continue as a going concern for a period of twelve months from the date of this report.</w:t>
      </w:r>
    </w:p>
    <w:p>
      <w:pPr>
        <w:spacing w:after="0" w:line="18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Company has been successful over the last 12 months in raising additional capital including the completed closings pursuant to the 2016 Sabby Purchase Agreement, the 2017 Aspire Purchase Agreement and the concurrent financing associated with the merger of Essentialis. Management believes that the Company will continue to have access to capital resources through possible public or private equity offerings, debt financings, corporate collaborations or other means; however, other than the 2017 Aspire Purchase Agreement, the Company has not secured any commitment for future financing at this time, nor can it provide any assurance that new financing will be available on commercially acceptable terms, if at all. If the Company is unable to secure additional capital, it may be required to curtail its development of its therapeutic product development initiative and take additional measures to reduce costs in order to conserve its cash in amounts sufficient to sustain operations and meet its obligations. These measures could cause significant delays in the Company’s efforts complete its therapeutic development program, which is critical to the realization of its business plan and the future operations of the Company.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Summary of Significant Accounting Policies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There have been no material changes to the significant accounting policies during the nine months ended September 30, 2017, as compared to the significant accounting policies described in Note 3 of the “Notes to Consolidated Financial Statements” in the Company’s Annual Report on Form 10-K for the year ended December 31, 2016. Below are those policies with current period updates: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accounting principles generally accepted in the United States of America (“GAAP”) and the applicable rules and regulations of the Securities and Exchange Commission (“SEC”) for interim financial information. Accordingly, they do not include all of the information and notes required by accounting principles generally accepted in the United States, or GAAP, for complete financial statements. The condensed consolidated balance sheet at December 31, 2016, has been derived from the audited consolidated financial statements at that date, but does not include all disclosures, including notes, required by GAAP for complete financial statements.</w:t>
      </w:r>
    </w:p>
    <w:p>
      <w:pPr>
        <w:spacing w:after="0" w:line="15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unaudited interim condensed consolidated financial statements have been prepared on the same basis as the audited consolidated financial statements and, in the opinion of management, reflect all adjustments of a normal recurring nature considered necessary to present fairly the Company’s financial position as of September 30, 2017, and results of its operations for the three and nine months ended September 30, 2017, and 2016, and cash flows for the nine months ended September 30, 2017, and 2016. The interim results are not necessarily indicative of the results for any future interim period or for the entire year. Certain prior period amounts have been reclassified to conform to current period presentation. These classifications have no effect on the previously reported net loss of loss per share.</w:t>
      </w:r>
    </w:p>
    <w:p>
      <w:pPr>
        <w:spacing w:after="0" w:line="193" w:lineRule="exact"/>
        <w:rPr>
          <w:sz w:val="20"/>
          <w:szCs w:val="20"/>
          <w:color w:val="auto"/>
        </w:rPr>
      </w:pPr>
    </w:p>
    <w:p>
      <w:pPr>
        <w:ind w:right="520" w:firstLine="456"/>
        <w:spacing w:after="0" w:line="342" w:lineRule="auto"/>
        <w:rPr>
          <w:sz w:val="20"/>
          <w:szCs w:val="20"/>
          <w:color w:val="auto"/>
        </w:rPr>
      </w:pPr>
      <w:r>
        <w:rPr>
          <w:rFonts w:ascii="Arial" w:cs="Arial" w:eastAsia="Arial" w:hAnsi="Arial"/>
          <w:sz w:val="16"/>
          <w:szCs w:val="16"/>
          <w:color w:val="auto"/>
        </w:rPr>
        <w:t>The accompanying condensed consolidated financial statements and related financial information should be read in conjunction with the audited consolidated financial statements and the related notes thereto for the year ended December 31, 2016, included in the elsewhere in this Prospectus.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80"/>
          </w:cols>
          <w:pgMar w:left="240" w:top="460" w:right="2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300" w:firstLine="456"/>
        <w:spacing w:after="0" w:line="288"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disclosure of contingent assets and liabilities, and reported amounts of expenses in the financial statements and accompanying notes. Actual results could differ from those</w:t>
      </w:r>
    </w:p>
    <w:p>
      <w:pPr>
        <w:spacing w:after="0" w:line="290" w:lineRule="auto"/>
        <w:rPr>
          <w:sz w:val="20"/>
          <w:szCs w:val="20"/>
          <w:color w:val="auto"/>
        </w:rPr>
      </w:pPr>
      <w:r>
        <w:rPr>
          <w:rFonts w:ascii="Arial" w:cs="Arial" w:eastAsia="Arial" w:hAnsi="Arial"/>
          <w:sz w:val="17"/>
          <w:szCs w:val="17"/>
          <w:color w:val="auto"/>
        </w:rPr>
        <w:t>estimates. Key estimates included in the financial statements include the valuation of: deferred income tax assets, liability and equity instruments, stock-based compensation, acquired intangibles, contingent earn-out consideration, and allowances for accounts receivable and inventory.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and December 31, 2016, the Company had no inventory in continuing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For business combinations the Company utilizes the acquisition method of accounting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This standard requires that the total cost of an acquisition be allocated to the tangible and intangible assets acquired and liabilities assumed based on their respective fair values at the date of acquisition. The allocation of the purchase price is dependent upon certain valuations and other studies. Acquisition costs are expensed as incurred.</w:t>
      </w:r>
    </w:p>
    <w:p>
      <w:pPr>
        <w:spacing w:after="0" w:line="14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The Company recognizes separately from goodwill the fair value of assets acquired and the liabilities assumed. Goodwill as of the acquisition date is measured as the excess of consideration transferred and the acquisition date fair values of the assets acquired and liabilities assumed. While the Company uses its best estimates and assumptions as a part of the purchase price allocation process to accurately value assets acquired and liabilities assumed at the acquisition date, the Company’s estimates are subject to refinement. As a result, during the measurement period, which may be up to one year from the acquisition date, the Company may retroactively record adjustments to the fair value of the assets acquired and liabilities assumed, with the corresponding adjustment to goodwill. Upon the conclusion of the measurement period or final determination of the fair value of assets acquired or liabilities assumed, whichever comes first, any subsequent adjustments are recorded to the Company’s consolidated statements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Intangible assets with finite lives are amortized on a straight-line basis over their estimated useful lives, which range in term from 5 to 12 years. The useful life of the intangible asset is evaluated each reporting period to determine whether events and circumstances warrant a revision to the remaining useful life.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Purchase Warrants and Other Derivative Financial Instruments</w:t>
      </w:r>
    </w:p>
    <w:p>
      <w:pPr>
        <w:spacing w:after="0" w:line="117"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The Company classifies Common Stock purchase warrants and other free standing derivative financial instruments as equity if the contracts (i) require physical settlement or net-share settlement or (ii) give the Company a choice of net-cash settlement or settlement in its own shares (physical settlement or net-share settlement). The Company classifies any contracts that (i) require net-cash settlement (including a requirement to net cash settle the contract if an event occurs and if that event is outside the control of the Company), (ii) give the counterparty a choice of net-cash settlement or settlement in shares (physical settlement or net-share settlement), or (iii) contain reset provisions, as either an asset or a liability. The Company assesses classification of its freestanding derivatives at each reporting date to determine whether a change in classification between assets and liabilities is required. The Company determined that certain freestanding derivatives, which consist of Series A and Series C Warrants to purchase Common Stock, do not satisfy the criteria for classification as equity instruments due to the existence of certain cash settlement features that are not within the sole control of the Company or variable settlement provision that cause them to not be indexed to the Company’s own stock; accordingly, they are recorded as liabilities on the balance sheet.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In July 2017, FASB issued ASU No. 2017-11, Earnings per Share (Topic 260), Distinguishing Liabilities from Equity (Topic 480), Derivatives and Hedging (Topic 815). ASU 2017-11 consists of two parts. The amendments in Part I of this Update change the classification analysis of certain equity-linked financial instruments (or embedded features) with down round features. When determining whether certain financial instruments should be classified as liabilities or equity instruments, a down round feature no longer precludes equity classification when assessing whether the instrument is indexed to an entity’s own stock. The amendments also clarify existing disclosure requirements for equity-classified instruments. As a result, a freestanding equity-linked financial instrument (or embedded conversion option) no longer would be accounted for as a derivative liability at fair value as a result of the existence of a down round feature. For freestanding equity classified financial instruments, the amendments require entities that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460" w:right="2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present earnings per share (EPS) in accordance with Topic 260 to recognize the effect of the down round feature when it is triggered. That effect is treated as a dividend and as a reduction of income available to common shareholders in basic EPS. Convertible instruments with embedded conversion options that have down round features are now subject to the specialized guidance for contingent beneficial conversion features (in Subtopic 470-20, Debt-Debt with Conversion and Other Options), including related EPS guidance (in Topic 260). The amendments in Part II of this Update re-characterize the indefinite deferral of certain provisions of Topic 480 that now are presented as pending content in the Codification, to a scope exception. Those amendments do not have an accounting effect. For public business entities, the amendments in Part I of this Update are effective for fiscal years, and interim periods within those fiscal years, beginning after December 15, 2018. For all other entities, the amendments in Part I of this Update are effective for fiscal years beginning after December 15, 2019, and interim periods within fiscal years beginning after December 15, 2020. Early adoption is permitted for all entities, including adoption in an interim period. If an entity early adopts the amendments in an interim period, any adjustments should be reflected as of the beginning of the fiscal year that includes that interim period. The amendments in Part II of this Update do not require any transition guidance because those amendments do not have an accounting effect. The Company is in the process of evaluating this ASU and adoption of this ASU is not expected to have a material impact on the Company’s condensed consolidated financial position and results of operations.</w:t>
      </w:r>
    </w:p>
    <w:p>
      <w:pPr>
        <w:spacing w:after="0" w:line="10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clarifies which changes to the terms or conditions of a share-based payment award require an entity to apply modification accounting. The standard is effective beginning after December 15, 2017; early adoption is permitted. The Company is currently evaluating the effect that ASU 2017-09 will have on the Company’s condensed consolidated financial position and results of operations.</w:t>
      </w:r>
    </w:p>
    <w:p>
      <w:pPr>
        <w:spacing w:after="0" w:line="119"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In January 2017, the FASB issued ASU 2017-04: “Intangibles—Goodwill and Other (Topic 350): Simplifying the Test for Goodwill Impairment” (“ASU 2017-04”), which removes Step 2 from the goodwill impairment test. It is effective for annual and interim periods beginning after December 15, 2019. Early adoption is permitted for interim or annual goodwill impairment test performed with a measurement date after January 1, 2017. The Company is currently evaluating the effect that ASU 2017-04 will have on the Company’s condensed consolidated financial position and results of operations.</w:t>
      </w:r>
    </w:p>
    <w:p>
      <w:pPr>
        <w:spacing w:after="0" w:line="7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Clarifying the Definition of a Business”,</w:t>
      </w:r>
      <w:r>
        <w:rPr>
          <w:rFonts w:ascii="Arial" w:cs="Arial" w:eastAsia="Arial" w:hAnsi="Arial"/>
          <w:sz w:val="16"/>
          <w:szCs w:val="16"/>
          <w:color w:val="auto"/>
        </w:rPr>
        <w:t xml:space="preserve"> which clarifies the definition of a business to assist entities with evaluating whether transactions should be accounted for as acquisitions or disposals of assets or businesses. The standard introduces a screen for determining when assets acquired are not a business and clarifies that a business must include, at a minimum, an input and a substantive process that contribute to an output to be considered a business. This standard is effective for fiscal years beginning after December 15, 2017, including interim periods within that reporting period. Early application of the amendments in ASU 2017-01 are allowed for transactions for which the acquisition date is before the effective date of the amendments, but only when the transactions have not been reported in the financial statements that have been issued. The Company early adopted ASU 2017-01 for the acquisition of Essentialis, Inc. (see Note 11).</w:t>
      </w:r>
    </w:p>
    <w:p>
      <w:pPr>
        <w:spacing w:after="0" w:line="100" w:lineRule="exact"/>
        <w:rPr>
          <w:sz w:val="20"/>
          <w:szCs w:val="20"/>
          <w:color w:val="auto"/>
        </w:rPr>
      </w:pPr>
    </w:p>
    <w:p>
      <w:pPr>
        <w:jc w:val="both"/>
        <w:ind w:right="300" w:firstLine="456"/>
        <w:spacing w:after="0" w:line="286" w:lineRule="auto"/>
        <w:rPr>
          <w:sz w:val="20"/>
          <w:szCs w:val="20"/>
          <w:color w:val="auto"/>
        </w:rPr>
      </w:pPr>
      <w:r>
        <w:rPr>
          <w:rFonts w:ascii="Arial" w:cs="Arial" w:eastAsia="Arial" w:hAnsi="Arial"/>
          <w:sz w:val="17"/>
          <w:szCs w:val="17"/>
          <w:color w:val="auto"/>
        </w:rPr>
        <w:t>Besides the accounting pronouncement above, there have been no other new accounting pronouncements or changes to accounting pronouncements during the nine months ended September 30, 2017, as compared to the recent accounting pronouncements described in the Company’s Annual Report on Form 10-K for the year ended December 31, 2016, that are of significance or potential significance to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Fair Value of Financial Instruments</w:t>
      </w:r>
    </w:p>
    <w:p>
      <w:pPr>
        <w:spacing w:after="0" w:line="121" w:lineRule="exact"/>
        <w:rPr>
          <w:sz w:val="20"/>
          <w:szCs w:val="20"/>
          <w:color w:val="auto"/>
        </w:rPr>
      </w:pPr>
    </w:p>
    <w:p>
      <w:pPr>
        <w:ind w:right="740" w:firstLine="456"/>
        <w:spacing w:after="0" w:line="277" w:lineRule="auto"/>
        <w:rPr>
          <w:sz w:val="20"/>
          <w:szCs w:val="20"/>
          <w:color w:val="auto"/>
        </w:rPr>
      </w:pPr>
      <w:r>
        <w:rPr>
          <w:rFonts w:ascii="Arial" w:cs="Arial" w:eastAsia="Arial" w:hAnsi="Arial"/>
          <w:sz w:val="18"/>
          <w:szCs w:val="18"/>
          <w:color w:val="auto"/>
        </w:rPr>
        <w:t>The carrying value of the Company’s cash and cash equivalents, restricted cash, accounts receivable, accounts payable and accrued liabilities, approximate fair value due to the short-term nature of these items.</w:t>
      </w:r>
    </w:p>
    <w:p>
      <w:pPr>
        <w:spacing w:after="0" w:line="103" w:lineRule="exact"/>
        <w:rPr>
          <w:sz w:val="20"/>
          <w:szCs w:val="20"/>
          <w:color w:val="auto"/>
        </w:rPr>
      </w:pPr>
    </w:p>
    <w:p>
      <w:pPr>
        <w:ind w:right="300" w:firstLine="456"/>
        <w:spacing w:after="0" w:line="286" w:lineRule="auto"/>
        <w:rPr>
          <w:sz w:val="20"/>
          <w:szCs w:val="20"/>
          <w:color w:val="auto"/>
        </w:rPr>
      </w:pPr>
      <w:r>
        <w:rPr>
          <w:rFonts w:ascii="Arial" w:cs="Arial" w:eastAsia="Arial" w:hAnsi="Arial"/>
          <w:sz w:val="17"/>
          <w:szCs w:val="17"/>
          <w:color w:val="auto"/>
        </w:rPr>
        <w:t>Fair value is defined as the exchange price that would be received for an asset or an exit price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hierarchy defines a three-level valuation hierarchy for disclosure of fair value measurements as follows:</w:t>
      </w:r>
    </w:p>
    <w:p>
      <w:pPr>
        <w:spacing w:after="0" w:line="131" w:lineRule="exact"/>
        <w:rPr>
          <w:sz w:val="20"/>
          <w:szCs w:val="20"/>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I Unadjusted quoted prices in active markets for identical assets or liabilities;</w:t>
      </w:r>
    </w:p>
    <w:p>
      <w:pPr>
        <w:spacing w:after="0" w:line="130" w:lineRule="exact"/>
        <w:rPr>
          <w:rFonts w:ascii="Arial" w:cs="Arial" w:eastAsia="Arial" w:hAnsi="Arial"/>
          <w:sz w:val="18"/>
          <w:szCs w:val="18"/>
          <w:color w:val="auto"/>
        </w:rPr>
      </w:pPr>
    </w:p>
    <w:p>
      <w:pPr>
        <w:ind w:left="900" w:right="80" w:hanging="325"/>
        <w:spacing w:after="0" w:line="264"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II Inputs other than quoted prices included within Level I that are observable, unadjusted quoted prices in markets that are not active, or other inputs that are observable or can be corroborated by observable market data for substantially the full term of the related assets or liabilities; and</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for the related assets or liabilities.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categorization of a financial instrument within the valuation hierarchy is based upon the lowest level of input that is significant to the fair value measurement.</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table sets forth the Company’s financial instruments that were measured at fair value on recurring basis by level within the fair value hierarchy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6"/>
              </w:rPr>
              <w:t>Fair Value Measurements at September 30, 2017</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9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Level 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2"/>
                <w:szCs w:val="12"/>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289</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289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309</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289</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6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9"/>
          </w:tcPr>
          <w:p>
            <w:pPr>
              <w:jc w:val="right"/>
              <w:ind w:right="5"/>
              <w:spacing w:after="0"/>
              <w:rPr>
                <w:sz w:val="20"/>
                <w:szCs w:val="20"/>
                <w:color w:val="auto"/>
              </w:rPr>
            </w:pPr>
            <w:r>
              <w:rPr>
                <w:rFonts w:ascii="Arial" w:cs="Arial" w:eastAsia="Arial" w:hAnsi="Arial"/>
                <w:sz w:val="14"/>
                <w:szCs w:val="14"/>
                <w:b w:val="1"/>
                <w:bCs w:val="1"/>
                <w:color w:val="auto"/>
                <w:w w:val="97"/>
              </w:rPr>
              <w:t>Fair Value Measurements at December 31, 2016</w:t>
            </w: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Total</w:t>
            </w:r>
          </w:p>
        </w:tc>
        <w:tc>
          <w:tcPr>
            <w:tcW w:w="600" w:type="dxa"/>
            <w:vAlign w:val="bottom"/>
          </w:tcPr>
          <w:p>
            <w:pPr>
              <w:spacing w:after="0"/>
              <w:rPr>
                <w:sz w:val="12"/>
                <w:szCs w:val="12"/>
                <w:color w:val="auto"/>
              </w:rPr>
            </w:pPr>
          </w:p>
        </w:tc>
        <w:tc>
          <w:tcPr>
            <w:tcW w:w="90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Level 2</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92"/>
              </w:rPr>
              <w:t>Level 3</w:t>
            </w:r>
          </w:p>
        </w:tc>
        <w:tc>
          <w:tcPr>
            <w:tcW w:w="60" w:type="dxa"/>
            <w:vAlign w:val="bottom"/>
          </w:tcPr>
          <w:p>
            <w:pPr>
              <w:spacing w:after="0"/>
              <w:rPr>
                <w:sz w:val="12"/>
                <w:szCs w:val="12"/>
                <w:color w:val="auto"/>
              </w:rPr>
            </w:pPr>
          </w:p>
        </w:tc>
      </w:tr>
      <w:tr>
        <w:trPr>
          <w:trHeight w:val="196"/>
        </w:trPr>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Series A warrant liability</w:t>
            </w:r>
          </w:p>
        </w:tc>
        <w:tc>
          <w:tcPr>
            <w:tcW w:w="160" w:type="dxa"/>
            <w:vAlign w:val="bottom"/>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194</w:t>
            </w:r>
          </w:p>
        </w:tc>
        <w:tc>
          <w:tcPr>
            <w:tcW w:w="8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194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Series C warrant liability</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r>
      <w:tr>
        <w:trPr>
          <w:trHeight w:val="223"/>
        </w:trPr>
        <w:tc>
          <w:tcPr>
            <w:tcW w:w="6220" w:type="dxa"/>
            <w:vAlign w:val="bottom"/>
          </w:tcPr>
          <w:p>
            <w:pPr>
              <w:ind w:left="360"/>
              <w:spacing w:after="0"/>
              <w:rPr>
                <w:sz w:val="20"/>
                <w:szCs w:val="20"/>
                <w:color w:val="auto"/>
              </w:rPr>
            </w:pPr>
            <w:r>
              <w:rPr>
                <w:rFonts w:ascii="Arial" w:cs="Arial" w:eastAsia="Arial" w:hAnsi="Arial"/>
                <w:sz w:val="18"/>
                <w:szCs w:val="18"/>
                <w:color w:val="auto"/>
              </w:rPr>
              <w:t>Total common stock warrant liability</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280</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79"/>
              </w:rPr>
              <w:t>194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Series A Warrant is a registered security that trades on the open market. The fair value of the Series A Warrant liability is based on the publicly quoted trading price of the warrants which is listed on and obtained from NASDAQ. Accordingly, the fair value of Series A Warrants is a Level 1 measurement. The fair value measurements of the Series C Warrants are based on significant inputs that are unobservable and thus represent Level 3 measurements. The Company’s estimated fair value of the Series C Warrant liability is calculated using the Black-Scholes valuation model. Key assumptions include the volatility of the Company’s stock, the expected warrant term, expected dividend yield and risk-free interest rates (see Note 6). The Level 3 estimates are based, in part, on subjective assumptions.</w:t>
      </w:r>
    </w:p>
    <w:p>
      <w:pPr>
        <w:spacing w:after="0" w:line="19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The agreement to pay the annual royalty in the NeoForce acquisition (Note 8) resulted in the recognition of a contingent consideration, which was recognized on the acquisition date. Subsequent changes to estimates of the amount of contingent consideration to be paid were recognized as charges or credits in the statement of operations. The fair value of the contingent consideration was based on preliminary cash flow projections, growth in expected product sales and other assumptions. Based on the assumptions, the fair value of the royalty obligation was determined to be $153,000 at September 30, 2016.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 The Neo Force royalty obligation was assumed by Flexicare Medical Limited to whom the company sold NFI on July 18, 2017 (see Note 5).</w:t>
      </w:r>
    </w:p>
    <w:p>
      <w:pPr>
        <w:spacing w:after="0" w:line="179"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The agreement to pay the commercial milestones in the Essentials acquisition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FDA approval process and then reaching the cumulative revenue milestones. Based on the assumptions, the fair value of the milestone obligation was determined to be $1.1 million at March 7, 2017. There was no change to the fair value of the contingent consideration as of September 30, 2017. The fair value of the contingent consideration was determined by applying a 15.3% probability of achieving each milestone. Additionally, the Company made an assessment that the commercial milestones of $100 million and $200 million in applicable revenue could be reached in 2023 and 2025, respectively. These inputs are considered Level 3 inputs under the fair value measurements and disclosure guidance.</w:t>
      </w:r>
    </w:p>
    <w:p>
      <w:pPr>
        <w:spacing w:after="0" w:line="19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On January 13, 2016, the Company entered into an agreement to sublease its excess space located in Redwood City. By the end of February 2016 the Company removed all equipment, furniture and fixtures being stored in this excess space and ceased use of this space. The fair value of the cease-use liability was calculated using the remaining lease payments, offset by future sub-lease payments, offset by deferred rent amortization, and discounted to present value using our current cost of capital of 20%. These inputs are considered Level 3 inputs under the fair value measurements and disclosure guidance.</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00"/>
          </w:cols>
          <w:pgMar w:left="240" w:top="459" w:right="2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periods presented, the Company has not changed the manner in which it values liabilities that are measured at fair value using Level 3 inputs. The Company recognizes transfers between levels of the fair value hierarchy as of the end of the reporting period. There were no transfers within the hierarchy during the periods presented.</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of September 30, 2017, and December 31, 2016, the Company had $5.3 million and $2.6 million in money market funds, respectively.</w:t>
      </w:r>
    </w:p>
    <w:p>
      <w:pPr>
        <w:spacing w:after="0" w:line="23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Company’s Level 1 and Level 3 warrants, which are treated as liabilities,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1380" w:type="dxa"/>
            <w:vAlign w:val="bottom"/>
            <w:tcBorders>
              <w:bottom w:val="single" w:sz="8" w:color="auto"/>
            </w:tcBorders>
            <w:gridSpan w:val="4"/>
          </w:tcPr>
          <w:p>
            <w:pPr>
              <w:ind w:left="300"/>
              <w:spacing w:after="0"/>
              <w:rPr>
                <w:sz w:val="20"/>
                <w:szCs w:val="20"/>
                <w:color w:val="auto"/>
              </w:rPr>
            </w:pPr>
            <w:r>
              <w:rPr>
                <w:rFonts w:ascii="Arial" w:cs="Arial" w:eastAsia="Arial" w:hAnsi="Arial"/>
                <w:sz w:val="14"/>
                <w:szCs w:val="14"/>
                <w:b w:val="1"/>
                <w:bCs w:val="1"/>
                <w:color w:val="auto"/>
                <w:w w:val="93"/>
              </w:rPr>
              <w:t>Series A Warrant</w:t>
            </w:r>
          </w:p>
        </w:tc>
        <w:tc>
          <w:tcPr>
            <w:tcW w:w="2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3"/>
              </w:rPr>
              <w:t>Series C Warrant</w:t>
            </w:r>
          </w:p>
        </w:tc>
        <w:tc>
          <w:tcPr>
            <w:tcW w:w="2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11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112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Warrants</w:t>
            </w:r>
          </w:p>
        </w:tc>
        <w:tc>
          <w:tcPr>
            <w:tcW w:w="960" w:type="dxa"/>
            <w:vAlign w:val="bottom"/>
            <w:gridSpan w:val="3"/>
            <w:vMerge w:val="continue"/>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Warrants</w:t>
            </w:r>
          </w:p>
        </w:tc>
        <w:tc>
          <w:tcPr>
            <w:tcW w:w="6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2016</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118,083</w:t>
            </w:r>
          </w:p>
        </w:tc>
        <w:tc>
          <w:tcPr>
            <w:tcW w:w="4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Change in value of Series A Warrants</w:t>
            </w:r>
          </w:p>
        </w:tc>
        <w:tc>
          <w:tcPr>
            <w:tcW w:w="112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95</w:t>
            </w:r>
          </w:p>
        </w:tc>
        <w:tc>
          <w:tcPr>
            <w:tcW w:w="11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 of Series C Warrants</w:t>
            </w:r>
          </w:p>
        </w:tc>
        <w:tc>
          <w:tcPr>
            <w:tcW w:w="112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Balance at September 30, 2017</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485,121</w:t>
            </w:r>
          </w:p>
        </w:tc>
        <w:tc>
          <w:tcPr>
            <w:tcW w:w="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289</w:t>
            </w:r>
          </w:p>
        </w:tc>
        <w:tc>
          <w:tcPr>
            <w:tcW w:w="4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118,083</w:t>
            </w:r>
          </w:p>
        </w:tc>
        <w:tc>
          <w:tcPr>
            <w:tcW w:w="4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Discontinued Operations, Assets Held for Sale and Asset Sale Transaction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Subsequent to the merger with Essentialis (see Note 11), the Company explored opportunities divest, sell or dispose of the CoSense, Neo Force,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Serenz businesses.</w:t>
      </w:r>
    </w:p>
    <w:p>
      <w:pPr>
        <w:spacing w:after="0" w:line="211"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Under ASC 205-20-45-10, during the period in which a component meets the assets held for sale and discontinued operations criteria, an entity must present the assets and liabilities of the discontinued operation separately in the asset and liability sections of the balance sheet for the comparative reporting periods. The prior period balance sheet should be reclassified for the held for sale items. For income statements, the current and prior periods should report the results of operations of the component in discontinued operations when comparative income statements are presented.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balance sheet accounts presented as assets and liabilities held for sale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4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 2017</w:t>
            </w:r>
          </w:p>
        </w:tc>
        <w:tc>
          <w:tcPr>
            <w:tcW w:w="2200" w:type="dxa"/>
            <w:vAlign w:val="bottom"/>
            <w:gridSpan w:val="4"/>
          </w:tcPr>
          <w:p>
            <w:pPr>
              <w:ind w:left="980"/>
              <w:spacing w:after="0"/>
              <w:rPr>
                <w:sz w:val="20"/>
                <w:szCs w:val="20"/>
                <w:color w:val="auto"/>
              </w:rPr>
            </w:pPr>
            <w:r>
              <w:rPr>
                <w:rFonts w:ascii="Arial" w:cs="Arial" w:eastAsia="Arial" w:hAnsi="Arial"/>
                <w:sz w:val="14"/>
                <w:szCs w:val="14"/>
                <w:b w:val="1"/>
                <w:bCs w:val="1"/>
                <w:color w:val="auto"/>
                <w:w w:val="95"/>
              </w:rPr>
              <w:t>December 31, 2016</w:t>
            </w:r>
          </w:p>
        </w:tc>
      </w:tr>
      <w:tr>
        <w:trPr>
          <w:trHeight w:val="196"/>
        </w:trPr>
        <w:tc>
          <w:tcPr>
            <w:tcW w:w="20" w:type="dxa"/>
            <w:vAlign w:val="bottom"/>
          </w:tcPr>
          <w:p>
            <w:pPr>
              <w:spacing w:after="0"/>
              <w:rPr>
                <w:sz w:val="17"/>
                <w:szCs w:val="17"/>
                <w:color w:val="auto"/>
              </w:rPr>
            </w:pPr>
          </w:p>
        </w:tc>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12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700" w:type="dxa"/>
            <w:vAlign w:val="bottom"/>
            <w:gridSpan w:val="2"/>
          </w:tcPr>
          <w:p>
            <w:pPr>
              <w:jc w:val="right"/>
              <w:ind w:right="345"/>
              <w:spacing w:after="0"/>
              <w:rPr>
                <w:sz w:val="20"/>
                <w:szCs w:val="20"/>
                <w:color w:val="auto"/>
              </w:rPr>
            </w:pPr>
            <w:r>
              <w:rPr>
                <w:rFonts w:ascii="Arial" w:cs="Arial" w:eastAsia="Arial" w:hAnsi="Arial"/>
                <w:sz w:val="18"/>
                <w:szCs w:val="18"/>
                <w:color w:val="auto"/>
              </w:rPr>
              <w:t>$</w:t>
            </w:r>
          </w:p>
        </w:tc>
        <w:tc>
          <w:tcPr>
            <w:tcW w:w="700" w:type="dxa"/>
            <w:vAlign w:val="bottom"/>
          </w:tcPr>
          <w:p>
            <w:pPr>
              <w:ind w:left="420"/>
              <w:spacing w:after="0"/>
              <w:rPr>
                <w:sz w:val="20"/>
                <w:szCs w:val="20"/>
                <w:color w:val="auto"/>
              </w:rPr>
            </w:pPr>
            <w:r>
              <w:rPr>
                <w:rFonts w:ascii="Arial" w:cs="Arial" w:eastAsia="Arial" w:hAnsi="Arial"/>
                <w:sz w:val="18"/>
                <w:szCs w:val="18"/>
                <w:color w:val="auto"/>
                <w:w w:val="86"/>
              </w:rPr>
              <w:t>126</w:t>
            </w:r>
          </w:p>
        </w:tc>
        <w:tc>
          <w:tcPr>
            <w:tcW w:w="140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1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437</w:t>
            </w:r>
          </w:p>
        </w:tc>
        <w:tc>
          <w:tcPr>
            <w:tcW w:w="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060" w:type="dxa"/>
            <w:vAlign w:val="bottom"/>
          </w:tcPr>
          <w:p>
            <w:pPr>
              <w:ind w:left="700"/>
              <w:spacing w:after="0"/>
              <w:rPr>
                <w:sz w:val="20"/>
                <w:szCs w:val="20"/>
                <w:color w:val="auto"/>
              </w:rPr>
            </w:pPr>
            <w:r>
              <w:rPr>
                <w:rFonts w:ascii="Arial" w:cs="Arial" w:eastAsia="Arial" w:hAnsi="Arial"/>
                <w:sz w:val="18"/>
                <w:szCs w:val="18"/>
                <w:color w:val="auto"/>
              </w:rPr>
              <w:t>Current assets held for sale</w:t>
            </w:r>
          </w:p>
        </w:tc>
        <w:tc>
          <w:tcPr>
            <w:tcW w:w="12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6"/>
              </w:rPr>
              <w:t>563</w:t>
            </w:r>
          </w:p>
        </w:tc>
        <w:tc>
          <w:tcPr>
            <w:tcW w:w="9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assets</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Property &amp; equipment, net</w:t>
            </w: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Other intangible assets</w:t>
            </w:r>
          </w:p>
        </w:tc>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6"/>
              </w:rPr>
              <w:t>458</w:t>
            </w:r>
          </w:p>
        </w:tc>
        <w:tc>
          <w:tcPr>
            <w:tcW w:w="9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assets held for sale</w:t>
            </w:r>
          </w:p>
        </w:tc>
        <w:tc>
          <w:tcPr>
            <w:tcW w:w="1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458</w:t>
            </w:r>
          </w:p>
        </w:tc>
        <w:tc>
          <w:tcPr>
            <w:tcW w:w="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w w:val="92"/>
              </w:rPr>
              <w:t>Accrued compensation and other current liabilities</w:t>
            </w:r>
          </w:p>
        </w:tc>
        <w:tc>
          <w:tcPr>
            <w:tcW w:w="12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9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 for sale</w:t>
            </w:r>
          </w:p>
        </w:tc>
        <w:tc>
          <w:tcPr>
            <w:tcW w:w="1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6"/>
              </w:rPr>
              <w:t>113</w:t>
            </w:r>
          </w:p>
        </w:tc>
        <w:tc>
          <w:tcPr>
            <w:tcW w:w="9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long-term liabilities</w:t>
            </w:r>
          </w:p>
        </w:tc>
        <w:tc>
          <w:tcPr>
            <w:tcW w:w="170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700"/>
              <w:spacing w:after="0"/>
              <w:rPr>
                <w:sz w:val="20"/>
                <w:szCs w:val="20"/>
                <w:color w:val="auto"/>
              </w:rPr>
            </w:pPr>
            <w:r>
              <w:rPr>
                <w:rFonts w:ascii="Arial" w:cs="Arial" w:eastAsia="Arial" w:hAnsi="Arial"/>
                <w:sz w:val="18"/>
                <w:szCs w:val="18"/>
                <w:color w:val="auto"/>
              </w:rPr>
              <w:t>Long-term liabilities held for sale</w:t>
            </w:r>
          </w:p>
        </w:tc>
        <w:tc>
          <w:tcPr>
            <w:tcW w:w="12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6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700" w:type="dxa"/>
            <w:vAlign w:val="bottom"/>
            <w:gridSpan w:val="2"/>
          </w:tcPr>
          <w:p>
            <w:pPr>
              <w:jc w:val="right"/>
              <w:ind w:right="1205"/>
              <w:spacing w:after="0"/>
              <w:rPr>
                <w:sz w:val="20"/>
                <w:szCs w:val="20"/>
                <w:color w:val="auto"/>
              </w:rPr>
            </w:pPr>
            <w:r>
              <w:rPr>
                <w:rFonts w:ascii="Arial" w:cs="Arial" w:eastAsia="Arial" w:hAnsi="Arial"/>
                <w:sz w:val="18"/>
                <w:szCs w:val="18"/>
                <w:color w:val="auto"/>
              </w:rPr>
              <w:t>F-39</w:t>
            </w: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60"/>
          </w:cols>
          <w:pgMar w:left="240" w:top="460" w:right="39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income statement accounts presented as Discontinued Operations were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3"/>
              </w:rPr>
              <w:t>Three Months Ended 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769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Gross loss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573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700"/>
              <w:spacing w:after="0"/>
              <w:rPr>
                <w:sz w:val="20"/>
                <w:szCs w:val="20"/>
                <w:color w:val="auto"/>
              </w:rPr>
            </w:pPr>
            <w:r>
              <w:rPr>
                <w:rFonts w:ascii="Arial" w:cs="Arial" w:eastAsia="Arial" w:hAnsi="Arial"/>
                <w:sz w:val="18"/>
                <w:szCs w:val="18"/>
                <w:color w:val="auto"/>
              </w:rPr>
              <w:t>Sales and marketing</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General and administrative</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ind w:left="1060"/>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5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Operating loss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(990)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(2,833)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 income (expense)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loss</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Loss on sale of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(208)</w:t>
            </w:r>
          </w:p>
        </w:tc>
        <w:tc>
          <w:tcPr>
            <w:tcW w:w="1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(208)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(1,235)</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(3,049)</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On July 18, 2017, the Company completed the sale of stock of its wholly-owned subsidiary, NFI, which operations related primarily to the Company’s portfolio of neonatology resuscitation business pursuant to a Stock Purchase Agreement (the “Purchase Agreement”) with NeoForce Holdings, Inc. (“Holdings”), a wholly-owned subsidiary of Flexicare Medical Limited, a privately held United Kingdom company, for $720,000 and adjustments for inventory and the current cash balances held at NFI. The Company will also receive payment for the total outstanding accounts receivable and inventory balances held by NFI at the time of the closing of the sale transaction as the receivable balances are collected and the inventory is sold. The Purchase Agreement includes customary terms and conditions, including an adjustment to the purchase price based on inventory and accounts receivable, and provisions that require the Company to indemnify Holdings for certain losses that Holdings might incur resulting from a breach by the Company of its representations and warranties stated in the Purchase Agreement and other matters. Total sales proceeds recorded by the Company were $977,000 consisting of $720,000 received in cash upon completing the sales transaction and a receivable recorded by the Company in the total amount of $257,000 as the fair value of accounts receivable and inventory collections expected to be realized. Upon completing the sale transaction, the Company recorded a loss on the sale in the amount of $208,000 as the net book value of assets sold in the amount of $1.185 million exceeded the total proceeds of $977,000. The Company collected $142,000 of the receivable for inventory and accounts receivable by September 30, 2017, and the remaining balance of $115,000 for the receivable for inventory and accounts receivable is recorded in Current Assets Held for Sale in the Condensed Consolidated Balance Sheet as of September 30, 2017.</w:t>
      </w:r>
    </w:p>
    <w:p>
      <w:pPr>
        <w:spacing w:after="0" w:line="17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NFI sale transaction is a continuation of the process previously disclosed by the Company of evaluating strategic alternatives and focusing on the Company’s rare disease therapeutic business.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terms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issued and outstanding Series A Warrants and Series C Warrants (the “Warrants”).</w:t>
      </w:r>
    </w:p>
    <w:p>
      <w:pPr>
        <w:spacing w:after="0" w:line="225" w:lineRule="exact"/>
        <w:rPr>
          <w:sz w:val="20"/>
          <w:szCs w:val="20"/>
          <w:color w:val="auto"/>
        </w:rPr>
      </w:pPr>
    </w:p>
    <w:p>
      <w:pPr>
        <w:ind w:right="120" w:firstLine="456"/>
        <w:spacing w:after="0" w:line="273" w:lineRule="auto"/>
        <w:rPr>
          <w:sz w:val="20"/>
          <w:szCs w:val="20"/>
          <w:color w:val="auto"/>
        </w:rPr>
      </w:pPr>
      <w:r>
        <w:rPr>
          <w:rFonts w:ascii="Arial" w:cs="Arial" w:eastAsia="Arial" w:hAnsi="Arial"/>
          <w:sz w:val="17"/>
          <w:szCs w:val="17"/>
          <w:color w:val="auto"/>
        </w:rPr>
        <w:t>The Company’s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Warrant contracts further provide for the payment of liquidated damages at an amount per month equal to 1% of the aggregate VWAP of the shares into which each Warrant is convertible into in the event that the Company is unable to maintain the effectiveness of a</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380"/>
          </w:cols>
          <w:pgMar w:left="240" w:top="460" w:right="27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registration statement as described herein. The Company evaluated the registration payment arrangement stipulated in the terms of these securities and determined that it is probable that the Company will maintain an effective registration statement and has therefore not allocated any portion of the Company’s cash or cash equivalents to the registration payment arrangement. The Warrants also contain a fundamental transactions provision that permits their settlement in cash at fair value at the option of the holder upon the occurrence of a change in control. Such change in control events include tender offers or hostile takeovers, which are not within the sole control of the Company as the issuer of these Warrants. Accordingly, the Warrants are considered to have a cash settlement feature that precludes their classification as equity instruments. Settlement at fair value upon the occurrence of a fundamental transaction would be computed using the Black Scholes Option Pricing Model.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 xml:space="preserve">The Company accounts for the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may be obligated to settle Warrants in cash in the case of a Fundamental Transaction.</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Company classified the Warrants as liabilities at their fair value and will re-measure the warrants at each balance sheet date until they are exercised or expire. Any change in the fair value is recognized as other income (expense) in the Company’s statement of operations.</w:t>
      </w:r>
    </w:p>
    <w:p>
      <w:pPr>
        <w:spacing w:after="0" w:line="17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Under ASC 815-40-35, the Company adopted a sequencing policy that reclassifies contracts, with the exception of stock options, from equity to assets or liabilities for those with the latest inception date first. Future issuance of securities will be evaluated as to reclassification as a liability under our sequencing policy of latest inception date first until either all of the Series B Warrants are settled or expire. The Series B Warrants expired on February 12,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Warrants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has issued 489,921 Series A Warrants to purchase shares of its Common Stock at an exercise price of $32.50 per share in connection with the unit offering offered in the Company’s initial public offering (“IPO”) in November 2014. The Series A Warrants are exercisable at any time prior to the expiration of the five-year term on November 12, 2019.</w:t>
      </w:r>
    </w:p>
    <w:p>
      <w:pPr>
        <w:spacing w:after="0" w:line="181" w:lineRule="exact"/>
        <w:rPr>
          <w:sz w:val="20"/>
          <w:szCs w:val="20"/>
          <w:color w:val="auto"/>
        </w:rPr>
      </w:pPr>
    </w:p>
    <w:p>
      <w:pPr>
        <w:jc w:val="both"/>
        <w:ind w:right="640" w:firstLine="456"/>
        <w:spacing w:after="0" w:line="286" w:lineRule="auto"/>
        <w:rPr>
          <w:sz w:val="20"/>
          <w:szCs w:val="20"/>
          <w:color w:val="auto"/>
        </w:rPr>
      </w:pPr>
      <w:r>
        <w:rPr>
          <w:rFonts w:ascii="Arial" w:cs="Arial" w:eastAsia="Arial" w:hAnsi="Arial"/>
          <w:sz w:val="17"/>
          <w:szCs w:val="17"/>
          <w:color w:val="auto"/>
        </w:rPr>
        <w:t>Upon the completion of the IPO, the Series A Warrants started trading on the NASDAQ under the symbol CAPNW, and now under the symbol SLNOW as the result of the The Company name change to Soleno Therapeutics, Inc. in May 2017. As the Series A Warrants are publicly traded, the Company uses the closing price on the measurement date to determine the fair value of these the Series A Warrants.</w:t>
      </w:r>
    </w:p>
    <w:p>
      <w:pPr>
        <w:spacing w:after="0" w:line="166"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Since their issuance, a total of 4,800 Series A Warrants have been exercised. As of September 30, 2017, the fair value of the 485,121 outstanding Series A Warrants was approximately $289,000, and the decrease of $126,000 and the increase of $95,000, respectively, in fair value during the three and nine months ended September 30, 2017, was recorded as other income and other expense, respectively, in the statement of operations. As of September 30, 2016, the fair value of the outstanding Series A warrants was approximately $509,000, and the decrease of $121,000 and $703,000 in fair value during the three and nine months ended September 30, 2016, was recorded as other income in the statement of operations.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 Warrants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The Company issued 489,921 Series B Warrants to purchase shares of its Common Stock at an exercise price of $32.50 per share in connection with the IPO. Certain Series B Warrant holders elected to exercise Series B Warrants for an aggregate of 117,902 shares of Common Stock and a new Series C Warrant for each share of Common Stock for which the Series B Warrants were exercised. Between January 1, 2016, and the expiration of the Series B Warrants on February 12, 2016, certain holders of the Series B Warrants exercised in cashless transactions a total of 20,460 Series B Warrants resulting in the issuance of 97,100 shares of Common Stock. The remaining Series B Warrants expired on February 12, 2016 and no Series B Warrants remain outstanding thereafter.</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Warrants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March 5, 2015, the Company entered into separate agreements with certain Series B Warrant holders, who agreed to exercise their Series B Warrants to purchase an aggregate of 117,902 shares of the Company’s Common Stock at an exercise price of $32.50 per share, resulting in the de-recognition of $6.7 million of Series B Warrant liability and gross proceeds to the Company of approximately $3.8 million based on the exercise price of the Series B Warrants. In connection with this exercise of the Series B Warrants, the Company issued to each investor who exercised Series B Warrants, new Series C Warrants for the number of shares of the Company’s Common Stock underlying the Series B Warrants that were exercised. Each Series C Warrant is exercisable at $31.25 per share and will expire on March 5, 2020.</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In April 2015, the Company issued a tender offer to the remaining holders of Series B Warrants to induce the holders to cash exercise the outstanding Series B Warrants in exchange for new Series C Warrants with an exercise price of $31.25 per share that expire on March 5, 2020. The tender offer was extended to Series B Warrant holders under a registration statement filed with the SEC on Form S-4, which was declared effective on June 25, 2015, and expired on July 24, 2015. During July 2015, certain Series B Warrant holder(s) tendered their Series B Warrants under the tender offer, which resulted in the issuance of 181 shares of the Company’s Common Stock, the issuance of 905 Series C Warrants and proceeds to the Company of $5,882.</w:t>
      </w:r>
    </w:p>
    <w:p>
      <w:pPr>
        <w:spacing w:after="0" w:line="15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Series C Warrants are exercisable into 118,083 shares of the Company’s Common Stock. As of September 30, 2017, the fair value of the Series C Warrants was determined to be $20,000. The decline in the fair value of the Series C Warrants of $4,000 during the three months ended September 30, 2017 and $66,000 in the nine months ended September 30, 2017, was recorded as other income in the consolidated statement of operations. As of September 30, 2016, the fair value of the Series C Warrants was determined to be $115,000. The decline in the fair value of the warrants of $79,000 during the three months ended September 30, 2016, and $348,000 in the nine months ended September 30, 2016 was recorded as other income in the consolidated statement of operations.</w:t>
      </w:r>
    </w:p>
    <w:p>
      <w:pPr>
        <w:spacing w:after="0" w:line="193"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Company has calculated the fair value of the Series C Warrants using a Black-Scholes pricing model, which requires the input of highly subjective assumptions including the expected stock price volatility. The Company used the following inputs: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00" w:type="dxa"/>
            <w:vAlign w:val="bottom"/>
            <w:tcBorders>
              <w:bottom w:val="single" w:sz="8" w:color="CCEEFF"/>
            </w:tcBorders>
          </w:tcPr>
          <w:p>
            <w:pPr>
              <w:spacing w:after="0"/>
              <w:rPr>
                <w:sz w:val="14"/>
                <w:szCs w:val="14"/>
                <w:color w:val="auto"/>
              </w:rPr>
            </w:pPr>
          </w:p>
        </w:tc>
        <w:tc>
          <w:tcPr>
            <w:tcW w:w="22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4"/>
                <w:szCs w:val="14"/>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Expected Term (years)</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5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18"/>
                <w:szCs w:val="1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3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Risk-free rate</w:t>
            </w:r>
          </w:p>
        </w:tc>
        <w:tc>
          <w:tcPr>
            <w:tcW w:w="3280" w:type="dxa"/>
            <w:vAlign w:val="bottom"/>
            <w:gridSpan w:val="3"/>
          </w:tcPr>
          <w:p>
            <w:pPr>
              <w:jc w:val="right"/>
              <w:ind w:right="360"/>
              <w:spacing w:after="0"/>
              <w:rPr>
                <w:sz w:val="20"/>
                <w:szCs w:val="20"/>
                <w:color w:val="auto"/>
              </w:rPr>
            </w:pPr>
            <w:r>
              <w:rPr>
                <w:rFonts w:ascii="Arial" w:cs="Arial" w:eastAsia="Arial" w:hAnsi="Arial"/>
                <w:sz w:val="18"/>
                <w:szCs w:val="18"/>
                <w:color w:val="auto"/>
              </w:rPr>
              <w:t>1.53%</w:t>
            </w:r>
          </w:p>
        </w:tc>
        <w:tc>
          <w:tcPr>
            <w:tcW w:w="1400" w:type="dxa"/>
            <w:vAlign w:val="bottom"/>
            <w:gridSpan w:val="3"/>
          </w:tcPr>
          <w:p>
            <w:pPr>
              <w:jc w:val="right"/>
              <w:ind w:right="60"/>
              <w:spacing w:after="0"/>
              <w:rPr>
                <w:sz w:val="20"/>
                <w:szCs w:val="20"/>
                <w:color w:val="auto"/>
              </w:rPr>
            </w:pPr>
            <w:r>
              <w:rPr>
                <w:rFonts w:ascii="Arial" w:cs="Arial" w:eastAsia="Arial" w:hAnsi="Arial"/>
                <w:sz w:val="18"/>
                <w:szCs w:val="18"/>
                <w:color w:val="auto"/>
              </w:rPr>
              <w:t>1.51%</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Common Stock Purchase Agreement</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On January 27, 2017, the Company entered into the 2017 Aspire Purchase Agreement with Aspire Capital, which provides that, upon the terms and subject to the conditions and limitations set forth therein, Aspire Capital is committed to purchase up to an aggregate of $17.0 million in value of shares of the Company’s Common Stock over the 30-month term of the 2017 Aspire Purchase Agreement. The Company issued Aspire Capital 141,666 shares of Common Stock as commitment shares under the 2017 Aspire Purchase Agreement and the resulting expense for issuing these commitment shares, in the amount of $602 thousand, is recorded as Other Expense in the Statement of Operations. Further, on March 7, 2017, the closing of the financing, as described in the Agreement and Plan of Merger dated December 22, 2016 (the “Merger Agreement”), the Company sold to Aspire Capital, 416,666 of the Company’s common stock at $4.80 per share for an aggregate of $2.0 million.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Leases</w:t>
      </w:r>
    </w:p>
    <w:p>
      <w:pPr>
        <w:spacing w:after="0" w:line="117"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On July 1, 2015 the Company executed a new four year non-cancelable operating lease agreement for 8,171 square feet of office space for its headquarters facility. The lease agreement provides for monthly lease payments of $23,300 beginning in September of 2015, with increases in the following three years. An additional 5,265 square feet of office space became part of the new lease agreement on March 1, 2016.</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leases office space under a non-cancelable operating lease agreement which was set to expire in May 2015. On February 2, 2015,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signed an amendment to its lease agreement, extending the lease through June 2018. The amendment provides for monthly lease payments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$22,000 beginning in June 2015, with increases in the following two years. The Company subleased this facility in January 2016 and ceased use of the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March 2016 (See Note 4).</w:t>
      </w:r>
    </w:p>
    <w:p>
      <w:pPr>
        <w:spacing w:after="0" w:line="21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Company also leased approximately 2,100 square feet of office space for its operations in Ivyland, Pennsylvania under a month-to-month lease, which lease was assumed by Holdings pursuant to the Purchase completed on July 18, 2017 (see Note 5).</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Rent expense was $405,000 and $462,000 during the nine months ended September 30, 2017, and 2016,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The Company accrues a liability for such matters when it is probable that future expenditures will be made and such expenditures can be reasonably estimated.</w:t>
      </w:r>
    </w:p>
    <w:p>
      <w:pPr>
        <w:spacing w:after="0" w:line="187"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In connection with the acquisition of the assets of NeoForce, the Company agreed to pay the former NeoForce shareholder an annual royalty payment for a period of 36 months. The agreement to pay the annual royalty resulted in the recognition of a contingent consideration, which was recognized at the closing of the transaction, and subsequent changes to estimate of the amounts of contingent consideration to be paid will be recognized as charges or credits in the statement of operations. The fair value of the contingent consideration is based on preliminary cash flow projections, growth in expected product sales and other assumptions. Based on the assumptions, the fair value of the royalty obligation was determined to be $153,000 at June 30, 2016. The fair value of the royalty obligation was determined by applying the income approach, using several significant unobservable inputs for projected cash flows and a discount rate of 20% commensurate with the Company’s cost of capital and expectation of the revenue growth for products at their life cycle stage. These inputs are considered Level 3 inputs under the fair value measurements and disclosure guidance. The contingent consideration was classified as liabilities held for sale as of June 30, 2017. The Neo Force royalty obligation was assumed by Flexicare Medical Limited to whom the company sold NFI on July 18, 2017 (see Note 5).</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In connection with the merger with Essentialis, the Company agreed to pay Essentialis stockholders earnout payments up to a maximum of $30 million upon the achievement of certain commercial milestones associated with the sale of Essentialis’ product. The agreement to pay the commercial milestones resulted in the recognition of a contingent consideration, which was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Based on the assumptions, the fair value of the milestone obligation was determined to be $1.1 million at March 7, 2017. There was no change to the fair value of the contingent consideration as of September 30, 2017. The entire $1.1 million was classified as a long-term liability.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is authorized to issue 10,000,000 shares of Preferred Stock.</w:t>
      </w:r>
    </w:p>
    <w:p>
      <w:pPr>
        <w:spacing w:after="0" w:line="22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Company has issued a total of 13,780 Series B Convertible Preferred Stock under the 2016 Sabby Purchase Agreement, with a par value of $0.001 and a stated value of $1,000 per share. The Series B Convertible Preferred Stock is convertible to Common Stock of the Company at the rate of 200 shares of Common Stock for each converted share of Series B Convertible Preferred Stock. Under the terms of the Series B Convertible Preferred Stock, in no event shall shares of Common Stock be issued to Sabby upon conversion of the Series B Convertible Preferred Stock to the extent such issuance of shares of Common Stock would result in Sabby having ownership in excess of 4.99%. The Series B Convertible Preferred Stock do not have an expiration date and are not redeemable at the option of the holders. In connection with each close of the Series B Convertible Preferred Stock, the Company was obligated to repurchase the remaining outstanding Series A Convertible Preferred Stock at the original issuance price. In addition, the exercise price of the existing Series D Warrants originally issued in conjunction with the 2015 Sabby Purchase Agreement was reduced from $12.30 to $8.75 per share on the effective date of the 2016 Sabby Purchase Agreement. Sabby converted 1,000 shares of Series B Convertible Preferred Stock into 200,000 shares of Common Stock during 2016.</w:t>
      </w:r>
    </w:p>
    <w:p>
      <w:pPr>
        <w:spacing w:after="0" w:line="16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During the nine months ended September 30, 2017, Sabby converted 2,731 Series B Convertible Preferred stock into 546,200 shares of Common Stock. As of September 30, 2017, there were 10,049 Series B Convertible Preferred Stock outstanding.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Company issued 3,783,388 shares of common stock to stockholders of Essentialis. The Company held back 182,675 shares of common stock as partial recourse to satisfy indemnification claims, and such shares will be issued to Essentialis stockholders on the 1 year anniversary of the closing of the merger. The Company is also obligated to issue an additional 913,389 shares of common stock to Essentialis stockholders upon the achievement of a development milestone.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459" w:right="2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Company also issued 1,666,666 shares of common stock at $4.80 per share for an investment of $8 million from the completion of the concurrent financing and issued 416,666 shares of common stock at $4.80 per share for an investment of $2 million from Aspire Capital.</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Plan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Company has adopted the 1999 Incentive Stock Plan, the 2010 Equity Incentive Plan, and the 2014 Equity Incentive Plan (together, the “Plans”). The 1999 Incentive Stock Plan expired in 2009, and the 2010 Equity Incentive Plan has been closed to new issuances. Therefore, the Company may issue options to purchase shares of common stock to employees, directors, and consultants only under the 2014 Equity Incentive Plan. Options granted under the 2014 Plan may be incentive stock options (“ISOs”) or nonqualified stock options (“NSOs”). ISOs may be granted only to Company employees and directors. NSOs may be granted to employees, directors, advisors, and consultants. The Board of Directors has the authority to determine to whom options will be granted, the number of options, the term, and the exercise price.</w:t>
      </w:r>
    </w:p>
    <w:p>
      <w:pPr>
        <w:spacing w:after="0" w:line="178" w:lineRule="exact"/>
        <w:rPr>
          <w:sz w:val="20"/>
          <w:szCs w:val="20"/>
          <w:color w:val="auto"/>
        </w:rPr>
      </w:pPr>
    </w:p>
    <w:p>
      <w:pPr>
        <w:ind w:right="220" w:firstLine="456"/>
        <w:spacing w:after="0" w:line="279" w:lineRule="auto"/>
        <w:rPr>
          <w:sz w:val="20"/>
          <w:szCs w:val="20"/>
          <w:color w:val="auto"/>
        </w:rPr>
      </w:pPr>
      <w:r>
        <w:rPr>
          <w:rFonts w:ascii="Arial" w:cs="Arial" w:eastAsia="Arial" w:hAnsi="Arial"/>
          <w:sz w:val="17"/>
          <w:szCs w:val="17"/>
          <w:color w:val="auto"/>
        </w:rPr>
        <w:t>Options are to be granted at an exercise price not less than fair value for an ISO or 85% of fair value for an NSO. For individuals holding more than 10% of the voting rights of all classes of stock, the exercise price of an option will not be for less than 110% of fair value. The vesting period is normally monthly over a period of 4 years from the vesting date. The contractual term of an option is no longer than 5 years for ISOs for which the grantee owns greater than 10% of the voting power of all classes of stock and no longer than ten years for all other options.</w:t>
      </w:r>
    </w:p>
    <w:p>
      <w:pPr>
        <w:spacing w:after="0" w:line="171"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Compensation expense is allocated on a departmental basis, based on the classification of the option holder. No income tax benefits have been recognized in the statements of operations for stock-based compensation arrangements as of September 30, 2017, and September 30, 2016.</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compensation expense (in thousands) was allocated between departments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40" w:type="dxa"/>
            <w:vAlign w:val="bottom"/>
            <w:gridSpan w:val="7"/>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4"/>
                <w:szCs w:val="14"/>
                <w:color w:val="auto"/>
              </w:rPr>
            </w:pPr>
          </w:p>
        </w:tc>
        <w:tc>
          <w:tcPr>
            <w:tcW w:w="24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4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2017</w:t>
            </w:r>
          </w:p>
        </w:tc>
        <w:tc>
          <w:tcPr>
            <w:tcW w:w="7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Sales &amp; Marketing</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20" w:type="dxa"/>
            <w:vAlign w:val="bottom"/>
            <w:gridSpan w:val="2"/>
          </w:tcPr>
          <w:p>
            <w:pPr>
              <w:jc w:val="right"/>
              <w:ind w:right="68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500" w:type="dxa"/>
            <w:vAlign w:val="bottom"/>
            <w:gridSpan w:val="2"/>
          </w:tcPr>
          <w:p>
            <w:pPr>
              <w:jc w:val="right"/>
              <w:ind w:right="78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183</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708</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w:t>
            </w:r>
          </w:p>
        </w:tc>
      </w:tr>
      <w:tr>
        <w:trPr>
          <w:trHeight w:val="223"/>
        </w:trPr>
        <w:tc>
          <w:tcPr>
            <w:tcW w:w="45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467"/>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226</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r>
      <w:tr>
        <w:trPr>
          <w:trHeight w:val="20"/>
        </w:trPr>
        <w:tc>
          <w:tcPr>
            <w:tcW w:w="4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No options were granted during the three months ended September 30, 2017 and 2016, and the fair value of each award granted for the nine months ended September 30, 2017 and 2016, was estimated on the date of grant using the Black-Scholes option pricing model with the following assumptions.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0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3"/>
          </w:tcPr>
          <w:p>
            <w:pPr>
              <w:ind w:left="2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5500" w:type="dxa"/>
            <w:vAlign w:val="bottom"/>
            <w:gridSpan w:val="2"/>
          </w:tcPr>
          <w:p>
            <w:pPr>
              <w:ind w:left="5200"/>
              <w:spacing w:after="0"/>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5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5.5-6.08</w:t>
            </w:r>
          </w:p>
        </w:tc>
        <w:tc>
          <w:tcPr>
            <w:tcW w:w="5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5.5-6.08</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1.9%-2.2%</w:t>
            </w:r>
          </w:p>
        </w:tc>
        <w:tc>
          <w:tcPr>
            <w:tcW w:w="52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3"/>
              </w:rPr>
              <w:t>1.3%-1.7%</w:t>
            </w: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61%-69%</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65% - 73%</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Dividend rate</w:t>
            </w: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center"/>
              <w:ind w:right="520"/>
              <w:spacing w:after="0"/>
              <w:rPr>
                <w:sz w:val="20"/>
                <w:szCs w:val="20"/>
                <w:color w:val="auto"/>
              </w:rPr>
            </w:pPr>
            <w:r>
              <w:rPr>
                <w:rFonts w:ascii="Arial" w:cs="Arial" w:eastAsia="Arial" w:hAnsi="Arial"/>
                <w:sz w:val="18"/>
                <w:szCs w:val="18"/>
                <w:color w:val="auto"/>
              </w:rPr>
              <w:t>— %</w:t>
            </w:r>
          </w:p>
        </w:tc>
        <w:tc>
          <w:tcPr>
            <w:tcW w:w="1020" w:type="dxa"/>
            <w:vAlign w:val="bottom"/>
          </w:tcPr>
          <w:p>
            <w:pPr>
              <w:jc w:val="center"/>
              <w:spacing w:after="0"/>
              <w:rPr>
                <w:sz w:val="20"/>
                <w:szCs w:val="20"/>
                <w:color w:val="auto"/>
              </w:rPr>
            </w:pPr>
            <w:r>
              <w:rPr>
                <w:rFonts w:ascii="Arial" w:cs="Arial" w:eastAsia="Arial" w:hAnsi="Arial"/>
                <w:sz w:val="18"/>
                <w:szCs w:val="18"/>
                <w:color w:val="auto"/>
              </w:rPr>
              <w:t>— %</w:t>
            </w:r>
          </w:p>
        </w:tc>
      </w:tr>
    </w:tbl>
    <w:p>
      <w:pPr>
        <w:spacing w:after="0" w:line="187" w:lineRule="exact"/>
        <w:rPr>
          <w:sz w:val="20"/>
          <w:szCs w:val="20"/>
          <w:color w:val="auto"/>
        </w:rPr>
      </w:pPr>
    </w:p>
    <w:p>
      <w:pPr>
        <w:jc w:val="both"/>
        <w:ind w:right="360" w:firstLine="456"/>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estimate the fair value of stock-based awards. These assumptions include:</w:t>
      </w:r>
    </w:p>
    <w:p>
      <w:pPr>
        <w:spacing w:after="0" w:line="76" w:lineRule="exact"/>
        <w:rPr>
          <w:sz w:val="20"/>
          <w:szCs w:val="20"/>
          <w:color w:val="auto"/>
        </w:rPr>
      </w:pPr>
    </w:p>
    <w:p>
      <w:pPr>
        <w:ind w:left="900" w:hanging="325"/>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estimated volatility rate based on a peer index of common stock of comparable companies in the Company’s industry.</w:t>
      </w:r>
    </w:p>
    <w:p>
      <w:pPr>
        <w:spacing w:after="0" w:line="153" w:lineRule="exact"/>
        <w:rPr>
          <w:rFonts w:ascii="Arial" w:cs="Arial" w:eastAsia="Arial" w:hAnsi="Arial"/>
          <w:sz w:val="16"/>
          <w:szCs w:val="16"/>
          <w:color w:val="auto"/>
        </w:rPr>
      </w:pPr>
    </w:p>
    <w:p>
      <w:pPr>
        <w:jc w:val="both"/>
        <w:ind w:left="900" w:right="20" w:hanging="325"/>
        <w:spacing w:after="0" w:line="259"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life of stock options represents the average of the contractual term of the options and the weighted-average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period, as permitted under the simplified method. The Company has elected to use the simplified method, as the Company does not have enough historical exercise experience to provide a reasonable basis upon which to estimate the expected term and the stock option grants are considered “plain vanilla” options.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340"/>
          </w:cols>
          <w:pgMar w:left="240" w:top="460" w:right="3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325"/>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i w:val="1"/>
          <w:iCs w:val="1"/>
          <w:color w:val="auto"/>
        </w:rPr>
        <w:t xml:space="preserve">Risk-free rate: </w:t>
      </w:r>
      <w:r>
        <w:rPr>
          <w:rFonts w:ascii="Arial" w:cs="Arial" w:eastAsia="Arial" w:hAnsi="Arial"/>
          <w:sz w:val="16"/>
          <w:szCs w:val="16"/>
          <w:color w:val="auto"/>
        </w:rPr>
        <w:t>The risk-free interest rate is based on the yields of U.S. Treasury securities with maturities similar to the expected time to liquidity.</w:t>
      </w:r>
    </w:p>
    <w:p>
      <w:pPr>
        <w:spacing w:after="0" w:line="153" w:lineRule="exact"/>
        <w:rPr>
          <w:rFonts w:ascii="Arial" w:cs="Arial" w:eastAsia="Arial" w:hAnsi="Arial"/>
          <w:sz w:val="16"/>
          <w:szCs w:val="16"/>
          <w:color w:val="auto"/>
        </w:rPr>
      </w:pPr>
    </w:p>
    <w:p>
      <w:pPr>
        <w:ind w:left="900" w:right="380" w:hanging="325"/>
        <w:spacing w:after="0" w:line="277" w:lineRule="auto"/>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The Company has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Consequently, the Company used an expected dividend yield of zero.</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stock option transactions for the nine months ended September 30, 2017 as issued under the Plans: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620" w:type="dxa"/>
            <w:vAlign w:val="bottom"/>
          </w:tcPr>
          <w:p>
            <w:pPr>
              <w:spacing w:after="0"/>
              <w:rPr>
                <w:sz w:val="13"/>
                <w:szCs w:val="13"/>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Shares</w:t>
            </w: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3"/>
                <w:szCs w:val="13"/>
                <w:color w:val="auto"/>
              </w:rPr>
            </w:pPr>
          </w:p>
        </w:tc>
        <w:tc>
          <w:tcPr>
            <w:tcW w:w="1280" w:type="dxa"/>
            <w:vAlign w:val="bottom"/>
            <w:gridSpan w:val="2"/>
          </w:tcPr>
          <w:p>
            <w:pPr>
              <w:jc w:val="center"/>
              <w:ind w:right="620"/>
              <w:spacing w:after="0" w:line="158" w:lineRule="exact"/>
              <w:rPr>
                <w:sz w:val="20"/>
                <w:szCs w:val="20"/>
                <w:color w:val="auto"/>
              </w:rPr>
            </w:pPr>
            <w:r>
              <w:rPr>
                <w:rFonts w:ascii="Arial" w:cs="Arial" w:eastAsia="Arial" w:hAnsi="Arial"/>
                <w:sz w:val="14"/>
                <w:szCs w:val="14"/>
                <w:b w:val="1"/>
                <w:bCs w:val="1"/>
                <w:color w:val="auto"/>
                <w:w w:val="91"/>
              </w:rPr>
              <w:t>Weighted-</w:t>
            </w:r>
          </w:p>
        </w:tc>
        <w:tc>
          <w:tcPr>
            <w:tcW w:w="8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Available</w:t>
            </w: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Options</w:t>
            </w: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 Price</w:t>
            </w:r>
          </w:p>
        </w:tc>
        <w:tc>
          <w:tcPr>
            <w:tcW w:w="8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for Grant</w:t>
            </w: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Outstanding</w:t>
            </w:r>
          </w:p>
        </w:tc>
        <w:tc>
          <w:tcPr>
            <w:tcW w:w="100" w:type="dxa"/>
            <w:vAlign w:val="bottom"/>
          </w:tcPr>
          <w:p>
            <w:pPr>
              <w:spacing w:after="0"/>
              <w:rPr>
                <w:sz w:val="15"/>
                <w:szCs w:val="15"/>
                <w:color w:val="auto"/>
              </w:rPr>
            </w:pPr>
          </w:p>
        </w:tc>
        <w:tc>
          <w:tcPr>
            <w:tcW w:w="12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per Share</w:t>
            </w:r>
          </w:p>
        </w:tc>
        <w:tc>
          <w:tcPr>
            <w:tcW w:w="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191,771</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581,686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17.10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Additional shares authorized</w:t>
            </w:r>
          </w:p>
        </w:tc>
        <w:tc>
          <w:tcPr>
            <w:tcW w:w="780" w:type="dxa"/>
            <w:vAlign w:val="bottom"/>
          </w:tcPr>
          <w:p>
            <w:pPr>
              <w:jc w:val="right"/>
              <w:spacing w:after="0"/>
              <w:rPr>
                <w:sz w:val="20"/>
                <w:szCs w:val="20"/>
                <w:color w:val="auto"/>
              </w:rPr>
            </w:pPr>
            <w:r>
              <w:rPr>
                <w:rFonts w:ascii="Arial" w:cs="Arial" w:eastAsia="Arial" w:hAnsi="Arial"/>
                <w:sz w:val="18"/>
                <w:szCs w:val="18"/>
                <w:color w:val="auto"/>
              </w:rPr>
              <w:t>134,295</w:t>
            </w:r>
          </w:p>
        </w:tc>
        <w:tc>
          <w:tcPr>
            <w:tcW w:w="5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Amendment to plan to authorize additional shares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1,785,837</w:t>
            </w:r>
          </w:p>
        </w:tc>
        <w:tc>
          <w:tcPr>
            <w:tcW w:w="5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Options granted</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(622,755)</w:t>
            </w:r>
          </w:p>
        </w:tc>
        <w:tc>
          <w:tcPr>
            <w:tcW w:w="780" w:type="dxa"/>
            <w:vAlign w:val="bottom"/>
          </w:tcPr>
          <w:p>
            <w:pPr>
              <w:jc w:val="right"/>
              <w:spacing w:after="0"/>
              <w:rPr>
                <w:sz w:val="20"/>
                <w:szCs w:val="20"/>
                <w:color w:val="auto"/>
              </w:rPr>
            </w:pPr>
            <w:r>
              <w:rPr>
                <w:rFonts w:ascii="Arial" w:cs="Arial" w:eastAsia="Arial" w:hAnsi="Arial"/>
                <w:sz w:val="18"/>
                <w:szCs w:val="18"/>
                <w:color w:val="auto"/>
              </w:rPr>
              <w:t>622,755</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3.05</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Options exercised</w:t>
            </w:r>
          </w:p>
        </w:tc>
        <w:tc>
          <w:tcPr>
            <w:tcW w:w="13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ind w:left="340"/>
              <w:spacing w:after="0"/>
              <w:rPr>
                <w:sz w:val="20"/>
                <w:szCs w:val="20"/>
                <w:color w:val="auto"/>
              </w:rPr>
            </w:pPr>
            <w:r>
              <w:rPr>
                <w:rFonts w:ascii="Arial" w:cs="Arial" w:eastAsia="Arial" w:hAnsi="Arial"/>
                <w:sz w:val="18"/>
                <w:szCs w:val="18"/>
                <w:color w:val="auto"/>
              </w:rPr>
              <w:t>Options canceled/forfeited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132,437</w:t>
            </w:r>
          </w:p>
        </w:tc>
        <w:tc>
          <w:tcPr>
            <w:tcW w:w="56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(132,437)</w:t>
            </w:r>
          </w:p>
        </w:tc>
        <w:tc>
          <w:tcPr>
            <w:tcW w:w="10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9.30</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2017</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1,621,585</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1,072,004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5640" w:type="dxa"/>
            <w:vAlign w:val="bottom"/>
            <w:gridSpan w:val="2"/>
            <w:vMerge w:val="restart"/>
          </w:tcPr>
          <w:p>
            <w:pPr>
              <w:spacing w:after="0"/>
              <w:rPr>
                <w:sz w:val="20"/>
                <w:szCs w:val="20"/>
                <w:color w:val="auto"/>
              </w:rPr>
            </w:pPr>
            <w:r>
              <w:rPr>
                <w:rFonts w:ascii="Arial" w:cs="Arial" w:eastAsia="Arial" w:hAnsi="Arial"/>
                <w:sz w:val="18"/>
                <w:szCs w:val="18"/>
                <w:color w:val="auto"/>
              </w:rPr>
              <w:t>Options vested at September 30, 2017</w:t>
            </w: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533,202</w:t>
            </w:r>
          </w:p>
        </w:tc>
        <w:tc>
          <w:tcPr>
            <w:tcW w:w="560" w:type="dxa"/>
            <w:vAlign w:val="bottom"/>
          </w:tcPr>
          <w:p>
            <w:pPr>
              <w:spacing w:after="0" w:line="20" w:lineRule="exact"/>
              <w:rPr>
                <w:sz w:val="1"/>
                <w:szCs w:val="1"/>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8"/>
                <w:szCs w:val="18"/>
                <w:color w:val="auto"/>
              </w:rPr>
              <w:t>14.05</w:t>
            </w: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line="20" w:lineRule="exact"/>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 at September 30, 2017</w:t>
            </w: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1,072,004</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9.90</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weighted-average grant date fair value of employee options granted was $3.05 and $4.05 per share for the nine months ended September 30, 2017 and year ended December 31, 2016, respectively. At September 30, 2017, total unrecognized employee stock-based compensation was $1.4 million, which is expected to be recognized over the weighted-average remaining vesting period of 2.7 years. As of September 30, 2017, the outstanding stock options had an intrinsic value of zero.</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fair value of an equity award granted to a non-employee generally is determined in the same manner as an equity award granted to an employee. In most cases, the fair value of the equity securities granted is more reliably determinable than the fair value of the goods or services received. Stock-based compensation related to its grant of options to non-employees has not been material to date.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Our Board of Directors and stockholders have adopted the 2014 Employee Stock Purchase Plan, or the ESPP. The ESPP has become effective, and our Board of Directors will implement commencement of offers thereunder in its discretion. A total of 27,967 shares of our Common Stock has been made available for sale under the ESPP. In addition, our ESPP provides for annual increases in the number of shares available for issuance under the plan on the first day of each year beginning in the year following the initial date that our Board of Directors authorizes commencement, equal to the least of:</w:t>
      </w:r>
    </w:p>
    <w:p>
      <w:pPr>
        <w:spacing w:after="0" w:line="60" w:lineRule="exact"/>
        <w:rPr>
          <w:sz w:val="20"/>
          <w:szCs w:val="20"/>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1.0% of the outstanding shares of our Common Stock on the first day of such year; 55,936 shares; or</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such amount as determined by our Board of Directors.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September 30, 2017 there were no purchases by employees under this plan.</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400"/>
          </w:cols>
          <w:pgMar w:left="240" w:top="460" w:right="2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D Warrants</w:t>
      </w:r>
    </w:p>
    <w:p>
      <w:pPr>
        <w:spacing w:after="0" w:line="117"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As part of the 2015 Sabby Purchase Agreement, the Company previously issued 562,162 Series D Warrants, with an exercise price of $12.30. The exercise price of 540,540 Series D Warrants issued to Sabby were subsequently amended to $8.75 per share and a term of five years expiring on October 15, 2020 pursuant to the 2016 Sabby Purchase Agreement. The exercise price of the remaining 21,621 Series D Warrants issued to Maxim LLC, as placement agent, was $12.30, and are exercisable beginning on April 15, 2016, and through and including October 15, 2020. The Company’s Series D Warrants contain standard anti-dilution provisions for stock dividends, stock splits, subdivisions, combinations and similar types of recapitalization events. They also contain a cashless exercise feature that provides for their net share settlement at the option of the holder in the event that there is no effective registration statement covering the continuous offer and sale of the warrants and underlying shares. The Company is required to comply with certain requirement to cause or maintain the effectiveness of a registration statement for the offer and sale of these securities. The Series D Warrant agreement further provides for the payment of liquidated damages at an amount per month equal to 1% of the aggregate VWAP of the shares into which each Series D Warrant is convertible into in the event that the Company is unable to maintain the effectiveness of a registration statement as described therein. The Company evaluated the registration payment arrangement stipulated in the terms of the 2015 Sabby Purchase Agreement and determined that it is probable that the Company will maintain an effective registration statement and has therefore not allocated any portion of the proceeds to the registration payment arrangement. The Series D Warrant agreement specifically provides that under no circumstances will the Company be required to settle any Series D Warrant exercise for cash, whether by net settlement or otherwise.</w:t>
      </w:r>
    </w:p>
    <w:p>
      <w:pPr>
        <w:spacing w:after="0" w:line="185"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As part of the 2016 Sabby Purchase Agreement, the Company issued to Maxim LLC, as its placement agent, 24,000 Series D Warrants, with an exercise price of $8.75 and a term of five years expiring in July and September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Treatment</w:t>
      </w:r>
    </w:p>
    <w:p>
      <w:pPr>
        <w:spacing w:after="0" w:line="117" w:lineRule="exact"/>
        <w:rPr>
          <w:sz w:val="20"/>
          <w:szCs w:val="20"/>
          <w:color w:val="auto"/>
        </w:rPr>
      </w:pPr>
    </w:p>
    <w:p>
      <w:pPr>
        <w:jc w:val="both"/>
        <w:ind w:right="380" w:firstLine="456"/>
        <w:spacing w:after="0" w:line="264" w:lineRule="auto"/>
        <w:rPr>
          <w:sz w:val="20"/>
          <w:szCs w:val="20"/>
          <w:color w:val="auto"/>
        </w:rPr>
      </w:pPr>
      <w:r>
        <w:rPr>
          <w:rFonts w:ascii="Arial" w:cs="Arial" w:eastAsia="Arial" w:hAnsi="Arial"/>
          <w:sz w:val="18"/>
          <w:szCs w:val="18"/>
          <w:color w:val="auto"/>
        </w:rPr>
        <w:t xml:space="preserve">The Company accounts for the Series D Warrants in accordance with the guidance in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As indicated above, the Company is not required under any circumstance to settle any Series D Warrant exercise for cash. The Company has therefore classified the value of the Series D Warrants as permanent equity.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Common Stock Warrants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As of September 30, 2017, the Company had 102,070 Common Stock warrants outstanding originally issued in conjunction with the 2010/2012 convertible notes, with an exercise price of $24.35 and a term of 10 years expiring in November 2024. The Company also has outstanding 1,851 Common Stock warrants issued in 2009, with an exercise price of $108.00 and a term of 10 years, expiring in January 2019 and 16,500 Common Stock warrants issued to the underwriter in our IPO, with an exercise price of 35.70 and a term of 10 years, expiring in November 2024.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Net loss per share</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Basic net loss per share is computed by dividing net loss by the weighted-average number of Common Stock actually outstanding during the period including contingent shares to be issued to Essentialis stockholders of 182,675 shares of common stock to be issued on the 1 year anniversary of the closing of the merger and 913,389 shares of common stock to be issued upon the achievement of a development milestone. Diluted net loss per share is computed by dividing net loss by the weighted-average number of Common Stock outstanding and dilutive potential Common Stock that would be issued upon the exercise of Common Stock warrants and options. For the three and nine months ended September 30, 2017 and 2016 the effect of issuing the potential Common Stock is anti-dilutive due to the net losses in those periods and the number of shares used to compute basic and diluted earnings per share are the same in each of those periods.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360"/>
          </w:cols>
          <w:pgMar w:left="240" w:top="459" w:right="2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following potentially dilutive securities outstanding have been excluded from the computations of diluted weighted-average shares outstanding because such securities have an antidilutive impact due to losses reported (in Common Stock equivalent shares):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1940" w:type="dxa"/>
            <w:vAlign w:val="bottom"/>
            <w:gridSpan w:val="4"/>
          </w:tcPr>
          <w:p>
            <w:pPr>
              <w:ind w:left="34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6740" w:type="dxa"/>
            <w:vAlign w:val="bottom"/>
          </w:tcPr>
          <w:p>
            <w:pPr>
              <w:spacing w:after="0"/>
              <w:rPr>
                <w:sz w:val="12"/>
                <w:szCs w:val="12"/>
                <w:color w:val="auto"/>
              </w:rPr>
            </w:pPr>
          </w:p>
        </w:tc>
        <w:tc>
          <w:tcPr>
            <w:tcW w:w="78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Series A Convertible preferred stock</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Series B Convertible preferred stock</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2,009,800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2,756,000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2010/2012 convertible note holders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102,070</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Options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1,072,004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587,630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in 2009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Warrants issued to underwriter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16,500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16,500</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Series A Warrants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485,121</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Series C Warrants to purchase common stock</w:t>
            </w:r>
          </w:p>
        </w:tc>
        <w:tc>
          <w:tcPr>
            <w:tcW w:w="780" w:type="dxa"/>
            <w:vAlign w:val="bottom"/>
          </w:tcPr>
          <w:p>
            <w:pPr>
              <w:jc w:val="right"/>
              <w:spacing w:after="0"/>
              <w:rPr>
                <w:sz w:val="20"/>
                <w:szCs w:val="20"/>
                <w:color w:val="auto"/>
              </w:rPr>
            </w:pPr>
            <w:r>
              <w:rPr>
                <w:rFonts w:ascii="Arial" w:cs="Arial" w:eastAsia="Arial" w:hAnsi="Arial"/>
                <w:sz w:val="18"/>
                <w:szCs w:val="18"/>
                <w:color w:val="auto"/>
              </w:rPr>
              <w:t>118,083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118,083</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Series D Warrants to purchase common stock</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586,162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586,162</w:t>
            </w:r>
          </w:p>
        </w:tc>
        <w:tc>
          <w:tcPr>
            <w:tcW w:w="60" w:type="dxa"/>
            <w:vAlign w:val="bottom"/>
            <w:shd w:val="clear" w:color="auto" w:fill="CCEEFF"/>
          </w:tcPr>
          <w:p>
            <w:pPr>
              <w:spacing w:after="0"/>
              <w:rPr>
                <w:sz w:val="18"/>
                <w:szCs w:val="18"/>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4,391,591</w:t>
            </w:r>
          </w:p>
        </w:tc>
        <w:tc>
          <w:tcPr>
            <w:tcW w:w="3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4,653,417</w:t>
            </w:r>
          </w:p>
        </w:tc>
        <w:tc>
          <w:tcPr>
            <w:tcW w:w="6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Essentialis, Inc. Acquisition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March 7, 2017, the Company acquired Essentialis through the merger of the Company’s wholly-owned subsidiary Company E Merger Sub, Inc., a Delaware corporation (“Merger Sub”), whereby Merger Sub merged into Essentialis,with Essentialis surviving the merger as a wholly owned subsidiary of the Company.</w:t>
      </w:r>
    </w:p>
    <w:p>
      <w:pPr>
        <w:spacing w:after="0" w:line="18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consideration, the Company issued 3,783,388 shares of common stock to stockholders of Essentialis. The Company held back 182,675 shares of common stock as partial recourse to satisfy indemnification claims, and such shares will be issued to Essentialis stockholders on the 1 year anniversary of the closing of the merger. The Company is also obligated to issue an additional 913,389 shares of common stock to Essentialis stockholders upon the achievement of a development milestone. Additionally, upon the achievement of certain commercial milestones associated with the sale of Essentialis’ product in accordance with the terms of the Merger Agreement, the Company is obligated to make cash earnout payments of up to a maximum of $30 million to Essentialis stockholders.</w:t>
      </w:r>
    </w:p>
    <w:p>
      <w:pPr>
        <w:spacing w:after="0" w:line="19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transaction has been accounted for as an asset acquisition under the acquisition method of accounting. The amendments in ASU 2017-01 provide a screen to determine when a set of assets and activities is not a business. The screen requires that when substantially all of the fair value of the gross assets acquired (or disposed of) is concentrated in a single identifiable asset or a group of similar identifiable assets, the set of assets and activities is not a business.</w:t>
      </w:r>
    </w:p>
    <w:p>
      <w:pPr>
        <w:spacing w:after="0" w:line="14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Since the acquisition was determined to be an asset acquisition, the total value of the purchase consideration will be allocated to the asset acquired. The value of the shares issued on the completion of the merger and the shares to be issued was based on the stock price of the Company on the date of completion of the merger. In addition, the trading history of the Company was reviewed to assess the reliability of the implied consideration value. The Company trades on the NASDAQ, a major U.S. stock exchange, and has significant average daily trading volume with tight intraday bid-ask spreads. These characteristics indicate Capnia’s shares are actively traded and provide a reliable indication of value. On March 7, 2017, the date of the transaction close, the Company’s stock was trading at $3.85 per common share. Additionally, the average closing price of the stock in the 30 calendar days leading up to the close was also approximately $3.85. Accordingly, the identifiable intangible assets acquired are recorded at fair value based on this stock price.</w:t>
      </w:r>
    </w:p>
    <w:p>
      <w:pPr>
        <w:spacing w:after="0" w:line="16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agreement to pay the commercial milestones resulted in the recognition of a contingent consideration, which is recognized at the inception of the transaction, and subsequent changes to estimate of the amounts of contingent consideration to be paid will be recognized as charges or credits in the statement of operations. The fair value of the contingent consideration is based on the Company’s analysis of the likelihood of the drug indication moving from phase II through approval in the Federal Drug Administration approval process and then reaching the cumulative revenue milestones. In determining the likelihood of this occurring, the analysis relied on 2016 research published by BIO, Biomedtraker, &amp; Amplion titles “Clinical Development Success Rates 2006-2015.” Based on management’s assessment, a 15.3% probability of achieving each milestone was determined to be reasonable. Additionally, the Company anticipates that it could reach the commercial milestones of $100 million and $200 million in applicable revenue in 2023 and 2025, respectively.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460" w:right="2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firstLine="456"/>
        <w:spacing w:after="0" w:line="308" w:lineRule="auto"/>
        <w:rPr>
          <w:sz w:val="20"/>
          <w:szCs w:val="20"/>
          <w:color w:val="auto"/>
        </w:rPr>
      </w:pPr>
      <w:r>
        <w:rPr>
          <w:rFonts w:ascii="Arial" w:cs="Arial" w:eastAsia="Arial" w:hAnsi="Arial"/>
          <w:sz w:val="17"/>
          <w:szCs w:val="17"/>
          <w:color w:val="auto"/>
        </w:rPr>
        <w:t>The probability weighted milestone payments were discounted to determine the present value of future payments. The analysis utilized the weighted average cost of capital (WACC) discount rate. The WACC used for the first and second milestones were 30% and 21%, respectively.</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gridSpan w:val="2"/>
          </w:tcPr>
          <w:p>
            <w:pPr>
              <w:ind w:left="460"/>
              <w:spacing w:after="0"/>
              <w:rPr>
                <w:sz w:val="20"/>
                <w:szCs w:val="20"/>
                <w:color w:val="auto"/>
              </w:rPr>
            </w:pPr>
            <w:r>
              <w:rPr>
                <w:rFonts w:ascii="Arial" w:cs="Arial" w:eastAsia="Arial" w:hAnsi="Arial"/>
                <w:sz w:val="18"/>
                <w:szCs w:val="18"/>
                <w:color w:val="auto"/>
              </w:rPr>
              <w:t>The aggregate purchase price consideration was as follows:</w:t>
            </w: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stock consideration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$18,785,926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Fair value of contingent consideration</w:t>
            </w:r>
          </w:p>
        </w:tc>
        <w:tc>
          <w:tcPr>
            <w:tcW w:w="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1,090,125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purchase price consideration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19,876,051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The fair value of the asset acquired is as follows:</w:t>
            </w:r>
          </w:p>
        </w:tc>
        <w:tc>
          <w:tcPr>
            <w:tcW w:w="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900" w:type="dxa"/>
            <w:vAlign w:val="bottom"/>
            <w:gridSpan w:val="2"/>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19,876,051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ind w:left="1840"/>
              <w:spacing w:after="0"/>
              <w:rPr>
                <w:sz w:val="20"/>
                <w:szCs w:val="20"/>
                <w:color w:val="auto"/>
              </w:rPr>
            </w:pPr>
            <w:r>
              <w:rPr>
                <w:rFonts w:ascii="Arial" w:cs="Arial" w:eastAsia="Arial" w:hAnsi="Arial"/>
                <w:sz w:val="18"/>
                <w:szCs w:val="18"/>
                <w:b w:val="1"/>
                <w:bCs w:val="1"/>
                <w:color w:val="auto"/>
              </w:rPr>
              <w:t>Net Assets Acquired</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19,876,051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As an asset acquisition, the Company also capitalized $573,000 of total costs of acquiring the assets. These included legal fees of $469,000, printing fees of $75,000 and accounting and other fees of $29,000. The total intangible asset of $20.4 million was recorded on the balance sheet and amortized over the life of the patents through June 30, 2028.</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following table presents the unaudited pro forma results of Soleno Therapeutics, Inc. (including the operations of Essentialis) for the three and nine months ended September 30, 2017, and 2016 (in thousands, except per share amounts). The unaudited pro forma financial information combines the results of operations of Soleno and Essentialis as though the companies had been combined as of the beginning of each of the fiscal periods presented. The unaudited pro forma financial information is presented for informational purposes only and is not indicative of the results of operations that would have been achieved if the acquisition had taken place at the beginning of fiscal 2016 or 2017.</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49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56"/>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jc w:val="right"/>
              <w:ind w:right="53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 forma total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329</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641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 forma 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56"/>
              <w:spacing w:after="0"/>
              <w:rPr>
                <w:sz w:val="20"/>
                <w:szCs w:val="20"/>
                <w:color w:val="auto"/>
              </w:rPr>
            </w:pPr>
            <w:r>
              <w:rPr>
                <w:rFonts w:ascii="Arial" w:cs="Arial" w:eastAsia="Arial" w:hAnsi="Arial"/>
                <w:sz w:val="18"/>
                <w:szCs w:val="18"/>
                <w:color w:val="auto"/>
              </w:rPr>
              <w:t>(3,786)</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(7,075)</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6"/>
              <w:spacing w:after="0"/>
              <w:rPr>
                <w:sz w:val="20"/>
                <w:szCs w:val="20"/>
                <w:color w:val="auto"/>
              </w:rPr>
            </w:pPr>
            <w:r>
              <w:rPr>
                <w:rFonts w:ascii="Arial" w:cs="Arial" w:eastAsia="Arial" w:hAnsi="Arial"/>
                <w:sz w:val="18"/>
                <w:szCs w:val="18"/>
                <w:color w:val="auto"/>
              </w:rPr>
              <w:t>(11,988)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(15,039)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 per share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(0.56)</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(0.81)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Proforma weighted-average shares - basic and diluted</w:t>
            </w:r>
          </w:p>
        </w:tc>
        <w:tc>
          <w:tcPr>
            <w:tcW w:w="120" w:type="dxa"/>
            <w:vAlign w:val="bottom"/>
          </w:tcPr>
          <w:p>
            <w:pPr>
              <w:spacing w:after="0"/>
              <w:rPr>
                <w:sz w:val="20"/>
                <w:szCs w:val="20"/>
                <w:color w:val="auto"/>
              </w:rPr>
            </w:pPr>
          </w:p>
        </w:tc>
        <w:tc>
          <w:tcPr>
            <w:tcW w:w="1160" w:type="dxa"/>
            <w:vAlign w:val="bottom"/>
          </w:tcPr>
          <w:p>
            <w:pPr>
              <w:jc w:val="right"/>
              <w:ind w:right="216"/>
              <w:spacing w:after="0"/>
              <w:rPr>
                <w:sz w:val="20"/>
                <w:szCs w:val="20"/>
                <w:color w:val="auto"/>
              </w:rPr>
            </w:pPr>
            <w:r>
              <w:rPr>
                <w:rFonts w:ascii="Arial" w:cs="Arial" w:eastAsia="Arial" w:hAnsi="Arial"/>
                <w:sz w:val="18"/>
                <w:szCs w:val="18"/>
                <w:color w:val="auto"/>
              </w:rPr>
              <w:t>6,797,067</w:t>
            </w:r>
          </w:p>
        </w:tc>
        <w:tc>
          <w:tcPr>
            <w:tcW w:w="4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5,906,396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6"/>
              <w:spacing w:after="0"/>
              <w:rPr>
                <w:sz w:val="20"/>
                <w:szCs w:val="20"/>
                <w:color w:val="auto"/>
              </w:rPr>
            </w:pPr>
            <w:r>
              <w:rPr>
                <w:rFonts w:ascii="Arial" w:cs="Arial" w:eastAsia="Arial" w:hAnsi="Arial"/>
                <w:sz w:val="18"/>
                <w:szCs w:val="18"/>
                <w:color w:val="auto"/>
                <w:w w:val="95"/>
              </w:rPr>
              <w:t>14,802,976</w:t>
            </w:r>
          </w:p>
        </w:tc>
        <w:tc>
          <w:tcPr>
            <w:tcW w:w="3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8,939,450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Compensation Plan for Board Members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The Compensation Committee of the Board of Directors of the Company recommended and the Board approved a new compensation plan for the payment of quarterly Board fees. Starting in the first quarter of 2017, all board fees have been paid in Common Stock of the Company. Payment to the Board of Directors in shares of the Company’s Common Stock is made after the close of the quarter in which the compensation is earned. During the nine months ended September 30, 2017, the Company issued 58,589 shares of Common Stock to its Board members (see Note 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Shareholder Lawsuit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On February 16, 2017, a purported stockholder class action lawsuit captioned </w:t>
      </w:r>
      <w:r>
        <w:rPr>
          <w:rFonts w:ascii="Arial" w:cs="Arial" w:eastAsia="Arial" w:hAnsi="Arial"/>
          <w:sz w:val="18"/>
          <w:szCs w:val="18"/>
          <w:i w:val="1"/>
          <w:iCs w:val="1"/>
          <w:color w:val="auto"/>
        </w:rPr>
        <w:t>Garfield v. Capnia, Inc., et al.</w:t>
      </w:r>
      <w:r>
        <w:rPr>
          <w:rFonts w:ascii="Arial" w:cs="Arial" w:eastAsia="Arial" w:hAnsi="Arial"/>
          <w:sz w:val="18"/>
          <w:szCs w:val="18"/>
          <w:color w:val="auto"/>
        </w:rPr>
        <w:t>, Case No. C17-00284, or the Lawsuit, was filed in Superior Court of the State of California, County of Contra Costa against us and certain of our officers and directors. The Lawsuit alleged, generally, that our directors breached their fiduciary duties to our stockholders by seeking to sell control of the company through an allegedly defective process, and on unfair terms. The Lawsuit also alleged that defendants failed to disclose all material facts concerning the merger with Essentialis to stockholders. The Lawsuit sought, among other things, equitable relief that would have enjoined the consummation of the merger, compensatory and/or rescissory damages, and attorneys’ fees and costs.</w:t>
      </w:r>
    </w:p>
    <w:p>
      <w:pPr>
        <w:spacing w:after="0" w:line="193"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On February 28, 2017, the Company settled the Lawsuit by making certain supplemental disclosures in a Current Report on Form 8-K filed with the SEC on February 28, 2017 in connection with the plaintiff’s agreement to voluntarily dismiss plaintiff’s claims in the Lawsuit. The Company also agreed to pay $175,000 in attorney’s fees. This amount was accrued as a current liability on the balance sheet as of December 31, 2016 and recorded as a general and administrative expense on the statement of operations for the year ended December 31, 2016. The stipulation of dismissal was approved by the court on April 14, 2017.</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459" w:right="2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On October 2, 2017, the Company issued 31,718 shares of Common Stock to members of its Board of Directors as compensation for Board of Directors fees earned during the quarter ended September 30, 2017 (see Note 12).</w:t>
      </w:r>
    </w:p>
    <w:p>
      <w:pPr>
        <w:spacing w:after="0" w:line="17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On October 6, 2017, the Company effected a one-for-five reverse stock split of its then outstanding Common Stock. Consequently, all earnings per share and other per share amounts and disclosures have been retroactively adjusted for all periods presented herein.</w:t>
      </w:r>
    </w:p>
    <w:p>
      <w:pPr>
        <w:spacing w:after="0" w:line="170" w:lineRule="exact"/>
        <w:rPr>
          <w:sz w:val="20"/>
          <w:szCs w:val="20"/>
          <w:color w:val="auto"/>
        </w:rPr>
      </w:pPr>
    </w:p>
    <w:p>
      <w:pPr>
        <w:ind w:right="300" w:firstLine="456"/>
        <w:spacing w:after="0" w:line="302" w:lineRule="auto"/>
        <w:rPr>
          <w:sz w:val="20"/>
          <w:szCs w:val="20"/>
          <w:color w:val="auto"/>
        </w:rPr>
      </w:pPr>
      <w:r>
        <w:rPr>
          <w:rFonts w:ascii="Arial" w:cs="Arial" w:eastAsia="Arial" w:hAnsi="Arial"/>
          <w:sz w:val="16"/>
          <w:szCs w:val="16"/>
          <w:color w:val="auto"/>
        </w:rPr>
        <w:t>On December 4, 2017, we, and our wholly-owned subsidiary, Capnia, Inc., a Delaware corporation, or Capnia, entered into a joint venture with OptAsia Healthcare Limited, a Hong Kong company limited by shares, or OAHL, with the purpose of developing and commercializing medical monitors, including the CoSense</w:t>
      </w:r>
      <w:r>
        <w:rPr>
          <w:rFonts w:ascii="Arial" w:cs="Arial" w:eastAsia="Arial" w:hAnsi="Arial"/>
          <w:sz w:val="13"/>
          <w:szCs w:val="13"/>
          <w:color w:val="auto"/>
        </w:rPr>
        <w:t>®</w:t>
      </w:r>
      <w:r>
        <w:rPr>
          <w:rFonts w:ascii="Arial" w:cs="Arial" w:eastAsia="Arial" w:hAnsi="Arial"/>
          <w:sz w:val="16"/>
          <w:szCs w:val="16"/>
          <w:color w:val="auto"/>
        </w:rPr>
        <w:t xml:space="preserve"> End-Tidal Carbon Monoxide (ETCO) Monitor, or CoSense, that measure end-tidal carbon monoxide in breath to assist in the detection of excessive hemolysis in neonates, a condition in which red blood cells degrade rapidly and which can lead to adverse neurological outcomes.</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January 27, 2017, we entered into a Common Stock Purchase Agreement (the “2017 Aspire Purchase Agreement”) with Aspire Capital Fund, LLC (“Aspire Capital”), which provides that, upon the terms and subject to the conditions and limitations set forth therein, Aspire Capital is committed to purchase up to an aggregate of $17.0 million in value of shares of our Common Stock over the 30-month term of the 2017 Aspire Purchase Agreement. We issued Aspire Capital 141,666 shares of Common Stock as commitment shares under the 2017 Aspire Purchase Agreement. The 2017 Aspire Purchase Agreement was terminated upon the closing of the 2017 PIPE Offering.</w:t>
      </w:r>
    </w:p>
    <w:p>
      <w:pPr>
        <w:spacing w:after="0" w:line="188"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December 11, 2017, the Company entered into a Securities Purchase Agreement, or the Unit Purchase Agreement, with the selling stockholders pursuant to which the Company sold and issued 8,141,116 immediately separable units at a price per unit of $1.84 for aggregate gross proceeds of approximately $15,000,000. Each unit consisted of one share of the Company’s common stock and a warrant to purchase 0.74 of a share of the Company’s common stock at an exercise price of $2.00 per share, for an aggregate of 8,141,116 shares of the Company’s common stock, or the Shares, and corresponding warrants, or the 2017 PIPE Warrants, to purchase 6,024,425 shares of the Company’s common stock, or the Warrant Shares. The Company refers to the Shares and the Warrant Shares collectively as the Resale Shares. The Company also granted certain registration rights to the selling stockholders pursuant to the Unit Purchase Agreement pursuant to which, among other things, the Company is preparing and filing this registration statement with the SEC to register for resale the Resale Shares.</w:t>
      </w:r>
    </w:p>
    <w:p>
      <w:pPr>
        <w:spacing w:after="0" w:line="179"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During December 2017, a holder of the Series B Convertible preferred stock elected to convert 5,478 shares of the Series B Convertible shares it held into 1,095,600 shares of the Company’s Common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00"/>
          </w:cols>
          <w:pgMar w:left="240" w:top="460" w:right="2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514350" cy="26606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 cy="26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Accountants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business advisers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INDEPENDENT AUDITORS’ REPORT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Board of Directors and Stockholders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Essentialis, Inc.</w:t>
      </w:r>
    </w:p>
    <w:p>
      <w:pPr>
        <w:spacing w:after="0" w:line="21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We have audited the accompanying financial statements of Essentialis, Inc. (a Delaware corporation) (the “Company”), which comprise the balance sheets as of December 31, 2016 and 2015, and the related statements of operations, changes in stockholders’ deficit, and cash flows for the years then ended, and the related notes to the financial statements.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Management’s Responsibility for the Financial Statements</w:t>
      </w:r>
    </w:p>
    <w:p>
      <w:pPr>
        <w:spacing w:after="0" w:line="121" w:lineRule="exact"/>
        <w:rPr>
          <w:sz w:val="20"/>
          <w:szCs w:val="20"/>
          <w:color w:val="auto"/>
        </w:rPr>
      </w:pPr>
    </w:p>
    <w:p>
      <w:pPr>
        <w:jc w:val="both"/>
        <w:ind w:right="280" w:firstLine="456"/>
        <w:spacing w:after="0" w:line="286" w:lineRule="auto"/>
        <w:rPr>
          <w:sz w:val="20"/>
          <w:szCs w:val="20"/>
          <w:color w:val="auto"/>
        </w:rPr>
      </w:pPr>
      <w:r>
        <w:rPr>
          <w:rFonts w:ascii="Arial" w:cs="Arial" w:eastAsia="Arial" w:hAnsi="Arial"/>
          <w:sz w:val="17"/>
          <w:szCs w:val="17"/>
          <w:color w:val="auto"/>
        </w:rPr>
        <w:t>Management is responsible for the preparation and fair presentation of these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27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Auditor’s Responsibility</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responsibility is to express an opinion on these financial statements based on our audits. We conducted our audits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Essentialis, Inc. as of December 31, 2016 and 2015, and the results of its operations and its cash flows for the years then ended in accordance with accounting principles generally accepted in the United States of America.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Uncertainty Regarding Going Concern</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during the years ended December 31, 2016 and 2015, the Company incurred net losses of approximately $1,222,000 and $977,000, respectively. Future working capital requirements are dependent on the Company’s ability to achieve and maintain profitable operations, and to continue its present short-term financing or obtain alternative financing as required. It is not possible to predict the outcome of future operations or whether the necessary alternative financing may be arranged, if needed. Those conditions raise substantial doubt about the Company’s ability to continue as a going concern. The financial statements do not include any adjustments that might result from the outcome of this uncertainty. Our opinion is not modified with respect to that matter.</w:t>
      </w:r>
    </w:p>
    <w:p>
      <w:pPr>
        <w:spacing w:after="0" w:line="2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Subsequent Event</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As discussed in Note 10 to the financial statements, on March 7, 2017, the Company completed a merger with Soleno Therapeutics, Inc., a Delaware corporation. Our opinion is not modified with respect to that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134620</wp:posOffset>
            </wp:positionV>
            <wp:extent cx="943610" cy="2489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3610" cy="248920"/>
                    </a:xfrm>
                    <a:prstGeom prst="rect">
                      <a:avLst/>
                    </a:prstGeom>
                    <a:noFill/>
                  </pic:spPr>
                </pic:pic>
              </a:graphicData>
            </a:graphic>
          </wp:anchor>
        </w:drawing>
      </w:r>
    </w:p>
    <w:p>
      <w:pPr>
        <w:sectPr>
          <w:pgSz w:w="11900" w:h="16838" w:orient="portrait"/>
          <w:cols w:equalWidth="0" w:num="1">
            <w:col w:w="11380"/>
          </w:cols>
          <w:pgMar w:left="240" w:top="460" w:right="279"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March 27, 2017</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San Diego, California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PKF,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(formerly, PKF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Certified Public Accountants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Professional Corporation)</w:t>
      </w:r>
    </w:p>
    <w:p>
      <w:pPr>
        <w:spacing w:after="0" w:line="200" w:lineRule="exact"/>
        <w:rPr>
          <w:sz w:val="20"/>
          <w:szCs w:val="20"/>
          <w:color w:val="auto"/>
        </w:rPr>
      </w:pPr>
    </w:p>
    <w:p>
      <w:pPr>
        <w:sectPr>
          <w:pgSz w:w="11900" w:h="16838" w:orient="portrait"/>
          <w:cols w:equalWidth="0" w:num="2">
            <w:col w:w="5340" w:space="720"/>
            <w:col w:w="5320"/>
          </w:cols>
          <w:pgMar w:left="240" w:top="460" w:right="279" w:bottom="1440" w:gutter="0" w:footer="0" w:header="0"/>
          <w:type w:val="continuous"/>
        </w:sectPr>
      </w:pPr>
    </w:p>
    <w:p>
      <w:pPr>
        <w:spacing w:after="0" w:line="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PKF, LLP | 2020 Camino del Rio North, San Diego, CA 92108</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(619) 238.1040 | Fax: (619) 237.5177 | Website: www.pkfcalifornia.com</w:t>
      </w:r>
    </w:p>
    <w:p>
      <w:pPr>
        <w:spacing w:after="0" w:line="21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PKF, LLP is a member of the PKF International Limited and Allinial Global, networks of legally independent member firms and does not accept any responsibility or liability for the actions or inactions on the part of any other individual member firm or firms.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460" w:right="279" w:bottom="1440" w:gutter="0" w:footer="0" w:header="0"/>
          <w:type w:val="continuous"/>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ESSENTIALIS,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520" w:type="dxa"/>
            <w:vAlign w:val="bottom"/>
            <w:gridSpan w:val="3"/>
          </w:tcPr>
          <w:p>
            <w:pPr>
              <w:spacing w:after="0"/>
              <w:rPr>
                <w:sz w:val="20"/>
                <w:szCs w:val="20"/>
                <w:color w:val="auto"/>
              </w:rPr>
            </w:pPr>
            <w:r>
              <w:rPr>
                <w:rFonts w:ascii="Arial" w:cs="Arial" w:eastAsia="Arial" w:hAnsi="Arial"/>
                <w:sz w:val="14"/>
                <w:szCs w:val="14"/>
                <w:color w:val="auto"/>
              </w:rPr>
              <w:t>December 31, 2016</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80" w:type="dxa"/>
            <w:vAlign w:val="bottom"/>
            <w:tcBorders>
              <w:top w:val="single" w:sz="8" w:color="CCEEFF"/>
            </w:tcBorders>
            <w:shd w:val="clear" w:color="auto" w:fill="CCEEFF"/>
          </w:tcPr>
          <w:p>
            <w:pPr>
              <w:spacing w:after="0"/>
              <w:rPr>
                <w:sz w:val="15"/>
                <w:szCs w:val="15"/>
                <w:color w:val="auto"/>
              </w:rPr>
            </w:pPr>
          </w:p>
        </w:tc>
        <w:tc>
          <w:tcPr>
            <w:tcW w:w="6440" w:type="dxa"/>
            <w:vAlign w:val="bottom"/>
            <w:tcBorders>
              <w:top w:val="single" w:sz="8" w:color="CCEEFF"/>
            </w:tcBorders>
            <w:gridSpan w:val="4"/>
            <w:shd w:val="clear" w:color="auto" w:fill="CCEEFF"/>
          </w:tcPr>
          <w:p>
            <w:pPr>
              <w:jc w:val="center"/>
              <w:ind w:right="2500"/>
              <w:spacing w:after="0" w:line="156" w:lineRule="exact"/>
              <w:rPr>
                <w:sz w:val="20"/>
                <w:szCs w:val="20"/>
                <w:color w:val="auto"/>
              </w:rPr>
            </w:pPr>
            <w:r>
              <w:rPr>
                <w:rFonts w:ascii="Arial" w:cs="Arial" w:eastAsia="Arial" w:hAnsi="Arial"/>
                <w:sz w:val="18"/>
                <w:szCs w:val="18"/>
                <w:b w:val="1"/>
                <w:bCs w:val="1"/>
                <w:color w:val="auto"/>
                <w:w w:val="91"/>
              </w:rPr>
              <w:t>ASSETS</w:t>
            </w: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Cash</w:t>
            </w:r>
          </w:p>
        </w:tc>
        <w:tc>
          <w:tcPr>
            <w:tcW w:w="660" w:type="dxa"/>
            <w:vAlign w:val="bottom"/>
            <w:tcBorders>
              <w:top w:val="single" w:sz="8" w:color="auto"/>
            </w:tcBorders>
          </w:tcPr>
          <w:p>
            <w:pPr>
              <w:spacing w:after="0"/>
              <w:rPr>
                <w:sz w:val="18"/>
                <w:szCs w:val="18"/>
                <w:color w:val="auto"/>
              </w:rPr>
            </w:pPr>
          </w:p>
        </w:tc>
        <w:tc>
          <w:tcPr>
            <w:tcW w:w="4140" w:type="dxa"/>
            <w:vAlign w:val="bottom"/>
            <w:tcBorders>
              <w:top w:val="single" w:sz="8" w:color="CCEEFF"/>
            </w:tcBorders>
            <w:gridSpan w:val="2"/>
          </w:tcPr>
          <w:p>
            <w:pPr>
              <w:spacing w:after="0"/>
              <w:rPr>
                <w:sz w:val="18"/>
                <w:szCs w:val="18"/>
                <w:color w:val="auto"/>
              </w:rPr>
            </w:pPr>
          </w:p>
        </w:tc>
        <w:tc>
          <w:tcPr>
            <w:tcW w:w="1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gridSpan w:val="2"/>
          </w:tcPr>
          <w:p>
            <w:pPr>
              <w:ind w:left="3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74,701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40" w:type="dxa"/>
            <w:vAlign w:val="bottom"/>
            <w:gridSpan w:val="4"/>
            <w:vMerge w:val="restart"/>
          </w:tcPr>
          <w:p>
            <w:pPr>
              <w:jc w:val="center"/>
              <w:ind w:right="2500"/>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4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678,936</w:t>
            </w:r>
          </w:p>
        </w:tc>
        <w:tc>
          <w:tcPr>
            <w:tcW w:w="380" w:type="dxa"/>
            <w:vAlign w:val="bottom"/>
          </w:tcPr>
          <w:p>
            <w:pPr>
              <w:spacing w:after="0"/>
              <w:rPr>
                <w:sz w:val="18"/>
                <w:szCs w:val="18"/>
                <w:color w:val="auto"/>
              </w:rPr>
            </w:pP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Bank overdraft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12,439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1,151,253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839,742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153,662</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5"/>
          </w:tcPr>
          <w:p>
            <w:pPr>
              <w:ind w:left="340"/>
              <w:spacing w:after="0"/>
              <w:rPr>
                <w:sz w:val="20"/>
                <w:szCs w:val="20"/>
                <w:color w:val="auto"/>
              </w:rPr>
            </w:pPr>
            <w:r>
              <w:rPr>
                <w:rFonts w:ascii="Arial" w:cs="Arial" w:eastAsia="Arial" w:hAnsi="Arial"/>
                <w:sz w:val="18"/>
                <w:szCs w:val="18"/>
                <w:color w:val="auto"/>
              </w:rPr>
              <w:t>Bridge loans</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4,352,013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3,980,760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6,348,303</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5,217,527</w:t>
            </w:r>
          </w:p>
        </w:tc>
        <w:tc>
          <w:tcPr>
            <w:tcW w:w="0" w:type="dxa"/>
            <w:vAlign w:val="bottom"/>
          </w:tcPr>
          <w:p>
            <w:pPr>
              <w:spacing w:after="0"/>
              <w:rPr>
                <w:sz w:val="1"/>
                <w:szCs w:val="1"/>
                <w:color w:val="auto"/>
              </w:rPr>
            </w:pPr>
          </w:p>
        </w:tc>
      </w:tr>
      <w:tr>
        <w:trPr>
          <w:trHeight w:val="223"/>
        </w:trPr>
        <w:tc>
          <w:tcPr>
            <w:tcW w:w="8340" w:type="dxa"/>
            <w:vAlign w:val="bottom"/>
            <w:gridSpan w:val="6"/>
          </w:tcPr>
          <w:p>
            <w:pPr>
              <w:spacing w:after="0"/>
              <w:rPr>
                <w:sz w:val="20"/>
                <w:szCs w:val="20"/>
                <w:color w:val="auto"/>
              </w:rPr>
            </w:pPr>
            <w:r>
              <w:rPr>
                <w:rFonts w:ascii="Arial" w:cs="Arial" w:eastAsia="Arial" w:hAnsi="Arial"/>
                <w:sz w:val="18"/>
                <w:szCs w:val="18"/>
                <w:color w:val="auto"/>
              </w:rPr>
              <w:t>Commitments and contingencies (Notes 4, 5, 9 and 10)</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Stockholders’ deficit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Series B Convertible Preferred stock, $0.001 par value; 15,500,000 shares authorized, 11,688,040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5"/>
          </w:tcPr>
          <w:p>
            <w:pPr>
              <w:ind w:left="520"/>
              <w:spacing w:after="0"/>
              <w:rPr>
                <w:sz w:val="20"/>
                <w:szCs w:val="20"/>
                <w:color w:val="auto"/>
              </w:rPr>
            </w:pPr>
            <w:r>
              <w:rPr>
                <w:rFonts w:ascii="Arial" w:cs="Arial" w:eastAsia="Arial" w:hAnsi="Arial"/>
                <w:sz w:val="18"/>
                <w:szCs w:val="18"/>
                <w:color w:val="auto"/>
              </w:rPr>
              <w:t>shares issued and outstanding</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11,688</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5"/>
            <w:shd w:val="clear" w:color="auto" w:fill="CCEEFF"/>
          </w:tcPr>
          <w:p>
            <w:pPr>
              <w:ind w:left="340"/>
              <w:spacing w:after="0" w:line="201" w:lineRule="exact"/>
              <w:rPr>
                <w:sz w:val="20"/>
                <w:szCs w:val="20"/>
                <w:color w:val="auto"/>
              </w:rPr>
            </w:pPr>
            <w:r>
              <w:rPr>
                <w:rFonts w:ascii="Arial" w:cs="Arial" w:eastAsia="Arial" w:hAnsi="Arial"/>
                <w:sz w:val="18"/>
                <w:szCs w:val="18"/>
                <w:color w:val="auto"/>
              </w:rPr>
              <w:t>Series A Convertible Preferred stock, $0.001 par value; 21,700,000 shares authorized, 19,890,922</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5"/>
            <w:shd w:val="clear" w:color="auto" w:fill="CCEEFF"/>
          </w:tcPr>
          <w:p>
            <w:pPr>
              <w:ind w:left="520"/>
              <w:spacing w:after="0"/>
              <w:rPr>
                <w:sz w:val="20"/>
                <w:szCs w:val="20"/>
                <w:color w:val="auto"/>
              </w:rPr>
            </w:pPr>
            <w:r>
              <w:rPr>
                <w:rFonts w:ascii="Arial" w:cs="Arial" w:eastAsia="Arial" w:hAnsi="Arial"/>
                <w:sz w:val="18"/>
                <w:szCs w:val="18"/>
                <w:color w:val="auto"/>
              </w:rPr>
              <w:t>shares issued and oustanding</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19,891</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32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Common stock, $0.001 par value; 50,000,000 shares authorized, 4,420,687 shares issued and</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gridSpan w:val="5"/>
          </w:tcPr>
          <w:p>
            <w:pPr>
              <w:ind w:left="520"/>
              <w:spacing w:after="0"/>
              <w:rPr>
                <w:sz w:val="20"/>
                <w:szCs w:val="20"/>
                <w:color w:val="auto"/>
              </w:rPr>
            </w:pPr>
            <w:r>
              <w:rPr>
                <w:rFonts w:ascii="Arial" w:cs="Arial" w:eastAsia="Arial" w:hAnsi="Arial"/>
                <w:sz w:val="18"/>
                <w:szCs w:val="18"/>
                <w:color w:val="auto"/>
              </w:rPr>
              <w:t>outstanding</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4,420</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23,814,035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23,797,191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(30,198,237)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(28,976,016)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5"/>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(6,348,203)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(5,142,826)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gridSpan w:val="5"/>
          </w:tcPr>
          <w:p>
            <w:pPr>
              <w:ind w:left="700"/>
              <w:spacing w:after="0"/>
              <w:rPr>
                <w:sz w:val="20"/>
                <w:szCs w:val="20"/>
                <w:color w:val="auto"/>
              </w:rPr>
            </w:pPr>
            <w:r>
              <w:rPr>
                <w:rFonts w:ascii="Arial" w:cs="Arial" w:eastAsia="Arial" w:hAnsi="Arial"/>
                <w:sz w:val="18"/>
                <w:szCs w:val="18"/>
                <w:color w:val="auto"/>
              </w:rPr>
              <w:t>Total liabilities and stockholders’ deficit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140" w:type="dxa"/>
            <w:vAlign w:val="bottom"/>
            <w:gridSpan w:val="2"/>
            <w:vMerge w:val="restart"/>
          </w:tcPr>
          <w:p>
            <w:pPr>
              <w:ind w:left="1340"/>
              <w:spacing w:after="0"/>
              <w:rPr>
                <w:sz w:val="20"/>
                <w:szCs w:val="20"/>
                <w:color w:val="auto"/>
              </w:rPr>
            </w:pPr>
            <w:r>
              <w:rPr>
                <w:rFonts w:ascii="Arial" w:cs="Arial" w:eastAsia="Arial" w:hAnsi="Arial"/>
                <w:sz w:val="18"/>
                <w:szCs w:val="18"/>
                <w:color w:val="auto"/>
              </w:rPr>
              <w:t>F-52</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1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ESSENTIALIS,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4"/>
                <w:szCs w:val="14"/>
                <w:color w:val="auto"/>
                <w:w w:val="96"/>
              </w:rPr>
              <w:t>Year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Year ended</w:t>
            </w:r>
          </w:p>
        </w:tc>
      </w:tr>
      <w:tr>
        <w:trPr>
          <w:trHeight w:val="167"/>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December 31, 2016</w:t>
            </w:r>
          </w:p>
        </w:tc>
        <w:tc>
          <w:tcPr>
            <w:tcW w:w="2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2015</w:t>
            </w: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 revenue</w:t>
            </w:r>
          </w:p>
        </w:tc>
        <w:tc>
          <w:tcPr>
            <w:tcW w:w="4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Legal and professional</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562,372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133,264</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Salaries and wages</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161,774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162,052</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134,131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43,464</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Contract research</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98,019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174,035</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Consulting</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145,128</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4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962,466</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657,943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(962,466)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(620,143)</w:t>
            </w: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 (expense):</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(326,435)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(356,635)</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Gain on extinguishment of debt</w:t>
            </w:r>
          </w:p>
        </w:tc>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66,680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other expense</w:t>
            </w:r>
          </w:p>
        </w:tc>
        <w:tc>
          <w:tcPr>
            <w:tcW w:w="4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(259,755)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(356,635)</w:t>
            </w: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(1,222,221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(976,778)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480" w:type="dxa"/>
            <w:vAlign w:val="bottom"/>
            <w:gridSpan w:val="2"/>
          </w:tcPr>
          <w:p>
            <w:pPr>
              <w:ind w:left="1440"/>
              <w:spacing w:after="0"/>
              <w:rPr>
                <w:sz w:val="20"/>
                <w:szCs w:val="20"/>
                <w:color w:val="auto"/>
              </w:rPr>
            </w:pPr>
            <w:r>
              <w:rPr>
                <w:rFonts w:ascii="Arial" w:cs="Arial" w:eastAsia="Arial" w:hAnsi="Arial"/>
                <w:sz w:val="18"/>
                <w:szCs w:val="18"/>
                <w:color w:val="auto"/>
              </w:rPr>
              <w:t>F-53</w:t>
            </w: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77" w:name="page178"/>
    <w:bookmarkEnd w:id="17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3540" w:type="dxa"/>
            <w:vAlign w:val="bottom"/>
            <w:gridSpan w:val="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20" w:type="dxa"/>
            <w:vAlign w:val="bottom"/>
          </w:tcPr>
          <w:p>
            <w:pPr>
              <w:spacing w:after="0"/>
              <w:rPr>
                <w:sz w:val="24"/>
                <w:szCs w:val="24"/>
                <w:color w:val="auto"/>
              </w:rPr>
            </w:pPr>
          </w:p>
        </w:tc>
        <w:tc>
          <w:tcPr>
            <w:tcW w:w="13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7"/>
          </w:tcPr>
          <w:p>
            <w:pPr>
              <w:jc w:val="center"/>
              <w:ind w:right="400"/>
              <w:spacing w:after="0"/>
              <w:rPr>
                <w:sz w:val="20"/>
                <w:szCs w:val="20"/>
                <w:color w:val="auto"/>
              </w:rPr>
            </w:pPr>
            <w:r>
              <w:rPr>
                <w:rFonts w:ascii="Arial" w:cs="Arial" w:eastAsia="Arial" w:hAnsi="Arial"/>
                <w:sz w:val="18"/>
                <w:szCs w:val="18"/>
                <w:b w:val="1"/>
                <w:bCs w:val="1"/>
                <w:color w:val="auto"/>
                <w:w w:val="99"/>
              </w:rPr>
              <w:t>ESSENTIALIS, INC.</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420" w:type="dxa"/>
            <w:vAlign w:val="bottom"/>
            <w:gridSpan w:val="12"/>
          </w:tcPr>
          <w:p>
            <w:pPr>
              <w:jc w:val="center"/>
              <w:ind w:right="60"/>
              <w:spacing w:after="0"/>
              <w:rPr>
                <w:sz w:val="20"/>
                <w:szCs w:val="20"/>
                <w:color w:val="auto"/>
              </w:rPr>
            </w:pPr>
            <w:r>
              <w:rPr>
                <w:rFonts w:ascii="Arial" w:cs="Arial" w:eastAsia="Arial" w:hAnsi="Arial"/>
                <w:sz w:val="18"/>
                <w:szCs w:val="18"/>
                <w:b w:val="1"/>
                <w:bCs w:val="1"/>
                <w:color w:val="auto"/>
                <w:w w:val="88"/>
              </w:rPr>
              <w:t>Statements of Changes in Stockholders’ Deficit</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420" w:type="dxa"/>
            <w:vAlign w:val="bottom"/>
            <w:gridSpan w:val="12"/>
          </w:tcPr>
          <w:p>
            <w:pPr>
              <w:jc w:val="center"/>
              <w:ind w:right="60"/>
              <w:spacing w:after="0"/>
              <w:rPr>
                <w:sz w:val="20"/>
                <w:szCs w:val="20"/>
                <w:color w:val="auto"/>
              </w:rPr>
            </w:pPr>
            <w:r>
              <w:rPr>
                <w:rFonts w:ascii="Arial" w:cs="Arial" w:eastAsia="Arial" w:hAnsi="Arial"/>
                <w:sz w:val="18"/>
                <w:szCs w:val="18"/>
                <w:b w:val="1"/>
                <w:bCs w:val="1"/>
                <w:color w:val="auto"/>
                <w:w w:val="89"/>
              </w:rPr>
              <w:t>For the years ended December 31, 2016 and 2015</w:t>
            </w: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Series B</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Series A</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Convertible</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Convertible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Common</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Additional</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Preferred</w:t>
            </w:r>
          </w:p>
        </w:tc>
        <w:tc>
          <w:tcPr>
            <w:tcW w:w="92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Preferred</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Paid-In</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0"/>
              </w:rPr>
              <w:t>Accumulated</w:t>
            </w:r>
          </w:p>
        </w:tc>
        <w:tc>
          <w:tcPr>
            <w:tcW w:w="80" w:type="dxa"/>
            <w:vAlign w:val="bottom"/>
          </w:tcPr>
          <w:p>
            <w:pPr>
              <w:spacing w:after="0"/>
              <w:rPr>
                <w:sz w:val="18"/>
                <w:szCs w:val="18"/>
                <w:color w:val="auto"/>
              </w:rPr>
            </w:pPr>
          </w:p>
        </w:tc>
        <w:tc>
          <w:tcPr>
            <w:tcW w:w="1120" w:type="dxa"/>
            <w:vAlign w:val="bottom"/>
            <w:gridSpan w:val="3"/>
          </w:tcPr>
          <w:p>
            <w:pPr>
              <w:spacing w:after="0"/>
              <w:rPr>
                <w:sz w:val="20"/>
                <w:szCs w:val="20"/>
                <w:color w:val="auto"/>
              </w:rPr>
            </w:pPr>
            <w:r>
              <w:rPr>
                <w:rFonts w:ascii="Arial" w:cs="Arial" w:eastAsia="Arial" w:hAnsi="Arial"/>
                <w:sz w:val="18"/>
                <w:szCs w:val="18"/>
                <w:color w:val="auto"/>
              </w:rPr>
              <w:t>Stockholders’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8"/>
                <w:szCs w:val="18"/>
                <w:color w:val="auto"/>
                <w:w w:val="84"/>
              </w:rPr>
              <w:t>Shares</w:t>
            </w:r>
          </w:p>
        </w:tc>
        <w:tc>
          <w:tcPr>
            <w:tcW w:w="920" w:type="dxa"/>
            <w:vAlign w:val="bottom"/>
            <w:gridSpan w:val="2"/>
          </w:tcPr>
          <w:p>
            <w:pPr>
              <w:jc w:val="center"/>
              <w:ind w:right="4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Amount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Shares</w:t>
            </w:r>
          </w:p>
        </w:tc>
        <w:tc>
          <w:tcPr>
            <w:tcW w:w="680" w:type="dxa"/>
            <w:vAlign w:val="bottom"/>
            <w:gridSpan w:val="3"/>
          </w:tcPr>
          <w:p>
            <w:pPr>
              <w:spacing w:after="0"/>
              <w:rPr>
                <w:sz w:val="20"/>
                <w:szCs w:val="20"/>
                <w:color w:val="auto"/>
              </w:rPr>
            </w:pPr>
            <w:r>
              <w:rPr>
                <w:rFonts w:ascii="Arial" w:cs="Arial" w:eastAsia="Arial" w:hAnsi="Arial"/>
                <w:sz w:val="18"/>
                <w:szCs w:val="18"/>
                <w:color w:val="auto"/>
              </w:rPr>
              <w:t>Amount</w:t>
            </w:r>
          </w:p>
        </w:tc>
        <w:tc>
          <w:tcPr>
            <w:tcW w:w="80" w:type="dxa"/>
            <w:vAlign w:val="bottom"/>
          </w:tcPr>
          <w:p>
            <w:pPr>
              <w:spacing w:after="0"/>
              <w:rPr>
                <w:sz w:val="20"/>
                <w:szCs w:val="20"/>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Capital</w:t>
            </w: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Deficit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Deficit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2014</w:t>
            </w: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11,688,040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19,890,922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$31,579</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4,420,687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4,420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$23,707,089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$(27,999,238)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(4,256,150)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tcPr>
          <w:p>
            <w:pPr>
              <w:spacing w:after="0" w:line="201" w:lineRule="exact"/>
              <w:rPr>
                <w:sz w:val="20"/>
                <w:szCs w:val="20"/>
                <w:color w:val="auto"/>
              </w:rPr>
            </w:pPr>
            <w:r>
              <w:rPr>
                <w:rFonts w:ascii="Arial" w:cs="Arial" w:eastAsia="Arial" w:hAnsi="Arial"/>
                <w:sz w:val="18"/>
                <w:szCs w:val="18"/>
                <w:color w:val="auto"/>
              </w:rPr>
              <w:t>Warrant debt discount with bridge loan</w:t>
            </w: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financing</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180"/>
              <w:spacing w:after="0"/>
              <w:rPr>
                <w:sz w:val="20"/>
                <w:szCs w:val="20"/>
                <w:color w:val="auto"/>
              </w:rPr>
            </w:pPr>
            <w:r>
              <w:rPr>
                <w:rFonts w:ascii="Arial" w:cs="Arial" w:eastAsia="Arial" w:hAnsi="Arial"/>
                <w:sz w:val="18"/>
                <w:szCs w:val="18"/>
                <w:color w:val="auto"/>
              </w:rPr>
              <w:t>90,102</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(976,778)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(976,778)</w:t>
            </w:r>
          </w:p>
        </w:tc>
        <w:tc>
          <w:tcPr>
            <w:tcW w:w="0" w:type="dxa"/>
            <w:vAlign w:val="bottom"/>
          </w:tcPr>
          <w:p>
            <w:pPr>
              <w:spacing w:after="0"/>
              <w:rPr>
                <w:sz w:val="1"/>
                <w:szCs w:val="1"/>
                <w:color w:val="auto"/>
              </w:rPr>
            </w:pP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Balance, December 31, 2015</w:t>
            </w: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11,688,040</w:t>
            </w:r>
          </w:p>
        </w:tc>
        <w:tc>
          <w:tcPr>
            <w:tcW w:w="160" w:type="dxa"/>
            <w:vAlign w:val="bottom"/>
          </w:tcPr>
          <w:p>
            <w:pPr>
              <w:spacing w:after="0"/>
              <w:rPr>
                <w:sz w:val="19"/>
                <w:szCs w:val="19"/>
                <w:color w:val="auto"/>
              </w:rPr>
            </w:pPr>
          </w:p>
        </w:tc>
        <w:tc>
          <w:tcPr>
            <w:tcW w:w="8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6"/>
              </w:rPr>
              <w:t>19,890,922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31,579</w:t>
            </w:r>
          </w:p>
        </w:tc>
        <w:tc>
          <w:tcPr>
            <w:tcW w:w="160" w:type="dxa"/>
            <w:vAlign w:val="bottom"/>
          </w:tcPr>
          <w:p>
            <w:pPr>
              <w:spacing w:after="0"/>
              <w:rPr>
                <w:sz w:val="19"/>
                <w:szCs w:val="19"/>
                <w:color w:val="auto"/>
              </w:rPr>
            </w:pPr>
          </w:p>
        </w:tc>
        <w:tc>
          <w:tcPr>
            <w:tcW w:w="78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w w:val="87"/>
              </w:rPr>
              <w:t>4,420,687</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4,420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23,797,191</w:t>
            </w:r>
          </w:p>
        </w:tc>
        <w:tc>
          <w:tcPr>
            <w:tcW w:w="18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(28,976,016)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(5,142,826)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 debt discount with bridge loan</w:t>
            </w: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financing</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16,844</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(1,222,221)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(1,222,221)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8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11,688,040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19,890,922</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31,579</w:t>
            </w: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4,420,687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88"/>
              </w:rPr>
              <w:t>4,420</w:t>
            </w:r>
          </w:p>
        </w:tc>
        <w:tc>
          <w:tcPr>
            <w:tcW w:w="11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23,814,035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(30,198,237)</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(6,348,203)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gridSpan w:val="3"/>
          </w:tcPr>
          <w:p>
            <w:pPr>
              <w:jc w:val="center"/>
              <w:ind w:right="400"/>
              <w:spacing w:after="0"/>
              <w:rPr>
                <w:sz w:val="20"/>
                <w:szCs w:val="20"/>
                <w:color w:val="auto"/>
              </w:rPr>
            </w:pPr>
            <w:r>
              <w:rPr>
                <w:rFonts w:ascii="Arial" w:cs="Arial" w:eastAsia="Arial" w:hAnsi="Arial"/>
                <w:sz w:val="18"/>
                <w:szCs w:val="18"/>
                <w:color w:val="auto"/>
                <w:w w:val="91"/>
              </w:rPr>
              <w:t>F-54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6"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ESSENTIALIS,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4"/>
                <w:szCs w:val="14"/>
                <w:color w:val="auto"/>
                <w:w w:val="99"/>
              </w:rPr>
              <w:t>Year ended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color w:val="auto"/>
              </w:rPr>
              <w:t>December 31, 2016</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December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3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(1,222,221)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(976,778)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Debt discount expense</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16,844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90,102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309,511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266,447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Change in operating assets and liabilities:</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508,164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700"/>
              <w:spacing w:after="0"/>
              <w:rPr>
                <w:sz w:val="20"/>
                <w:szCs w:val="20"/>
                <w:color w:val="auto"/>
              </w:rPr>
            </w:pPr>
            <w:r>
              <w:rPr>
                <w:rFonts w:ascii="Arial" w:cs="Arial" w:eastAsia="Arial" w:hAnsi="Arial"/>
                <w:sz w:val="18"/>
                <w:szCs w:val="18"/>
                <w:color w:val="auto"/>
              </w:rPr>
              <w:t>Bank overdraft</w:t>
            </w:r>
          </w:p>
        </w:tc>
        <w:tc>
          <w:tcPr>
            <w:tcW w:w="1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12,439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(37,600)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(373,263)</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(680,713)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Proceeds from bridge loans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320,000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on note payable</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(21,338)</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2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298,662</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decrease in cash</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(80,713)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20" w:type="dxa"/>
            <w:vAlign w:val="bottom"/>
          </w:tcPr>
          <w:p>
            <w:pPr>
              <w:ind w:left="340"/>
              <w:spacing w:after="0"/>
              <w:rPr>
                <w:sz w:val="20"/>
                <w:szCs w:val="20"/>
                <w:color w:val="auto"/>
              </w:rPr>
            </w:pPr>
            <w:r>
              <w:rPr>
                <w:rFonts w:ascii="Arial" w:cs="Arial" w:eastAsia="Arial" w:hAnsi="Arial"/>
                <w:sz w:val="18"/>
                <w:szCs w:val="18"/>
                <w:color w:val="auto"/>
              </w:rPr>
              <w:t>Cash at beginning of year</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74,701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155,414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at end of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74,701</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NON-CASH FINANCING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Conversion of accounts payable to note payable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340"/>
              <w:spacing w:after="0"/>
              <w:rPr>
                <w:sz w:val="20"/>
                <w:szCs w:val="20"/>
                <w:color w:val="auto"/>
              </w:rPr>
            </w:pPr>
            <w:r>
              <w:rPr>
                <w:rFonts w:ascii="Arial" w:cs="Arial" w:eastAsia="Arial" w:hAnsi="Arial"/>
                <w:sz w:val="18"/>
                <w:szCs w:val="18"/>
                <w:color w:val="auto"/>
              </w:rPr>
              <w:t>Conversion of accrued expenses to bridge loan</w:t>
            </w:r>
          </w:p>
        </w:tc>
        <w:tc>
          <w:tcPr>
            <w:tcW w:w="16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vMerge w:val="continue"/>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51,253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20" w:type="dxa"/>
            <w:vAlign w:val="bottom"/>
            <w:vMerge w:val="restart"/>
          </w:tcPr>
          <w:p>
            <w:pPr>
              <w:ind w:left="5520"/>
              <w:spacing w:after="0"/>
              <w:rPr>
                <w:sz w:val="20"/>
                <w:szCs w:val="20"/>
                <w:color w:val="auto"/>
              </w:rPr>
            </w:pPr>
            <w:r>
              <w:rPr>
                <w:rFonts w:ascii="Arial" w:cs="Arial" w:eastAsia="Arial" w:hAnsi="Arial"/>
                <w:sz w:val="18"/>
                <w:szCs w:val="18"/>
                <w:color w:val="auto"/>
              </w:rPr>
              <w:t>F-55</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3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1 – Organization</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Essentialis, Inc. (the “Company”) was incorporated May 21, 2003 for the purpose of developing pharmaceutical products. The Company is focused on the development of breakthrough medicines to treat rare complex neurobehavioral/metabolic with significant morbidity and mortality. The Company is a development stage business.</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21"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i w:val="1"/>
          <w:iCs w:val="1"/>
          <w:color w:val="auto"/>
        </w:rPr>
        <w:t xml:space="preserve">Basis of Accounting - </w:t>
      </w:r>
      <w:r>
        <w:rPr>
          <w:rFonts w:ascii="Arial" w:cs="Arial" w:eastAsia="Arial" w:hAnsi="Arial"/>
          <w:sz w:val="18"/>
          <w:szCs w:val="18"/>
          <w:color w:val="auto"/>
        </w:rPr>
        <w:t>The Company’s policy is to use the accrual method of accounting and to prepare and present the financial statements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accounting principles generally accepted in the United States of America (“U.S. GAAP”).</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Use of Estimates - </w:t>
      </w:r>
      <w:r>
        <w:rPr>
          <w:rFonts w:ascii="Arial" w:cs="Arial" w:eastAsia="Arial" w:hAnsi="Arial"/>
          <w:sz w:val="18"/>
          <w:szCs w:val="18"/>
          <w:color w:val="auto"/>
        </w:rPr>
        <w:t>The preparation of financial statements in conformity with U.S. GAAP requires management to make estimates and assumptions that</w:t>
      </w:r>
      <w:r>
        <w:rPr>
          <w:rFonts w:ascii="Arial" w:cs="Arial" w:eastAsia="Arial" w:hAnsi="Arial"/>
          <w:sz w:val="18"/>
          <w:szCs w:val="18"/>
          <w:i w:val="1"/>
          <w:iCs w:val="1"/>
          <w:color w:val="auto"/>
        </w:rPr>
        <w:t xml:space="preserve"> </w:t>
      </w:r>
      <w:r>
        <w:rPr>
          <w:rFonts w:ascii="Arial" w:cs="Arial" w:eastAsia="Arial" w:hAnsi="Arial"/>
          <w:sz w:val="18"/>
          <w:szCs w:val="18"/>
          <w:color w:val="auto"/>
        </w:rPr>
        <w:t>affect reported amounts and disclosures. Accordingly, actual results could differ from those estimates.</w:t>
      </w:r>
    </w:p>
    <w:p>
      <w:pPr>
        <w:spacing w:after="0" w:line="170"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i w:val="1"/>
          <w:iCs w:val="1"/>
          <w:color w:val="auto"/>
        </w:rPr>
        <w:t xml:space="preserve">Liquidity - </w:t>
      </w:r>
      <w:r>
        <w:rPr>
          <w:rFonts w:ascii="Arial" w:cs="Arial" w:eastAsia="Arial" w:hAnsi="Arial"/>
          <w:sz w:val="17"/>
          <w:szCs w:val="17"/>
          <w:color w:val="auto"/>
        </w:rPr>
        <w:t>For the years ended December 31, 2016 and 2015, the Company had net losses of $1,222,221 and $976,778, respectively, and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deficit at December 31, 2016 of $30,198,237. In addition, for the years ended December 31, 2016 and 2015, the Company had negative cash flows from operations of $373,263 and $680,713, respectively. Those conditions raise substantial doubt about the Company’s ability to continue as a going concern. The financial statements do not include any adjustments that might result from the outcome of this uncertainty.</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Company’s future cash requirements will depend on many factors, including continued scientific progress in its research and development programs, the scope and results of pre-clinical and clinical trials, the time and costs involved in obtaining regulatory approvals, the costs involved in filing, prosecuting and enforcing patents, competing technological and market developments, and the cost of product commercialization. The Company does not expect to generate a positive cash flow from operations at least until the commercial launch of its first product and possibly later given the expected spending for research and development programs and the cost of commercializing product candidates. Management plans to seek additional debt and/or equity financing through private or public offerings or through a business combination or strategic partnership. There can be no assurance that such capital will be available on favorable terms or at all.</w:t>
      </w:r>
    </w:p>
    <w:p>
      <w:pPr>
        <w:spacing w:after="0" w:line="189"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i w:val="1"/>
          <w:iCs w:val="1"/>
          <w:color w:val="auto"/>
        </w:rPr>
        <w:t xml:space="preserve">Stock-Based Compensation - </w:t>
      </w:r>
      <w:r>
        <w:rPr>
          <w:rFonts w:ascii="Arial" w:cs="Arial" w:eastAsia="Arial" w:hAnsi="Arial"/>
          <w:sz w:val="17"/>
          <w:szCs w:val="17"/>
          <w:color w:val="auto"/>
        </w:rPr>
        <w:t>The Company uses the fair value based method of accounting for all its stock-based compensation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Financial Accounting Standards Board Accounting Standards Codification (“ASC”) 718, </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 The estimated fair value of the options and warrants that are ultimately expected to vest based on performance related conditions, as well as the options and warrants that are expected to vest based on future service, is recorded over the instrument’s requisite service period and charged to stock-based compensation. In determining the amount of options and warrants that are expected to vest, the Company takes into account, voluntary termination behavior as well as trends of actual option and warrant forfeitures. The Company estimated future unvested forfeitures at 0% for all periods presented.</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Company accounts for stock-based awards based on the fair market value of the instrument using the Black-Scholes option pricing model utilizing certain weighted average assumptions including stock price volatility, expected term and risk-free interest rates at the grant date. The risk-free interest rate assumption is based upon observed interest rates appropriate for the expected term of the stock based award. The expected volatility is based on the historical volatility of the Company’s common stock on monthly intervals. The computation of the expected option term is based on the “simplified method,” as the Company issuances are considered “plain vanilla” options. For stock based awards with defined vesting, the Company recognizes compensation expense over the requisite service period or when designated milestones have been achieved.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2 – Summary Significant Accounting Policies</w:t>
      </w:r>
      <w:r>
        <w:rPr>
          <w:rFonts w:ascii="Arial" w:cs="Arial" w:eastAsia="Arial" w:hAnsi="Arial"/>
          <w:sz w:val="18"/>
          <w:szCs w:val="18"/>
          <w:b w:val="1"/>
          <w:bCs w:val="1"/>
          <w:color w:val="auto"/>
        </w:rPr>
        <w:t xml:space="preserve"> (continued)</w:t>
      </w:r>
    </w:p>
    <w:p>
      <w:pPr>
        <w:spacing w:after="0" w:line="162"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i w:val="1"/>
          <w:iCs w:val="1"/>
          <w:color w:val="auto"/>
        </w:rPr>
        <w:t xml:space="preserve">Reclassifications - </w:t>
      </w:r>
      <w:r>
        <w:rPr>
          <w:rFonts w:ascii="Arial" w:cs="Arial" w:eastAsia="Arial" w:hAnsi="Arial"/>
          <w:sz w:val="18"/>
          <w:szCs w:val="18"/>
          <w:color w:val="auto"/>
        </w:rPr>
        <w:t>Certain financial statement amounts related to prior year presentation have been reclassified in order to conform to the current year</w:t>
      </w:r>
      <w:r>
        <w:rPr>
          <w:rFonts w:ascii="Arial" w:cs="Arial" w:eastAsia="Arial" w:hAnsi="Arial"/>
          <w:sz w:val="18"/>
          <w:szCs w:val="18"/>
          <w:i w:val="1"/>
          <w:iCs w:val="1"/>
          <w:color w:val="auto"/>
        </w:rPr>
        <w:t xml:space="preserve"> </w:t>
      </w:r>
      <w:r>
        <w:rPr>
          <w:rFonts w:ascii="Arial" w:cs="Arial" w:eastAsia="Arial" w:hAnsi="Arial"/>
          <w:sz w:val="18"/>
          <w:szCs w:val="18"/>
          <w:color w:val="auto"/>
        </w:rPr>
        <w:t>presentation.</w:t>
      </w:r>
    </w:p>
    <w:p>
      <w:pPr>
        <w:spacing w:after="0" w:line="170" w:lineRule="exact"/>
        <w:rPr>
          <w:sz w:val="20"/>
          <w:szCs w:val="20"/>
          <w:color w:val="auto"/>
        </w:rPr>
      </w:pPr>
    </w:p>
    <w:p>
      <w:pPr>
        <w:jc w:val="both"/>
        <w:ind w:right="260" w:firstLine="456"/>
        <w:spacing w:after="0" w:line="286" w:lineRule="auto"/>
        <w:rPr>
          <w:sz w:val="20"/>
          <w:szCs w:val="20"/>
          <w:color w:val="auto"/>
        </w:rPr>
      </w:pPr>
      <w:r>
        <w:rPr>
          <w:rFonts w:ascii="Arial" w:cs="Arial" w:eastAsia="Arial" w:hAnsi="Arial"/>
          <w:sz w:val="17"/>
          <w:szCs w:val="17"/>
          <w:i w:val="1"/>
          <w:iCs w:val="1"/>
          <w:color w:val="auto"/>
        </w:rPr>
        <w:t xml:space="preserve">Prior Period Adjustment - </w:t>
      </w:r>
      <w:r>
        <w:rPr>
          <w:rFonts w:ascii="Arial" w:cs="Arial" w:eastAsia="Arial" w:hAnsi="Arial"/>
          <w:sz w:val="17"/>
          <w:szCs w:val="17"/>
          <w:color w:val="auto"/>
        </w:rPr>
        <w:t>In 2017, the Company discovered that a past employee had vested 21,875 shares of common stock. The number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was adjusted retrospectively in the 2016 and 2015 Statement of Changes in Stockholders’ Deficit to account for these shares. This adjustment did not have any impact on total stockholders’ deficit or net loss as of and for the years ended December 31, 2016 and 2015.</w:t>
      </w:r>
    </w:p>
    <w:p>
      <w:pPr>
        <w:spacing w:after="0" w:line="166" w:lineRule="exact"/>
        <w:rPr>
          <w:sz w:val="20"/>
          <w:szCs w:val="20"/>
          <w:color w:val="auto"/>
        </w:rPr>
      </w:pPr>
    </w:p>
    <w:p>
      <w:pPr>
        <w:jc w:val="both"/>
        <w:ind w:right="280" w:firstLine="456"/>
        <w:spacing w:after="0" w:line="264" w:lineRule="auto"/>
        <w:rPr>
          <w:sz w:val="20"/>
          <w:szCs w:val="20"/>
          <w:color w:val="auto"/>
        </w:rPr>
      </w:pPr>
      <w:r>
        <w:rPr>
          <w:rFonts w:ascii="Arial" w:cs="Arial" w:eastAsia="Arial" w:hAnsi="Arial"/>
          <w:sz w:val="18"/>
          <w:szCs w:val="18"/>
          <w:i w:val="1"/>
          <w:iCs w:val="1"/>
          <w:color w:val="auto"/>
        </w:rPr>
        <w:t xml:space="preserve">Research and Development Costs - </w:t>
      </w:r>
      <w:r>
        <w:rPr>
          <w:rFonts w:ascii="Arial" w:cs="Arial" w:eastAsia="Arial" w:hAnsi="Arial"/>
          <w:sz w:val="18"/>
          <w:szCs w:val="18"/>
          <w:color w:val="auto"/>
        </w:rPr>
        <w:t>The Company expenses its research and development costs as incurred. Research and development expenses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comprised of costs incurred in performing research and development activities, including salaries and benefits, facility costs, overhead costs, clinical trial costs, contract services, license agreements and other outside costs.</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Company accounts for income taxes under ASC 740,</w:t>
      </w:r>
      <w:r>
        <w:rPr>
          <w:rFonts w:ascii="Arial" w:cs="Arial" w:eastAsia="Arial" w:hAnsi="Arial"/>
          <w:sz w:val="17"/>
          <w:szCs w:val="17"/>
          <w:i w:val="1"/>
          <w:iCs w:val="1"/>
          <w:color w:val="auto"/>
        </w:rPr>
        <w:t xml:space="preserve"> Income Taxes </w:t>
      </w:r>
      <w:r>
        <w:rPr>
          <w:rFonts w:ascii="Arial" w:cs="Arial" w:eastAsia="Arial" w:hAnsi="Arial"/>
          <w:sz w:val="17"/>
          <w:szCs w:val="17"/>
          <w:color w:val="auto"/>
        </w:rPr>
        <w:t>, using the asset and liability method. The objective of the asset</w:t>
      </w:r>
      <w:r>
        <w:rPr>
          <w:rFonts w:ascii="Arial" w:cs="Arial" w:eastAsia="Arial" w:hAnsi="Arial"/>
          <w:sz w:val="17"/>
          <w:szCs w:val="17"/>
          <w:i w:val="1"/>
          <w:iCs w:val="1"/>
          <w:color w:val="auto"/>
        </w:rPr>
        <w:t xml:space="preserve"> </w:t>
      </w:r>
      <w:r>
        <w:rPr>
          <w:rFonts w:ascii="Arial" w:cs="Arial" w:eastAsia="Arial" w:hAnsi="Arial"/>
          <w:sz w:val="17"/>
          <w:szCs w:val="17"/>
          <w:color w:val="auto"/>
        </w:rPr>
        <w:t>and liability method is to establish deferred tax assets and liabilities for the temporary differences between the financial reporting basis and the tax basis for the Company’s assets and liabilities at enacted tax rates expected to be in effect when such amounts are realized or settled. The Company provides a valuation allowance for deferred tax assets for which it does not consider realization of such assets to be more likely than not.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ASC 740 addresses the determination of whether tax benefits claimed or expected to be claimed on a tax return should be recorded in the financial statements. Under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fifty percent likelihood of being realized upon ultimate settlement. ASC 740 also provides guidance on de-recognition, classification, interest and penalties on income taxes, accounting in interim periods and requires increased disclosures. At the date of adoption and as of December 31, 2016 and 2015, the Company did not have a liability for unrecognized tax benefits.</w:t>
      </w:r>
    </w:p>
    <w:p>
      <w:pPr>
        <w:spacing w:after="0" w:line="189"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Company’s policy is to record interest and penalties on uncertain tax positions as income tax expense. As of December 31, 2016 and 2015, the Company has no accrued interest or penalties related to uncertain tax positions.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3 – Accrued Expenses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Accrued expenses consisted of the following at December 31:</w:t>
      </w:r>
    </w:p>
    <w:p>
      <w:pPr>
        <w:spacing w:after="0" w:line="126"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3600" w:type="dxa"/>
            <w:vAlign w:val="bottom"/>
            <w:gridSpan w:val="2"/>
          </w:tcPr>
          <w:p>
            <w:pPr>
              <w:jc w:val="right"/>
              <w:ind w:right="190"/>
              <w:spacing w:after="0"/>
              <w:rPr>
                <w:sz w:val="20"/>
                <w:szCs w:val="20"/>
                <w:color w:val="auto"/>
              </w:rPr>
            </w:pPr>
            <w:r>
              <w:rPr>
                <w:rFonts w:ascii="Arial" w:cs="Arial" w:eastAsia="Arial" w:hAnsi="Arial"/>
                <w:sz w:val="14"/>
                <w:szCs w:val="14"/>
                <w:color w:val="auto"/>
              </w:rPr>
              <w:t>2016</w:t>
            </w:r>
          </w:p>
        </w:tc>
        <w:tc>
          <w:tcPr>
            <w:tcW w:w="1080" w:type="dxa"/>
            <w:vAlign w:val="bottom"/>
            <w:gridSpan w:val="2"/>
          </w:tcPr>
          <w:p>
            <w:pPr>
              <w:jc w:val="right"/>
              <w:ind w:right="110"/>
              <w:spacing w:after="0"/>
              <w:rPr>
                <w:sz w:val="20"/>
                <w:szCs w:val="20"/>
                <w:color w:val="auto"/>
              </w:rPr>
            </w:pPr>
            <w:r>
              <w:rPr>
                <w:rFonts w:ascii="Arial" w:cs="Arial" w:eastAsia="Arial" w:hAnsi="Arial"/>
                <w:sz w:val="14"/>
                <w:szCs w:val="14"/>
                <w:color w:val="auto"/>
              </w:rPr>
              <w:t>2015</w:t>
            </w:r>
          </w:p>
        </w:tc>
        <w:tc>
          <w:tcPr>
            <w:tcW w:w="60" w:type="dxa"/>
            <w:vAlign w:val="bottom"/>
          </w:tcPr>
          <w:p>
            <w:pPr>
              <w:spacing w:after="0"/>
              <w:rPr>
                <w:sz w:val="14"/>
                <w:szCs w:val="14"/>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$1,068,023</w:t>
            </w:r>
          </w:p>
        </w:tc>
        <w:tc>
          <w:tcPr>
            <w:tcW w:w="4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$758,512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83,230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81,230</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1,151,253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839,742</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4 – Notes Payable</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February 2014, a vendor to whom the Company was indebted for services provided, agreed to convert the outstanding balance of account payable into a note payable amounting to $75,000. The note is unsecured, bears interest at 8% per annum and was due February 28, 2017 or sooner if there is a change of control, as defined. The balance on this note was $75,000 at December 31, 2016 and 2015, which was paid in full subsequent to year end.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00"/>
          </w:cols>
          <w:pgMar w:left="240" w:top="459" w:right="2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4 – Notes Payable</w:t>
      </w:r>
      <w:r>
        <w:rPr>
          <w:rFonts w:ascii="Arial" w:cs="Arial" w:eastAsia="Arial" w:hAnsi="Arial"/>
          <w:sz w:val="18"/>
          <w:szCs w:val="18"/>
          <w:b w:val="1"/>
          <w:bCs w:val="1"/>
          <w:color w:val="auto"/>
        </w:rPr>
        <w:t xml:space="preserve"> (continued)</w:t>
      </w:r>
    </w:p>
    <w:p>
      <w:pPr>
        <w:spacing w:after="0" w:line="162"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In May 2016, a vendor to whom the Company was indebted for services provided, agreed to convert the outstanding balance of an account payable into a note payable amounting to $100,000. The note is unsecured, bears interest at 8% per annum, has monthly principal payments of $3,000, and was due January 2, 2017. The remaining balance of this note was $78,662 at December 31, 2016, which was paid in full subsequent to year end.</w:t>
      </w: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5 – Bridge Loans</w:t>
      </w:r>
    </w:p>
    <w:p>
      <w:pPr>
        <w:spacing w:after="0" w:line="121"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The Company enters into bridge loan agreements with its preferred stockholders through the issuance and sale of secured, convertible promissory notes that typically mature one year after issuance. As each tranche of bridge loans is issued, certain provisions of the previous bridge loans are modified to include the previous balances along with any new financing received and the terms are updated to reflect the most recent agreement. Each time a bridge loan is issued, the Company grants warrants to cover a certain percentage of the financing (“warrant coverage”).</w:t>
      </w:r>
    </w:p>
    <w:p>
      <w:pPr>
        <w:spacing w:after="0" w:line="17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June 2015, the Company entered into additional bridge loans with its preferred stockholders totaling $600,000, originally set to mature in June 2016. In May 2016, the Company entered into additional bridge loans with its preferred stockholders totaling to $75,000, originally set to mature May 2017. In June 2016, the Company entered into additional bridge loans with its preferred stockholders totaling to $45,000, originally set to mature June 2017. In July 2016, the Company entered into additional bridge loans with its preferred stockholders totaling to $140,000, originally set to mature July 2017. In November 2016, the Company entered into additional bridge loans with its preferred stockholders totaling to $60,000, originally set to mature November 2017. The maturity date for all prior bridge loans was extended to November 17, 2017 in conjunction with the new bridge loan financing. The loans bear an interest rate of 8% per annum and automatically convert into the Company’s Series B Preferred Stock upon a Qualified Equity Financing or change of control, as defined. Due to the issuance of new bridge loans in 2017, all of the bridge loans were further extended through March 2018, however, as a part of the merger with Soleno Therapeutics, Inc. in March 2017, all bridge loans were converted into Company Series B Preferred Stock, which were then surrendered in exchange for shares of Soleno Therapeutics, Inc. common stock (Note 10).</w:t>
      </w:r>
    </w:p>
    <w:p>
      <w:pPr>
        <w:spacing w:after="0" w:line="17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there is a change of control, the bridge loans plus any accrued interest are converted into preferred stock at $0.73 per share; otherwise, the bridge loans are due and payable in cash. In March 2017, all bridge loans were converted into Company Series B Preferred Stock (Note 10). In addition to the bridge financing, each series of financing included warrants issued to each lender based on their pro-rata share of financing as described in Note 7. The book value of the bridge loans would have been discounted by the value of the warrants issued, however, as the amortization of the discount is typically over one year, the term of each bridge loan, the unamortized discount at each extension and remaining at each year-end is immaterial and has been expensed to interest expense.</w:t>
      </w:r>
    </w:p>
    <w:p>
      <w:pPr>
        <w:spacing w:after="0" w:line="193"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July 2016, one of the Company’s professional service providers to whom the Company was contractually obligated for certain accrued compensation amounts, converted an aggregate of $51,253 past due amounts for prior services initially included in accrued expenses into a bridge loan for the same amount, along with warrants to purchase 7,021 shares of Series B Preferred Stock.</w:t>
      </w:r>
    </w:p>
    <w:p>
      <w:pPr>
        <w:spacing w:after="0" w:line="18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Typically, the Company would record a beneficial conversion feature associated with the conversion feature of the bridge financing as a debt discount and amortize this balance to interest expense using the effective interest method over the life of the bridge loans. However, management believes that there is no value associated with the conversion feature of the convertible bridge loans as of December 31, 2016. Although the Company experienced a chance in control with its acquisition by Soleno Therapeutics, Inc., the bridge loans converted to Company Series B Preferred Stock in March 2017 (Note 10).</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00"/>
          </w:cols>
          <w:pgMar w:left="240" w:top="460" w:right="2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5 – Bridge Loans</w:t>
      </w:r>
      <w:r>
        <w:rPr>
          <w:rFonts w:ascii="Arial" w:cs="Arial" w:eastAsia="Arial" w:hAnsi="Arial"/>
          <w:sz w:val="18"/>
          <w:szCs w:val="18"/>
          <w:b w:val="1"/>
          <w:bCs w:val="1"/>
          <w:color w:val="auto"/>
        </w:rPr>
        <w:t xml:space="preserve"> (continued)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Bridge loans consisted of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7"/>
              </w:rPr>
              <w:t>Issuance year</w:t>
            </w:r>
          </w:p>
        </w:tc>
        <w:tc>
          <w:tcPr>
            <w:tcW w:w="17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Interest rate</w:t>
            </w:r>
          </w:p>
        </w:tc>
        <w:tc>
          <w:tcPr>
            <w:tcW w:w="17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9"/>
              </w:rPr>
              <w:t>Warrant coverage</w:t>
            </w:r>
          </w:p>
        </w:tc>
        <w:tc>
          <w:tcPr>
            <w:tcW w:w="19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color w:val="auto"/>
              </w:rPr>
              <w:t>2016</w:t>
            </w:r>
          </w:p>
        </w:tc>
        <w:tc>
          <w:tcPr>
            <w:tcW w:w="20" w:type="dxa"/>
            <w:vAlign w:val="bottom"/>
            <w:tcBorders>
              <w:bottom w:val="single" w:sz="8" w:color="CCEEFF"/>
            </w:tcBorders>
          </w:tcPr>
          <w:p>
            <w:pPr>
              <w:spacing w:after="0"/>
              <w:rPr>
                <w:sz w:val="14"/>
                <w:szCs w:val="14"/>
                <w:color w:val="auto"/>
              </w:rPr>
            </w:pPr>
          </w:p>
        </w:tc>
        <w:tc>
          <w:tcPr>
            <w:tcW w:w="17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2011</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c>
          <w:tcPr>
            <w:tcW w:w="17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20%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$1,000,000</w:t>
            </w:r>
          </w:p>
        </w:tc>
        <w:tc>
          <w:tcPr>
            <w:tcW w:w="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$1,000,000</w:t>
            </w:r>
          </w:p>
        </w:tc>
        <w:tc>
          <w:tcPr>
            <w:tcW w:w="60" w:type="dxa"/>
            <w:vAlign w:val="bottom"/>
            <w:shd w:val="clear" w:color="auto" w:fill="CCEEFF"/>
          </w:tcPr>
          <w:p>
            <w:pPr>
              <w:spacing w:after="0"/>
              <w:rPr>
                <w:sz w:val="18"/>
                <w:szCs w:val="18"/>
                <w:color w:val="auto"/>
              </w:rPr>
            </w:pPr>
          </w:p>
        </w:tc>
      </w:tr>
      <w:tr>
        <w:trPr>
          <w:trHeight w:val="216"/>
        </w:trPr>
        <w:tc>
          <w:tcPr>
            <w:tcW w:w="800" w:type="dxa"/>
            <w:vAlign w:val="bottom"/>
          </w:tcPr>
          <w:p>
            <w:pPr>
              <w:jc w:val="right"/>
              <w:ind w:right="92"/>
              <w:spacing w:after="0"/>
              <w:rPr>
                <w:sz w:val="20"/>
                <w:szCs w:val="20"/>
                <w:color w:val="auto"/>
              </w:rPr>
            </w:pPr>
            <w:r>
              <w:rPr>
                <w:rFonts w:ascii="Arial" w:cs="Arial" w:eastAsia="Arial" w:hAnsi="Arial"/>
                <w:sz w:val="18"/>
                <w:szCs w:val="18"/>
                <w:color w:val="auto"/>
              </w:rPr>
              <w:t>2012</w:t>
            </w:r>
          </w:p>
        </w:tc>
        <w:tc>
          <w:tcPr>
            <w:tcW w:w="174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1760" w:type="dxa"/>
            <w:vAlign w:val="bottom"/>
          </w:tcPr>
          <w:p>
            <w:pPr>
              <w:spacing w:after="0"/>
              <w:rPr>
                <w:sz w:val="18"/>
                <w:szCs w:val="18"/>
                <w:color w:val="auto"/>
              </w:rPr>
            </w:pPr>
          </w:p>
        </w:tc>
        <w:tc>
          <w:tcPr>
            <w:tcW w:w="2940" w:type="dxa"/>
            <w:vAlign w:val="bottom"/>
            <w:gridSpan w:val="2"/>
          </w:tcPr>
          <w:p>
            <w:pPr>
              <w:jc w:val="right"/>
              <w:ind w:right="1760"/>
              <w:spacing w:after="0"/>
              <w:rPr>
                <w:sz w:val="20"/>
                <w:szCs w:val="20"/>
                <w:color w:val="auto"/>
              </w:rPr>
            </w:pPr>
            <w:r>
              <w:rPr>
                <w:rFonts w:ascii="Arial" w:cs="Arial" w:eastAsia="Arial" w:hAnsi="Arial"/>
                <w:sz w:val="18"/>
                <w:szCs w:val="18"/>
                <w:color w:val="auto"/>
              </w:rPr>
              <w:t>20%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750,000</w:t>
            </w:r>
          </w:p>
        </w:tc>
        <w:tc>
          <w:tcPr>
            <w:tcW w:w="17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750,000</w:t>
            </w:r>
          </w:p>
        </w:tc>
      </w:tr>
      <w:tr>
        <w:trPr>
          <w:trHeight w:val="216"/>
        </w:trPr>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2012</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7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600,000</w:t>
            </w:r>
          </w:p>
        </w:tc>
        <w:tc>
          <w:tcPr>
            <w:tcW w:w="1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600,000</w:t>
            </w:r>
          </w:p>
        </w:tc>
      </w:tr>
      <w:tr>
        <w:trPr>
          <w:trHeight w:val="216"/>
        </w:trPr>
        <w:tc>
          <w:tcPr>
            <w:tcW w:w="800" w:type="dxa"/>
            <w:vAlign w:val="bottom"/>
          </w:tcPr>
          <w:p>
            <w:pPr>
              <w:jc w:val="right"/>
              <w:ind w:right="92"/>
              <w:spacing w:after="0"/>
              <w:rPr>
                <w:sz w:val="20"/>
                <w:szCs w:val="20"/>
                <w:color w:val="auto"/>
              </w:rPr>
            </w:pPr>
            <w:r>
              <w:rPr>
                <w:rFonts w:ascii="Arial" w:cs="Arial" w:eastAsia="Arial" w:hAnsi="Arial"/>
                <w:sz w:val="18"/>
                <w:szCs w:val="18"/>
                <w:color w:val="auto"/>
              </w:rPr>
              <w:t>2013</w:t>
            </w:r>
          </w:p>
        </w:tc>
        <w:tc>
          <w:tcPr>
            <w:tcW w:w="174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760" w:type="dxa"/>
            <w:vAlign w:val="bottom"/>
          </w:tcPr>
          <w:p>
            <w:pPr>
              <w:spacing w:after="0"/>
              <w:rPr>
                <w:sz w:val="18"/>
                <w:szCs w:val="18"/>
                <w:color w:val="auto"/>
              </w:rPr>
            </w:pPr>
          </w:p>
        </w:tc>
        <w:tc>
          <w:tcPr>
            <w:tcW w:w="2940" w:type="dxa"/>
            <w:vAlign w:val="bottom"/>
            <w:gridSpan w:val="2"/>
          </w:tcPr>
          <w:p>
            <w:pPr>
              <w:jc w:val="right"/>
              <w:ind w:right="176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660,000</w:t>
            </w:r>
          </w:p>
        </w:tc>
        <w:tc>
          <w:tcPr>
            <w:tcW w:w="17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660,000</w:t>
            </w:r>
          </w:p>
        </w:tc>
      </w:tr>
      <w:tr>
        <w:trPr>
          <w:trHeight w:val="216"/>
        </w:trPr>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2014</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7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370,760</w:t>
            </w:r>
          </w:p>
        </w:tc>
        <w:tc>
          <w:tcPr>
            <w:tcW w:w="1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370,760</w:t>
            </w:r>
          </w:p>
        </w:tc>
      </w:tr>
      <w:tr>
        <w:trPr>
          <w:trHeight w:val="216"/>
        </w:trPr>
        <w:tc>
          <w:tcPr>
            <w:tcW w:w="800" w:type="dxa"/>
            <w:vAlign w:val="bottom"/>
          </w:tcPr>
          <w:p>
            <w:pPr>
              <w:jc w:val="right"/>
              <w:ind w:right="92"/>
              <w:spacing w:after="0"/>
              <w:rPr>
                <w:sz w:val="20"/>
                <w:szCs w:val="20"/>
                <w:color w:val="auto"/>
              </w:rPr>
            </w:pPr>
            <w:r>
              <w:rPr>
                <w:rFonts w:ascii="Arial" w:cs="Arial" w:eastAsia="Arial" w:hAnsi="Arial"/>
                <w:sz w:val="18"/>
                <w:szCs w:val="18"/>
                <w:color w:val="auto"/>
              </w:rPr>
              <w:t>2015</w:t>
            </w:r>
          </w:p>
        </w:tc>
        <w:tc>
          <w:tcPr>
            <w:tcW w:w="1740" w:type="dxa"/>
            <w:vAlign w:val="bottom"/>
          </w:tcPr>
          <w:p>
            <w:pPr>
              <w:spacing w:after="0"/>
              <w:rPr>
                <w:sz w:val="18"/>
                <w:szCs w:val="18"/>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8%</w:t>
            </w:r>
          </w:p>
        </w:tc>
        <w:tc>
          <w:tcPr>
            <w:tcW w:w="1760" w:type="dxa"/>
            <w:vAlign w:val="bottom"/>
          </w:tcPr>
          <w:p>
            <w:pPr>
              <w:spacing w:after="0"/>
              <w:rPr>
                <w:sz w:val="18"/>
                <w:szCs w:val="18"/>
                <w:color w:val="auto"/>
              </w:rPr>
            </w:pPr>
          </w:p>
        </w:tc>
        <w:tc>
          <w:tcPr>
            <w:tcW w:w="2940" w:type="dxa"/>
            <w:vAlign w:val="bottom"/>
            <w:gridSpan w:val="2"/>
          </w:tcPr>
          <w:p>
            <w:pPr>
              <w:jc w:val="right"/>
              <w:ind w:right="1760"/>
              <w:spacing w:after="0"/>
              <w:rPr>
                <w:sz w:val="20"/>
                <w:szCs w:val="20"/>
                <w:color w:val="auto"/>
              </w:rPr>
            </w:pPr>
            <w:r>
              <w:rPr>
                <w:rFonts w:ascii="Arial" w:cs="Arial" w:eastAsia="Arial" w:hAnsi="Arial"/>
                <w:sz w:val="18"/>
                <w:szCs w:val="18"/>
                <w:color w:val="auto"/>
              </w:rPr>
              <w:t>10%</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600,000</w:t>
            </w:r>
          </w:p>
        </w:tc>
        <w:tc>
          <w:tcPr>
            <w:tcW w:w="17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600,000</w:t>
            </w:r>
          </w:p>
        </w:tc>
      </w:tr>
      <w:tr>
        <w:trPr>
          <w:trHeight w:val="216"/>
        </w:trPr>
        <w:tc>
          <w:tcPr>
            <w:tcW w:w="8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2016</w:t>
            </w:r>
          </w:p>
        </w:tc>
        <w:tc>
          <w:tcPr>
            <w:tcW w:w="17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w:t>
            </w:r>
          </w:p>
        </w:tc>
        <w:tc>
          <w:tcPr>
            <w:tcW w:w="17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jc w:val="right"/>
              <w:ind w:right="1760"/>
              <w:spacing w:after="0"/>
              <w:rPr>
                <w:sz w:val="20"/>
                <w:szCs w:val="20"/>
                <w:color w:val="auto"/>
              </w:rPr>
            </w:pPr>
            <w:r>
              <w:rPr>
                <w:rFonts w:ascii="Arial" w:cs="Arial" w:eastAsia="Arial" w:hAnsi="Arial"/>
                <w:sz w:val="18"/>
                <w:szCs w:val="18"/>
                <w:color w:val="auto"/>
              </w:rPr>
              <w:t>10%</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371,253</w:t>
            </w:r>
          </w:p>
        </w:tc>
        <w:tc>
          <w:tcPr>
            <w:tcW w:w="17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8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4,352,013</w:t>
            </w:r>
          </w:p>
        </w:tc>
        <w:tc>
          <w:tcPr>
            <w:tcW w:w="20" w:type="dxa"/>
            <w:vAlign w:val="bottom"/>
            <w:tcBorders>
              <w:bottom w:val="single" w:sz="8" w:color="auto"/>
            </w:tcBorders>
          </w:tcPr>
          <w:p>
            <w:pPr>
              <w:spacing w:after="0"/>
              <w:rPr>
                <w:sz w:val="19"/>
                <w:szCs w:val="19"/>
                <w:color w:val="auto"/>
              </w:rPr>
            </w:pPr>
          </w:p>
        </w:tc>
        <w:tc>
          <w:tcPr>
            <w:tcW w:w="17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3,980,760</w:t>
            </w:r>
          </w:p>
        </w:tc>
        <w:tc>
          <w:tcPr>
            <w:tcW w:w="6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Interest expense associated with the bridge loans for the years ended December 31, 2016 and 2015 was $315,844 and $350,549, respectively, which included debt discount expenses of $16,844 and $90,102, respectively.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6 – Convertible Preferred Stock</w:t>
      </w:r>
    </w:p>
    <w:p>
      <w:pPr>
        <w:spacing w:after="0" w:line="121" w:lineRule="exact"/>
        <w:rPr>
          <w:sz w:val="20"/>
          <w:szCs w:val="20"/>
          <w:color w:val="auto"/>
        </w:rPr>
      </w:pPr>
    </w:p>
    <w:p>
      <w:pPr>
        <w:ind w:right="400" w:firstLine="456"/>
        <w:spacing w:after="0" w:line="286" w:lineRule="auto"/>
        <w:rPr>
          <w:sz w:val="20"/>
          <w:szCs w:val="20"/>
          <w:color w:val="auto"/>
        </w:rPr>
      </w:pPr>
      <w:r>
        <w:rPr>
          <w:rFonts w:ascii="Arial" w:cs="Arial" w:eastAsia="Arial" w:hAnsi="Arial"/>
          <w:sz w:val="17"/>
          <w:szCs w:val="17"/>
          <w:color w:val="auto"/>
        </w:rPr>
        <w:t>On July 23, 2012, the Company amended and restated its authorized number of shares available to 50,000,000 designated as common stock and 37,200,000 designated as preferred stock, each with a par value of $0.001 per share. The preferred stock currently can be issued in two designated series, 21,700,000 shares of Series A Preferred Stock and 15,500,000 shares of Series B Preferred Stock.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terms of the Series A and B Preferred Stock are as follows:</w:t>
      </w:r>
    </w:p>
    <w:p>
      <w:pPr>
        <w:spacing w:after="0" w:line="117" w:lineRule="exact"/>
        <w:rPr>
          <w:sz w:val="20"/>
          <w:szCs w:val="20"/>
          <w:color w:val="auto"/>
        </w:rPr>
      </w:pPr>
    </w:p>
    <w:p>
      <w:pPr>
        <w:ind w:left="460" w:right="20" w:firstLine="438"/>
        <w:spacing w:after="0" w:line="259" w:lineRule="auto"/>
        <w:rPr>
          <w:sz w:val="20"/>
          <w:szCs w:val="20"/>
          <w:color w:val="auto"/>
        </w:rPr>
      </w:pPr>
      <w:r>
        <w:rPr>
          <w:rFonts w:ascii="Arial" w:cs="Arial" w:eastAsia="Arial" w:hAnsi="Arial"/>
          <w:sz w:val="18"/>
          <w:szCs w:val="18"/>
          <w:i w:val="1"/>
          <w:iCs w:val="1"/>
          <w:color w:val="auto"/>
        </w:rPr>
        <w:t xml:space="preserve">Conversion - </w:t>
      </w:r>
      <w:r>
        <w:rPr>
          <w:rFonts w:ascii="Arial" w:cs="Arial" w:eastAsia="Arial" w:hAnsi="Arial"/>
          <w:sz w:val="18"/>
          <w:szCs w:val="18"/>
          <w:color w:val="auto"/>
        </w:rPr>
        <w:t>Each share of Series A and B Preferred Stock shall be convertible, at the option of the holder, at any time after the date of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of such shares. The conversion price for Series A is the original Series A price divided by the conversion price for the Series A Preferred Stock in effect at the time of the conversion. The conversion price for Series B is $0.73 divided by the conversion price for the Series B Preferred Stock in effect at the time of conversion.</w:t>
      </w:r>
    </w:p>
    <w:p>
      <w:pPr>
        <w:spacing w:after="0" w:line="79" w:lineRule="exact"/>
        <w:rPr>
          <w:sz w:val="20"/>
          <w:szCs w:val="20"/>
          <w:color w:val="auto"/>
        </w:rPr>
      </w:pPr>
    </w:p>
    <w:p>
      <w:pPr>
        <w:ind w:left="460" w:right="160" w:firstLine="438"/>
        <w:spacing w:after="0" w:line="259" w:lineRule="auto"/>
        <w:rPr>
          <w:sz w:val="20"/>
          <w:szCs w:val="20"/>
          <w:color w:val="auto"/>
        </w:rPr>
      </w:pPr>
      <w:r>
        <w:rPr>
          <w:rFonts w:ascii="Arial" w:cs="Arial" w:eastAsia="Arial" w:hAnsi="Arial"/>
          <w:sz w:val="18"/>
          <w:szCs w:val="18"/>
          <w:color w:val="auto"/>
        </w:rPr>
        <w:t>Each share of Series A and B Preferred Stock automatically converts into common stock immediately upon the earlier of (i) the Company’s sale of at least $0.40 per share of its common stock in a firm commitment underwritten public offering pursuant to a registration statement under the Securities Act of 1933, as amended, with aggregate gross proceeds to the Company of at least $30,000,000 or (ii) upon consent of at least 60% of the voting power represented by the then outstanding shares of Preferred Stock.</w:t>
      </w:r>
    </w:p>
    <w:p>
      <w:pPr>
        <w:spacing w:after="0" w:line="79" w:lineRule="exact"/>
        <w:rPr>
          <w:sz w:val="20"/>
          <w:szCs w:val="20"/>
          <w:color w:val="auto"/>
        </w:rPr>
      </w:pPr>
    </w:p>
    <w:p>
      <w:pPr>
        <w:ind w:left="460" w:right="180" w:firstLine="438"/>
        <w:spacing w:after="0" w:line="277" w:lineRule="auto"/>
        <w:rPr>
          <w:sz w:val="20"/>
          <w:szCs w:val="20"/>
          <w:color w:val="auto"/>
        </w:rPr>
      </w:pPr>
      <w:r>
        <w:rPr>
          <w:rFonts w:ascii="Arial" w:cs="Arial" w:eastAsia="Arial" w:hAnsi="Arial"/>
          <w:sz w:val="18"/>
          <w:szCs w:val="18"/>
          <w:i w:val="1"/>
          <w:iCs w:val="1"/>
          <w:color w:val="auto"/>
        </w:rPr>
        <w:t xml:space="preserve">Liquidation Preference - </w:t>
      </w:r>
      <w:r>
        <w:rPr>
          <w:rFonts w:ascii="Arial" w:cs="Arial" w:eastAsia="Arial" w:hAnsi="Arial"/>
          <w:sz w:val="18"/>
          <w:szCs w:val="18"/>
          <w:color w:val="auto"/>
        </w:rPr>
        <w:t>Upon any liquidation, dissolution, or winding up of the Company, either voluntary or involuntary, the assets and funds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available for distribution to stockholders shall be distributed as follows:</w:t>
      </w:r>
    </w:p>
    <w:p>
      <w:pPr>
        <w:spacing w:after="0" w:line="62" w:lineRule="exact"/>
        <w:rPr>
          <w:sz w:val="20"/>
          <w:szCs w:val="20"/>
          <w:color w:val="auto"/>
        </w:rPr>
      </w:pPr>
    </w:p>
    <w:p>
      <w:pPr>
        <w:jc w:val="both"/>
        <w:ind w:left="460" w:right="120" w:firstLine="438"/>
        <w:spacing w:after="0" w:line="286" w:lineRule="auto"/>
        <w:rPr>
          <w:sz w:val="20"/>
          <w:szCs w:val="20"/>
          <w:color w:val="auto"/>
        </w:rPr>
      </w:pPr>
      <w:r>
        <w:rPr>
          <w:rFonts w:ascii="Arial" w:cs="Arial" w:eastAsia="Arial" w:hAnsi="Arial"/>
          <w:sz w:val="17"/>
          <w:szCs w:val="17"/>
          <w:color w:val="auto"/>
        </w:rPr>
        <w:t>First, the holders of shares of Series B Preferred Stock then outstanding shall be entitled to receive, out of the assets of the Corporation available for distribution to its stockholders, before any payment shall be made in respect of the Series A Preferred Stock or common stock, an amount equal to $3.65 per share of Series B, as adjusted for any recapitalization event plus all declared and unpaid dividends thereon.</w:t>
      </w:r>
    </w:p>
    <w:p>
      <w:pPr>
        <w:spacing w:after="0" w:line="57" w:lineRule="exact"/>
        <w:rPr>
          <w:sz w:val="20"/>
          <w:szCs w:val="20"/>
          <w:color w:val="auto"/>
        </w:rPr>
      </w:pPr>
    </w:p>
    <w:p>
      <w:pPr>
        <w:ind w:left="460" w:right="60" w:firstLine="438"/>
        <w:spacing w:after="0" w:line="264" w:lineRule="auto"/>
        <w:rPr>
          <w:sz w:val="20"/>
          <w:szCs w:val="20"/>
          <w:color w:val="auto"/>
        </w:rPr>
      </w:pPr>
      <w:r>
        <w:rPr>
          <w:rFonts w:ascii="Arial" w:cs="Arial" w:eastAsia="Arial" w:hAnsi="Arial"/>
          <w:sz w:val="18"/>
          <w:szCs w:val="18"/>
          <w:color w:val="auto"/>
        </w:rPr>
        <w:t>Second, after the full Series B liquidation preference has been paid or set aside, the holders of shares of Series A Preferred Stock shall be entitled to receive an amount of $0.73 per share of Series A preferred stock, as adjusted for any recapitalization event plus all declared and unpaid dividends thereon.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the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6 – Convertible Preferred Stock</w:t>
      </w:r>
      <w:r>
        <w:rPr>
          <w:rFonts w:ascii="Arial" w:cs="Arial" w:eastAsia="Arial" w:hAnsi="Arial"/>
          <w:sz w:val="18"/>
          <w:szCs w:val="18"/>
          <w:b w:val="1"/>
          <w:bCs w:val="1"/>
          <w:color w:val="auto"/>
        </w:rPr>
        <w:t xml:space="preserve"> (continued)</w:t>
      </w:r>
    </w:p>
    <w:p>
      <w:pPr>
        <w:spacing w:after="0" w:line="162" w:lineRule="exact"/>
        <w:rPr>
          <w:sz w:val="20"/>
          <w:szCs w:val="20"/>
          <w:color w:val="auto"/>
        </w:rPr>
      </w:pPr>
    </w:p>
    <w:p>
      <w:pPr>
        <w:jc w:val="both"/>
        <w:ind w:left="460" w:right="360" w:firstLine="438"/>
        <w:spacing w:after="0" w:line="302" w:lineRule="auto"/>
        <w:rPr>
          <w:sz w:val="20"/>
          <w:szCs w:val="20"/>
          <w:color w:val="auto"/>
        </w:rPr>
      </w:pPr>
      <w:r>
        <w:rPr>
          <w:rFonts w:ascii="Arial" w:cs="Arial" w:eastAsia="Arial" w:hAnsi="Arial"/>
          <w:sz w:val="16"/>
          <w:szCs w:val="16"/>
          <w:color w:val="auto"/>
        </w:rPr>
        <w:t>Lastly, after the full Series B and A Liquidation Preference due to holders of Series B and A Preferred Stock have been paid or set aside, the remaining assets of the Company available for distribution to its stockholders, if any, shall be distributed to the holders of common stock, Series A Preferred and Series B Preferred ratably in proportion to the number of shares of common stock then held, or issuable upon conversion of shares of Series A and B then held by each holder until such holders have received an aggregate of three times the original Series A price.</w:t>
      </w:r>
    </w:p>
    <w:p>
      <w:pPr>
        <w:spacing w:after="0" w:line="46" w:lineRule="exact"/>
        <w:rPr>
          <w:sz w:val="20"/>
          <w:szCs w:val="20"/>
          <w:color w:val="auto"/>
        </w:rPr>
      </w:pPr>
    </w:p>
    <w:p>
      <w:pPr>
        <w:ind w:left="460" w:right="100" w:firstLine="438"/>
        <w:spacing w:after="0" w:line="264" w:lineRule="auto"/>
        <w:rPr>
          <w:sz w:val="20"/>
          <w:szCs w:val="20"/>
          <w:color w:val="auto"/>
        </w:rPr>
      </w:pPr>
      <w:r>
        <w:rPr>
          <w:rFonts w:ascii="Arial" w:cs="Arial" w:eastAsia="Arial" w:hAnsi="Arial"/>
          <w:sz w:val="18"/>
          <w:szCs w:val="18"/>
          <w:i w:val="1"/>
          <w:iCs w:val="1"/>
          <w:color w:val="auto"/>
        </w:rPr>
        <w:t xml:space="preserve">Voting - </w:t>
      </w:r>
      <w:r>
        <w:rPr>
          <w:rFonts w:ascii="Arial" w:cs="Arial" w:eastAsia="Arial" w:hAnsi="Arial"/>
          <w:sz w:val="18"/>
          <w:szCs w:val="18"/>
          <w:color w:val="auto"/>
        </w:rPr>
        <w:t>Each holder of preferred stock shall be entitled to a number of votes equal to the number of whole shares of common stock into which</w:t>
      </w:r>
      <w:r>
        <w:rPr>
          <w:rFonts w:ascii="Arial" w:cs="Arial" w:eastAsia="Arial" w:hAnsi="Arial"/>
          <w:sz w:val="18"/>
          <w:szCs w:val="18"/>
          <w:i w:val="1"/>
          <w:iCs w:val="1"/>
          <w:color w:val="auto"/>
        </w:rPr>
        <w:t xml:space="preserve"> </w:t>
      </w:r>
      <w:r>
        <w:rPr>
          <w:rFonts w:ascii="Arial" w:cs="Arial" w:eastAsia="Arial" w:hAnsi="Arial"/>
          <w:sz w:val="18"/>
          <w:szCs w:val="18"/>
          <w:color w:val="auto"/>
        </w:rPr>
        <w:t>such holder’s shares of Series B Preferred Stock could then be converted and, except as otherwise required by law, shall have voting rights and powers equal to the voting rights and powers of the common stock.</w:t>
      </w:r>
    </w:p>
    <w:p>
      <w:pPr>
        <w:spacing w:after="0" w:line="73" w:lineRule="exact"/>
        <w:rPr>
          <w:sz w:val="20"/>
          <w:szCs w:val="20"/>
          <w:color w:val="auto"/>
        </w:rPr>
      </w:pPr>
    </w:p>
    <w:p>
      <w:pPr>
        <w:ind w:left="460" w:right="100" w:firstLine="438"/>
        <w:spacing w:after="0" w:line="257" w:lineRule="auto"/>
        <w:rPr>
          <w:sz w:val="20"/>
          <w:szCs w:val="20"/>
          <w:color w:val="auto"/>
        </w:rPr>
      </w:pPr>
      <w:r>
        <w:rPr>
          <w:rFonts w:ascii="Arial" w:cs="Arial" w:eastAsia="Arial" w:hAnsi="Arial"/>
          <w:sz w:val="18"/>
          <w:szCs w:val="18"/>
          <w:i w:val="1"/>
          <w:iCs w:val="1"/>
          <w:color w:val="auto"/>
        </w:rPr>
        <w:t xml:space="preserve">Dividends - </w:t>
      </w:r>
      <w:r>
        <w:rPr>
          <w:rFonts w:ascii="Arial" w:cs="Arial" w:eastAsia="Arial" w:hAnsi="Arial"/>
          <w:sz w:val="18"/>
          <w:szCs w:val="18"/>
          <w:color w:val="auto"/>
        </w:rPr>
        <w:t>The holders of the issued Series A and B Preferred Stock shall be entitled to receive or simultaneously receive, when, as and if</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by the Board of Directors out of assets legally available therefore, prior and in preference to any declaration or payment of any dividend to common stock dividends at the per share annual rate of $0.0584 per share of Series A and B Preferred Stock. The right to dividends on shares shall not be cumulative and no right shall accrue to holders of Series A and B Preferred Stock nor shall any undeclared or unpaid dividend bear or accrue interest. To date, the Board of Directors has not declared any dividends.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7 – Stock Options and Warrants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i w:val="1"/>
          <w:iCs w:val="1"/>
          <w:color w:val="auto"/>
        </w:rPr>
        <w:t xml:space="preserve">Stock Options - </w:t>
      </w:r>
      <w:r>
        <w:rPr>
          <w:rFonts w:ascii="Arial" w:cs="Arial" w:eastAsia="Arial" w:hAnsi="Arial"/>
          <w:sz w:val="17"/>
          <w:szCs w:val="17"/>
          <w:color w:val="auto"/>
        </w:rPr>
        <w:t>The Company follows the guidance of the accounting provisions of ASC 718</w:t>
      </w:r>
      <w:r>
        <w:rPr>
          <w:rFonts w:ascii="Arial" w:cs="Arial" w:eastAsia="Arial" w:hAnsi="Arial"/>
          <w:sz w:val="17"/>
          <w:szCs w:val="17"/>
          <w:i w:val="1"/>
          <w:iCs w:val="1"/>
          <w:color w:val="auto"/>
        </w:rPr>
        <w:t xml:space="preserve"> Compensation – Stock Compensation </w:t>
      </w:r>
      <w:r>
        <w:rPr>
          <w:rFonts w:ascii="Arial" w:cs="Arial" w:eastAsia="Arial" w:hAnsi="Arial"/>
          <w:sz w:val="17"/>
          <w:szCs w:val="17"/>
          <w:color w:val="auto"/>
        </w:rPr>
        <w:t>, which requires the</w:t>
      </w:r>
      <w:r>
        <w:rPr>
          <w:rFonts w:ascii="Arial" w:cs="Arial" w:eastAsia="Arial" w:hAnsi="Arial"/>
          <w:sz w:val="17"/>
          <w:szCs w:val="17"/>
          <w:i w:val="1"/>
          <w:iCs w:val="1"/>
          <w:color w:val="auto"/>
        </w:rPr>
        <w:t xml:space="preserve"> </w:t>
      </w:r>
      <w:r>
        <w:rPr>
          <w:rFonts w:ascii="Arial" w:cs="Arial" w:eastAsia="Arial" w:hAnsi="Arial"/>
          <w:sz w:val="17"/>
          <w:szCs w:val="17"/>
          <w:color w:val="auto"/>
        </w:rPr>
        <w:t>use of the fair-value based method to determine compensation for all arrangements under which employees and others receive shares of stock or equity instruments (warrants and options). In August 2005, the Company’s Board of Directors approved the 2005 Stock Plan (the “Plan”). Under the Plan, the Company may grant up to 2,750,000 shares of incentive stock options to eligible persons, including employees, nonemployees, members of the Board of Directors, consultants, and other independent advisors who provide services to the Company. In general, options are granted with an exercise price equal to the fair value of the underlying common stock on the date of the grant. Options granted typically have a contractual life of 10 years and vest over periods ranging from being fully vested as of the grant date to four years.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w w:val="96"/>
              </w:rPr>
              <w:t>Years Ended December 31,</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rPr>
              <w:t>2016</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2015</w:t>
            </w: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jc w:val="center"/>
              <w:ind w:right="120"/>
              <w:spacing w:after="0" w:line="123" w:lineRule="exact"/>
              <w:rPr>
                <w:sz w:val="20"/>
                <w:szCs w:val="20"/>
                <w:color w:val="auto"/>
              </w:rPr>
            </w:pPr>
            <w:r>
              <w:rPr>
                <w:rFonts w:ascii="Arial" w:cs="Arial" w:eastAsia="Arial" w:hAnsi="Arial"/>
                <w:sz w:val="14"/>
                <w:szCs w:val="14"/>
                <w:color w:val="auto"/>
                <w:w w:val="91"/>
              </w:rPr>
              <w:t>Weighted</w:t>
            </w:r>
          </w:p>
        </w:tc>
        <w:tc>
          <w:tcPr>
            <w:tcW w:w="140" w:type="dxa"/>
            <w:vAlign w:val="bottom"/>
          </w:tcPr>
          <w:p>
            <w:pPr>
              <w:spacing w:after="0"/>
              <w:rPr>
                <w:sz w:val="10"/>
                <w:szCs w:val="10"/>
                <w:color w:val="auto"/>
              </w:rPr>
            </w:pPr>
          </w:p>
        </w:tc>
        <w:tc>
          <w:tcPr>
            <w:tcW w:w="680" w:type="dxa"/>
            <w:vAlign w:val="bottom"/>
          </w:tcPr>
          <w:p>
            <w:pPr>
              <w:jc w:val="center"/>
              <w:spacing w:after="0" w:line="123" w:lineRule="exact"/>
              <w:rPr>
                <w:sz w:val="20"/>
                <w:szCs w:val="20"/>
                <w:color w:val="auto"/>
              </w:rPr>
            </w:pPr>
            <w:r>
              <w:rPr>
                <w:rFonts w:ascii="Arial" w:cs="Arial" w:eastAsia="Arial" w:hAnsi="Arial"/>
                <w:sz w:val="14"/>
                <w:szCs w:val="14"/>
                <w:color w:val="auto"/>
                <w:w w:val="94"/>
              </w:rPr>
              <w:t>Weighted</w:t>
            </w:r>
          </w:p>
        </w:tc>
        <w:tc>
          <w:tcPr>
            <w:tcW w:w="2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gridSpan w:val="3"/>
          </w:tcPr>
          <w:p>
            <w:pPr>
              <w:jc w:val="center"/>
              <w:ind w:right="260"/>
              <w:spacing w:after="0" w:line="123" w:lineRule="exact"/>
              <w:rPr>
                <w:sz w:val="20"/>
                <w:szCs w:val="20"/>
                <w:color w:val="auto"/>
              </w:rPr>
            </w:pPr>
            <w:r>
              <w:rPr>
                <w:rFonts w:ascii="Arial" w:cs="Arial" w:eastAsia="Arial" w:hAnsi="Arial"/>
                <w:sz w:val="14"/>
                <w:szCs w:val="14"/>
                <w:color w:val="auto"/>
                <w:w w:val="94"/>
              </w:rPr>
              <w:t>Weighted</w:t>
            </w:r>
          </w:p>
        </w:tc>
        <w:tc>
          <w:tcPr>
            <w:tcW w:w="660" w:type="dxa"/>
            <w:vAlign w:val="bottom"/>
          </w:tcPr>
          <w:p>
            <w:pPr>
              <w:jc w:val="center"/>
              <w:spacing w:after="0" w:line="123" w:lineRule="exact"/>
              <w:rPr>
                <w:sz w:val="20"/>
                <w:szCs w:val="20"/>
                <w:color w:val="auto"/>
              </w:rPr>
            </w:pPr>
            <w:r>
              <w:rPr>
                <w:rFonts w:ascii="Arial" w:cs="Arial" w:eastAsia="Arial" w:hAnsi="Arial"/>
                <w:sz w:val="14"/>
                <w:szCs w:val="14"/>
                <w:color w:val="auto"/>
                <w:w w:val="91"/>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1"/>
              </w:rPr>
              <w:t>Average</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Average</w:t>
            </w:r>
          </w:p>
        </w:tc>
        <w:tc>
          <w:tcPr>
            <w:tcW w:w="7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8"/>
              </w:rPr>
              <w:t>Exercisable</w:t>
            </w:r>
          </w:p>
        </w:tc>
        <w:tc>
          <w:tcPr>
            <w:tcW w:w="1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Contractual</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93"/>
              </w:rPr>
              <w:t>Exercisable</w:t>
            </w: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Contractual</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80" w:type="dxa"/>
            <w:vAlign w:val="bottom"/>
            <w:gridSpan w:val="3"/>
          </w:tcPr>
          <w:p>
            <w:pPr>
              <w:jc w:val="right"/>
              <w:ind w:right="38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Price</w:t>
            </w:r>
          </w:p>
        </w:tc>
        <w:tc>
          <w:tcPr>
            <w:tcW w:w="1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color w:val="auto"/>
              </w:rPr>
              <w:t>Life</w:t>
            </w:r>
          </w:p>
        </w:tc>
        <w:tc>
          <w:tcPr>
            <w:tcW w:w="640" w:type="dxa"/>
            <w:vAlign w:val="bottom"/>
          </w:tcPr>
          <w:p>
            <w:pPr>
              <w:jc w:val="right"/>
              <w:ind w:right="73"/>
              <w:spacing w:after="0"/>
              <w:rPr>
                <w:sz w:val="20"/>
                <w:szCs w:val="20"/>
                <w:color w:val="auto"/>
              </w:rPr>
            </w:pPr>
            <w:r>
              <w:rPr>
                <w:rFonts w:ascii="Arial" w:cs="Arial" w:eastAsia="Arial" w:hAnsi="Arial"/>
                <w:sz w:val="14"/>
                <w:szCs w:val="14"/>
                <w:color w:val="auto"/>
              </w:rPr>
              <w:t>Units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Price</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color w:val="auto"/>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342,000</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342,000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 at fair value</w:t>
            </w:r>
          </w:p>
        </w:tc>
        <w:tc>
          <w:tcPr>
            <w:tcW w:w="8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Canceled/Forfeited</w:t>
            </w: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(180,000)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0.10</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342,000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0.10</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6000" w:type="dxa"/>
            <w:vAlign w:val="bottom"/>
            <w:gridSpan w:val="2"/>
            <w:vMerge w:val="restart"/>
          </w:tcPr>
          <w:p>
            <w:pPr>
              <w:spacing w:after="0"/>
              <w:rPr>
                <w:sz w:val="20"/>
                <w:szCs w:val="20"/>
                <w:color w:val="auto"/>
              </w:rPr>
            </w:pPr>
            <w:r>
              <w:rPr>
                <w:rFonts w:ascii="Arial" w:cs="Arial" w:eastAsia="Arial" w:hAnsi="Arial"/>
                <w:sz w:val="18"/>
                <w:szCs w:val="18"/>
                <w:color w:val="auto"/>
              </w:rPr>
              <w:t>Fully vested at end of year</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gridSpan w:val="2"/>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162,000</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342,000</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60" w:type="dxa"/>
            <w:vAlign w:val="bottom"/>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6" w:lineRule="auto"/>
        <w:rPr>
          <w:sz w:val="20"/>
          <w:szCs w:val="20"/>
          <w:color w:val="auto"/>
        </w:rPr>
      </w:pPr>
      <w:r>
        <w:rPr>
          <w:rFonts w:ascii="Arial" w:cs="Arial" w:eastAsia="Arial" w:hAnsi="Arial"/>
          <w:sz w:val="17"/>
          <w:szCs w:val="17"/>
          <w:color w:val="auto"/>
        </w:rPr>
        <w:t>No options were granted, exercised, or canceled during the years ended December 31, 2016 and 2015. The number of forfeited options was 180,000 and 0 during the years ended December 31, 2016 and 2015, respectively. Intrinsic value represents the amount by which the market price of the common stock exceeds the exercise price of the options. The intrinsic value of exercisable options at December 31, 2016 and 2015 was $45,360 and $88,920, respectively. There is no unrecognized compensation cost for unvested stock-based compensation awards as of December 31, 2016. In March 2017, the Company merged with Soleno Therapeutics, Inc., and all unexercised options were terminated (Note 10).</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7 – Stock Options and Warrants</w:t>
      </w:r>
      <w:r>
        <w:rPr>
          <w:rFonts w:ascii="Arial" w:cs="Arial" w:eastAsia="Arial" w:hAnsi="Arial"/>
          <w:sz w:val="18"/>
          <w:szCs w:val="18"/>
          <w:b w:val="1"/>
          <w:bCs w:val="1"/>
          <w:color w:val="auto"/>
        </w:rPr>
        <w:t xml:space="preserve"> (continued)</w:t>
      </w:r>
    </w:p>
    <w:p>
      <w:pPr>
        <w:spacing w:after="0" w:line="162"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i w:val="1"/>
          <w:iCs w:val="1"/>
          <w:color w:val="auto"/>
        </w:rPr>
        <w:t xml:space="preserve">Warrants - </w:t>
      </w:r>
      <w:r>
        <w:rPr>
          <w:rFonts w:ascii="Arial" w:cs="Arial" w:eastAsia="Arial" w:hAnsi="Arial"/>
          <w:sz w:val="16"/>
          <w:szCs w:val="16"/>
          <w:color w:val="auto"/>
        </w:rPr>
        <w:t>In connection with the series of bridge financing with its preferred stockholders, the Company issued warrants to purchase shares of Series</w:t>
      </w:r>
      <w:r>
        <w:rPr>
          <w:rFonts w:ascii="Arial" w:cs="Arial" w:eastAsia="Arial" w:hAnsi="Arial"/>
          <w:sz w:val="16"/>
          <w:szCs w:val="16"/>
          <w:i w:val="1"/>
          <w:iCs w:val="1"/>
          <w:color w:val="auto"/>
        </w:rPr>
        <w:t xml:space="preserve"> </w:t>
      </w:r>
      <w:r>
        <w:rPr>
          <w:rFonts w:ascii="Arial" w:cs="Arial" w:eastAsia="Arial" w:hAnsi="Arial"/>
          <w:sz w:val="16"/>
          <w:szCs w:val="16"/>
          <w:color w:val="auto"/>
        </w:rPr>
        <w:t>A and Series B Preferred Stock. The number of warrants issued was variable and is determined by the loan amount multiplied by the warrant coverage and divided by the warrant stock price at the time of issuance. The warrant stock price is either the share price of the Qualified Equity Financing (as defined as a capital raise with a minimum value issued to non-related investors, as defined) or $0.73 per share if no Qualified Equity Financing is raised by maturity date or if there is a change of control. In March 2017, the Company merged with Soleno Therapeutics, Inc., and all Company warrants were either exercised in full or, if not exercised in full, terminated, canceled, or automatically converted into shares of Company common stock or preferred stock (Note 10).</w:t>
      </w:r>
    </w:p>
    <w:p>
      <w:pPr>
        <w:spacing w:after="0" w:line="165"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For the May and December 2009 and the January and May 2010 bridge loans issued (the bridge loans were converted into shares of Series A Preferred Stock in 2011), the warrant coverage was 20% of the bridge loan plus 5% per month for each month the bridge loan was outstanding up to 50%. For the December 2011 and March 2012 series of bridge loans issued, the warrant coverage was equal to 20% of the total bridge financing. For the series of bridge loans issued from July 2012 through November 2016, the warrant coverage was equal to 10% of the total bridge financing.</w:t>
      </w:r>
    </w:p>
    <w:p>
      <w:pPr>
        <w:spacing w:after="0" w:line="17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For the years ended December 31, 2016 and 2015, the fair value of the warrants issued totaled $996,770 and $979,926, respectively, using an estimated exercise price of $0.73 per share. This value was recorded to additional paid-in capital and as a discount to the book value of the bridge loans and was to be amortized over the term of the bridge loans to interest expense. However, as each modification to the original warrant is made based on the extension and new bridge financing, each warrant’s life is extended and the fair value is re-computed based on the new estimated fair value, management has elected to expense each modification and new debt discount as each new bridge financing is made. For the years ended December 31, 2016 and 2015, the Company recognized $16,844 and $90,102 of interest expense associated with the debt discount, respectively.</w:t>
      </w:r>
    </w:p>
    <w:p>
      <w:pPr>
        <w:spacing w:after="0" w:line="178" w:lineRule="exact"/>
        <w:rPr>
          <w:sz w:val="20"/>
          <w:szCs w:val="20"/>
          <w:color w:val="auto"/>
        </w:rPr>
      </w:pPr>
    </w:p>
    <w:p>
      <w:pPr>
        <w:ind w:right="760" w:firstLine="456"/>
        <w:spacing w:after="0" w:line="277" w:lineRule="auto"/>
        <w:rPr>
          <w:sz w:val="20"/>
          <w:szCs w:val="20"/>
          <w:color w:val="auto"/>
        </w:rPr>
      </w:pPr>
      <w:r>
        <w:rPr>
          <w:rFonts w:ascii="Arial" w:cs="Arial" w:eastAsia="Arial" w:hAnsi="Arial"/>
          <w:sz w:val="18"/>
          <w:szCs w:val="18"/>
          <w:color w:val="auto"/>
        </w:rPr>
        <w:t>The Company used the Black-Scholes option pricing model to calculate both the initial debt discount and the change in fair value due to each modification, with the following assumptions for the years ended December 31:</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2016</w:t>
            </w: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9"/>
              </w:rPr>
              <w:t>2015</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4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 %</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gridSpan w:val="2"/>
          </w:tcPr>
          <w:p>
            <w:pPr>
              <w:jc w:val="center"/>
              <w:ind w:right="4520"/>
              <w:spacing w:after="0"/>
              <w:rPr>
                <w:sz w:val="20"/>
                <w:szCs w:val="20"/>
                <w:color w:val="auto"/>
              </w:rPr>
            </w:pPr>
            <w:r>
              <w:rPr>
                <w:rFonts w:ascii="Arial" w:cs="Arial" w:eastAsia="Arial" w:hAnsi="Arial"/>
                <w:sz w:val="18"/>
                <w:szCs w:val="18"/>
                <w:color w:val="auto"/>
                <w:w w:val="90"/>
              </w:rPr>
              <w:t>Risk free interest rate</w:t>
            </w:r>
          </w:p>
        </w:tc>
        <w:tc>
          <w:tcPr>
            <w:tcW w:w="1740" w:type="dxa"/>
            <w:vAlign w:val="bottom"/>
            <w:gridSpan w:val="5"/>
          </w:tcPr>
          <w:p>
            <w:pPr>
              <w:jc w:val="center"/>
              <w:ind w:left="236"/>
              <w:spacing w:after="0"/>
              <w:rPr>
                <w:sz w:val="20"/>
                <w:szCs w:val="20"/>
                <w:color w:val="auto"/>
              </w:rPr>
            </w:pPr>
            <w:r>
              <w:rPr>
                <w:rFonts w:ascii="Arial" w:cs="Arial" w:eastAsia="Arial" w:hAnsi="Arial"/>
                <w:sz w:val="18"/>
                <w:szCs w:val="18"/>
                <w:color w:val="auto"/>
                <w:w w:val="91"/>
              </w:rPr>
              <w:t>1.2% - 1.7%</w:t>
            </w:r>
          </w:p>
        </w:tc>
        <w:tc>
          <w:tcPr>
            <w:tcW w:w="260" w:type="dxa"/>
            <w:vAlign w:val="bottom"/>
          </w:tcPr>
          <w:p>
            <w:pPr>
              <w:spacing w:after="0"/>
              <w:rPr>
                <w:sz w:val="18"/>
                <w:szCs w:val="18"/>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87"/>
              </w:rPr>
              <w:t>1.7%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60" w:type="dxa"/>
            <w:vAlign w:val="bottom"/>
            <w:gridSpan w:val="2"/>
            <w:shd w:val="clear" w:color="auto" w:fill="CCEEFF"/>
          </w:tcPr>
          <w:p>
            <w:pPr>
              <w:jc w:val="center"/>
              <w:ind w:right="4500"/>
              <w:spacing w:after="0"/>
              <w:rPr>
                <w:sz w:val="20"/>
                <w:szCs w:val="20"/>
                <w:color w:val="auto"/>
              </w:rPr>
            </w:pPr>
            <w:r>
              <w:rPr>
                <w:rFonts w:ascii="Arial" w:cs="Arial" w:eastAsia="Arial" w:hAnsi="Arial"/>
                <w:sz w:val="18"/>
                <w:szCs w:val="18"/>
                <w:color w:val="auto"/>
                <w:w w:val="91"/>
              </w:rPr>
              <w:t>Expected life in years</w:t>
            </w:r>
          </w:p>
        </w:tc>
        <w:tc>
          <w:tcPr>
            <w:tcW w:w="340" w:type="dxa"/>
            <w:vAlign w:val="bottom"/>
            <w:shd w:val="clear" w:color="auto" w:fill="CCEEFF"/>
          </w:tcPr>
          <w:p>
            <w:pPr>
              <w:spacing w:after="0"/>
              <w:rPr>
                <w:sz w:val="18"/>
                <w:szCs w:val="18"/>
                <w:color w:val="auto"/>
              </w:rPr>
            </w:pPr>
          </w:p>
        </w:tc>
        <w:tc>
          <w:tcPr>
            <w:tcW w:w="4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w:t>
            </w: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740" w:type="dxa"/>
            <w:vAlign w:val="bottom"/>
            <w:gridSpan w:val="5"/>
          </w:tcPr>
          <w:p>
            <w:pPr>
              <w:jc w:val="center"/>
              <w:ind w:left="236"/>
              <w:spacing w:after="0"/>
              <w:rPr>
                <w:sz w:val="20"/>
                <w:szCs w:val="20"/>
                <w:color w:val="auto"/>
              </w:rPr>
            </w:pPr>
            <w:r>
              <w:rPr>
                <w:rFonts w:ascii="Arial" w:cs="Arial" w:eastAsia="Arial" w:hAnsi="Arial"/>
                <w:sz w:val="18"/>
                <w:szCs w:val="18"/>
                <w:color w:val="auto"/>
                <w:w w:val="91"/>
              </w:rPr>
              <w:t>105.7% - 107.7%</w:t>
            </w:r>
          </w:p>
        </w:tc>
        <w:tc>
          <w:tcPr>
            <w:tcW w:w="260" w:type="dxa"/>
            <w:vAlign w:val="bottom"/>
          </w:tcPr>
          <w:p>
            <w:pPr>
              <w:spacing w:after="0"/>
              <w:rPr>
                <w:sz w:val="20"/>
                <w:szCs w:val="20"/>
                <w:color w:val="auto"/>
              </w:rPr>
            </w:pPr>
          </w:p>
        </w:tc>
        <w:tc>
          <w:tcPr>
            <w:tcW w:w="620" w:type="dxa"/>
            <w:vAlign w:val="bottom"/>
            <w:gridSpan w:val="2"/>
          </w:tcPr>
          <w:p>
            <w:pPr>
              <w:jc w:val="center"/>
              <w:spacing w:after="0"/>
              <w:rPr>
                <w:sz w:val="20"/>
                <w:szCs w:val="20"/>
                <w:color w:val="auto"/>
              </w:rPr>
            </w:pPr>
            <w:r>
              <w:rPr>
                <w:rFonts w:ascii="Arial" w:cs="Arial" w:eastAsia="Arial" w:hAnsi="Arial"/>
                <w:sz w:val="18"/>
                <w:szCs w:val="18"/>
                <w:color w:val="auto"/>
                <w:w w:val="91"/>
              </w:rPr>
              <w:t>116.1%</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980" w:type="dxa"/>
            <w:vAlign w:val="bottom"/>
            <w:gridSpan w:val="4"/>
          </w:tcPr>
          <w:p>
            <w:pPr>
              <w:spacing w:after="0"/>
              <w:rPr>
                <w:sz w:val="20"/>
                <w:szCs w:val="20"/>
                <w:color w:val="auto"/>
              </w:rPr>
            </w:pPr>
            <w:r>
              <w:rPr>
                <w:rFonts w:ascii="Arial" w:cs="Arial" w:eastAsia="Arial" w:hAnsi="Arial"/>
                <w:sz w:val="18"/>
                <w:szCs w:val="18"/>
                <w:color w:val="auto"/>
              </w:rPr>
              <w:t>The remaining warrants available to exercise at December 31, 2016 are as follows:</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Number of</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60" w:type="dxa"/>
            <w:vAlign w:val="bottom"/>
          </w:tcPr>
          <w:p>
            <w:pPr>
              <w:spacing w:after="0"/>
              <w:rPr>
                <w:sz w:val="14"/>
                <w:szCs w:val="14"/>
                <w:color w:val="auto"/>
              </w:rPr>
            </w:pPr>
          </w:p>
        </w:tc>
        <w:tc>
          <w:tcPr>
            <w:tcW w:w="6520" w:type="dxa"/>
            <w:vAlign w:val="bottom"/>
            <w:gridSpan w:val="3"/>
            <w:vMerge w:val="restart"/>
          </w:tcPr>
          <w:p>
            <w:pPr>
              <w:spacing w:after="0"/>
              <w:rPr>
                <w:sz w:val="20"/>
                <w:szCs w:val="20"/>
                <w:color w:val="auto"/>
              </w:rPr>
            </w:pPr>
            <w:r>
              <w:rPr>
                <w:rFonts w:ascii="Arial" w:cs="Arial" w:eastAsia="Arial" w:hAnsi="Arial"/>
                <w:sz w:val="14"/>
                <w:szCs w:val="14"/>
                <w:color w:val="auto"/>
              </w:rPr>
              <w:t>Summary of outstanding warrants:</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85"/>
              </w:rPr>
              <w:t>shares</w:t>
            </w:r>
          </w:p>
        </w:tc>
        <w:tc>
          <w:tcPr>
            <w:tcW w:w="400" w:type="dxa"/>
            <w:vAlign w:val="bottom"/>
          </w:tcPr>
          <w:p>
            <w:pPr>
              <w:spacing w:after="0"/>
              <w:rPr>
                <w:sz w:val="14"/>
                <w:szCs w:val="14"/>
                <w:color w:val="auto"/>
              </w:rPr>
            </w:pPr>
          </w:p>
        </w:tc>
        <w:tc>
          <w:tcPr>
            <w:tcW w:w="780" w:type="dxa"/>
            <w:vAlign w:val="bottom"/>
            <w:gridSpan w:val="3"/>
          </w:tcPr>
          <w:p>
            <w:pPr>
              <w:jc w:val="right"/>
              <w:ind w:right="300"/>
              <w:spacing w:after="0"/>
              <w:rPr>
                <w:sz w:val="20"/>
                <w:szCs w:val="20"/>
                <w:color w:val="auto"/>
              </w:rPr>
            </w:pPr>
            <w:r>
              <w:rPr>
                <w:rFonts w:ascii="Arial" w:cs="Arial" w:eastAsia="Arial" w:hAnsi="Arial"/>
                <w:sz w:val="14"/>
                <w:szCs w:val="14"/>
                <w:color w:val="auto"/>
                <w:w w:val="85"/>
              </w:rPr>
              <w:t>Exercise</w:t>
            </w: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Expiration</w:t>
            </w:r>
          </w:p>
        </w:tc>
        <w:tc>
          <w:tcPr>
            <w:tcW w:w="0" w:type="dxa"/>
            <w:vAlign w:val="bottom"/>
          </w:tcPr>
          <w:p>
            <w:pPr>
              <w:spacing w:after="0"/>
              <w:rPr>
                <w:sz w:val="1"/>
                <w:szCs w:val="1"/>
                <w:color w:val="auto"/>
              </w:rPr>
            </w:pPr>
          </w:p>
        </w:tc>
      </w:tr>
      <w:tr>
        <w:trPr>
          <w:trHeight w:val="167"/>
        </w:trPr>
        <w:tc>
          <w:tcPr>
            <w:tcW w:w="460" w:type="dxa"/>
            <w:vAlign w:val="bottom"/>
          </w:tcPr>
          <w:p>
            <w:pPr>
              <w:spacing w:after="0"/>
              <w:rPr>
                <w:sz w:val="14"/>
                <w:szCs w:val="14"/>
                <w:color w:val="auto"/>
              </w:rPr>
            </w:pPr>
          </w:p>
        </w:tc>
        <w:tc>
          <w:tcPr>
            <w:tcW w:w="6520" w:type="dxa"/>
            <w:vAlign w:val="bottom"/>
            <w:gridSpan w:val="3"/>
            <w:vMerge w:val="continue"/>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0"/>
              </w:rPr>
              <w:t>exercisable</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color w:val="auto"/>
              </w:rPr>
              <w:t>price</w:t>
            </w: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000" w:type="dxa"/>
            <w:vAlign w:val="bottom"/>
            <w:gridSpan w:val="2"/>
            <w:shd w:val="clear" w:color="auto" w:fill="000000"/>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820" w:type="dxa"/>
            <w:vAlign w:val="bottom"/>
            <w:tcBorders>
              <w:right w:val="single" w:sz="8" w:color="CCEEFF"/>
            </w:tcBorders>
            <w:gridSpan w:val="2"/>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6520" w:type="dxa"/>
            <w:vAlign w:val="bottom"/>
            <w:gridSpan w:val="3"/>
            <w:shd w:val="clear" w:color="auto" w:fill="CCEEFF"/>
          </w:tcPr>
          <w:p>
            <w:pPr>
              <w:jc w:val="center"/>
              <w:ind w:right="4060"/>
              <w:spacing w:after="0"/>
              <w:rPr>
                <w:sz w:val="20"/>
                <w:szCs w:val="20"/>
                <w:color w:val="auto"/>
              </w:rPr>
            </w:pPr>
            <w:r>
              <w:rPr>
                <w:rFonts w:ascii="Arial" w:cs="Arial" w:eastAsia="Arial" w:hAnsi="Arial"/>
                <w:sz w:val="18"/>
                <w:szCs w:val="18"/>
                <w:color w:val="auto"/>
                <w:w w:val="90"/>
              </w:rPr>
              <w:t>Series A Preferred Stock warrants</w:t>
            </w: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330,249</w:t>
            </w:r>
          </w:p>
        </w:tc>
        <w:tc>
          <w:tcPr>
            <w:tcW w:w="4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1/26/2017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gridSpan w:val="3"/>
          </w:tcPr>
          <w:p>
            <w:pPr>
              <w:jc w:val="center"/>
              <w:ind w:right="4060"/>
              <w:spacing w:after="0"/>
              <w:rPr>
                <w:sz w:val="20"/>
                <w:szCs w:val="20"/>
                <w:color w:val="auto"/>
              </w:rPr>
            </w:pPr>
            <w:r>
              <w:rPr>
                <w:rFonts w:ascii="Arial" w:cs="Arial" w:eastAsia="Arial" w:hAnsi="Arial"/>
                <w:sz w:val="18"/>
                <w:szCs w:val="18"/>
                <w:color w:val="auto"/>
                <w:w w:val="90"/>
              </w:rPr>
              <w:t>Series A Preferred Stock warrants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511,265</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5/5/2017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20" w:type="dxa"/>
            <w:vAlign w:val="bottom"/>
            <w:gridSpan w:val="3"/>
            <w:shd w:val="clear" w:color="auto" w:fill="CCEEFF"/>
          </w:tcPr>
          <w:p>
            <w:pPr>
              <w:jc w:val="center"/>
              <w:ind w:right="4080"/>
              <w:spacing w:after="0"/>
              <w:rPr>
                <w:sz w:val="20"/>
                <w:szCs w:val="20"/>
                <w:color w:val="auto"/>
              </w:rPr>
            </w:pPr>
            <w:r>
              <w:rPr>
                <w:rFonts w:ascii="Arial" w:cs="Arial" w:eastAsia="Arial" w:hAnsi="Arial"/>
                <w:sz w:val="18"/>
                <w:szCs w:val="18"/>
                <w:color w:val="auto"/>
                <w:w w:val="89"/>
              </w:rPr>
              <w:t>Series B Preferred Stock warrants</w:t>
            </w:r>
          </w:p>
        </w:tc>
        <w:tc>
          <w:tcPr>
            <w:tcW w:w="82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835,889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26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11/17/2026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7"/>
              </w:rPr>
              <w:t>1,677,403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684,932 and 0 Series A Preferred Stock warrants cancelled during the years ended December 31, 2016 and 2015, respectively.</w:t>
      </w:r>
    </w:p>
    <w:p>
      <w:pPr>
        <w:spacing w:after="0" w:line="16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00"/>
          </w:cols>
          <w:pgMar w:left="240" w:top="460" w:right="2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the Financial Statements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8 –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December 31, 2016, the Company had net operating loss carry forwards available to reduce future taxable income, if any, of approximately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$29,145,000 for Federal income tax purposes. The Federal net operating loss carry forwards begin to expire in 2026. At December 31, 2016,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had California net operating losses carry forwards of approximately $25,681,000 that expire in various years beginning in 2017. During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$2,810,000 of California net operating losses expired. Pursuant to Internal Revenue Code Sections 382 and 383, use of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net operating loss carry forwards may be limited if a cumulative change in ownership of more than 50% occurs within a three-year period.</w:t>
      </w:r>
    </w:p>
    <w:p>
      <w:pPr>
        <w:spacing w:after="0" w:line="21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files income taxes in the U.S. Federal jurisdiction and the state of California. The Company is subject to U.S. federal or state income tax examinations by tax authorities for years after 2013. During the periods open to examination, the Company has net operating losses carry forwards for U.S. Federal and state tax purposes that have attributes from closed periods. Since these net operating losses and tax credit carry forwards may be utilized in future periods, they remain subject to examination.</w:t>
      </w:r>
    </w:p>
    <w:p>
      <w:pPr>
        <w:spacing w:after="0" w:line="187"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For the years ended December 31, 2016 and 2015, the Company generated research credits but has not conducted a study to document the qualified activities. This study may result in an adjustment to the Company’s research and development credit carryforwards; however, until a study is completed and any adjustment is known, no amounts are being presented as research and development credits for these years. If an adjustment is required, this adjustment would be offset by an adjustment to the deferred tax asset established for the research and development credit carryforwards and the valuation allowance.</w:t>
      </w:r>
    </w:p>
    <w:p>
      <w:pPr>
        <w:spacing w:after="0" w:line="154"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Temporary differences between the carrying amounts of assets for financial reporting purposes and the amounts used for income tax purposes and net operating loss carry forwards give rise to the Company’s deferred tax assets. The components of the Company’s deferred tax assets as of December 31, 2016 and 2015 are as follows: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440" w:type="dxa"/>
            <w:vAlign w:val="bottom"/>
          </w:tcPr>
          <w:p>
            <w:pPr>
              <w:spacing w:after="0"/>
              <w:rPr>
                <w:sz w:val="14"/>
                <w:szCs w:val="14"/>
                <w:color w:val="auto"/>
              </w:rPr>
            </w:pPr>
          </w:p>
        </w:tc>
        <w:tc>
          <w:tcPr>
            <w:tcW w:w="2620" w:type="dxa"/>
            <w:vAlign w:val="bottom"/>
            <w:gridSpan w:val="2"/>
          </w:tcPr>
          <w:p>
            <w:pPr>
              <w:jc w:val="right"/>
              <w:ind w:right="250"/>
              <w:spacing w:after="0"/>
              <w:rPr>
                <w:sz w:val="20"/>
                <w:szCs w:val="20"/>
                <w:color w:val="auto"/>
              </w:rPr>
            </w:pPr>
            <w:r>
              <w:rPr>
                <w:rFonts w:ascii="Arial" w:cs="Arial" w:eastAsia="Arial" w:hAnsi="Arial"/>
                <w:sz w:val="14"/>
                <w:szCs w:val="14"/>
                <w:color w:val="auto"/>
              </w:rPr>
              <w:t>2016</w:t>
            </w:r>
          </w:p>
        </w:tc>
        <w:tc>
          <w:tcPr>
            <w:tcW w:w="300" w:type="dxa"/>
            <w:vAlign w:val="bottom"/>
          </w:tcPr>
          <w:p>
            <w:pPr>
              <w:spacing w:after="0"/>
              <w:rPr>
                <w:sz w:val="14"/>
                <w:szCs w:val="14"/>
                <w:color w:val="auto"/>
              </w:rPr>
            </w:pPr>
          </w:p>
        </w:tc>
        <w:tc>
          <w:tcPr>
            <w:tcW w:w="1200" w:type="dxa"/>
            <w:vAlign w:val="bottom"/>
            <w:gridSpan w:val="2"/>
          </w:tcPr>
          <w:p>
            <w:pPr>
              <w:jc w:val="right"/>
              <w:ind w:right="25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6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Net operating loss carry forwards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$ 11,408,000</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$ 12,141,000</w:t>
            </w:r>
          </w:p>
        </w:tc>
        <w:tc>
          <w:tcPr>
            <w:tcW w:w="120" w:type="dxa"/>
            <w:vAlign w:val="bottom"/>
          </w:tcPr>
          <w:p>
            <w:pPr>
              <w:spacing w:after="0"/>
              <w:rPr>
                <w:sz w:val="18"/>
                <w:szCs w:val="18"/>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costs</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Intangibles</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13,000</w:t>
            </w:r>
          </w:p>
        </w:tc>
        <w:tc>
          <w:tcPr>
            <w:tcW w:w="3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120" w:type="dxa"/>
            <w:vAlign w:val="bottom"/>
          </w:tcPr>
          <w:p>
            <w:pPr>
              <w:spacing w:after="0"/>
              <w:rPr>
                <w:sz w:val="18"/>
                <w:szCs w:val="18"/>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18"/>
                <w:szCs w:val="18"/>
                <w:color w:val="auto"/>
              </w:rPr>
            </w:pP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16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11,584,000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12,160,000</w:t>
            </w:r>
          </w:p>
        </w:tc>
        <w:tc>
          <w:tcPr>
            <w:tcW w:w="120" w:type="dxa"/>
            <w:vAlign w:val="bottom"/>
          </w:tcPr>
          <w:p>
            <w:pPr>
              <w:spacing w:after="0"/>
              <w:rPr>
                <w:sz w:val="19"/>
                <w:szCs w:val="19"/>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9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(11,584,000)</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(12,160,000)</w:t>
            </w:r>
          </w:p>
        </w:tc>
      </w:tr>
      <w:tr>
        <w:trPr>
          <w:trHeight w:val="223"/>
        </w:trPr>
        <w:tc>
          <w:tcPr>
            <w:tcW w:w="444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16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 valuation allowance has been recorded against the deferred tax assets, as the ultimate realization of these assets are considered uncertain at this early development stage of the Company. The change in the valuation allowance for the years ended December 31, 2016 and 2015 amounted to approximately ($576,000) and $356,000, respectively.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80"/>
          </w:cols>
          <w:pgMar w:left="240" w:top="459" w:right="2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ESSENTIALIS,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the Financial Statements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effective tax with the Federal statutory rate is as follow</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860" w:type="dxa"/>
            <w:vAlign w:val="bottom"/>
          </w:tcPr>
          <w:p>
            <w:pPr>
              <w:spacing w:after="0"/>
              <w:rPr>
                <w:sz w:val="14"/>
                <w:szCs w:val="14"/>
                <w:color w:val="auto"/>
              </w:rPr>
            </w:pPr>
          </w:p>
        </w:tc>
        <w:tc>
          <w:tcPr>
            <w:tcW w:w="2520" w:type="dxa"/>
            <w:vAlign w:val="bottom"/>
            <w:gridSpan w:val="2"/>
          </w:tcPr>
          <w:p>
            <w:pPr>
              <w:jc w:val="right"/>
              <w:ind w:right="150"/>
              <w:spacing w:after="0"/>
              <w:rPr>
                <w:sz w:val="20"/>
                <w:szCs w:val="20"/>
                <w:color w:val="auto"/>
              </w:rPr>
            </w:pPr>
            <w:r>
              <w:rPr>
                <w:rFonts w:ascii="Arial" w:cs="Arial" w:eastAsia="Arial" w:hAnsi="Arial"/>
                <w:sz w:val="14"/>
                <w:szCs w:val="14"/>
                <w:color w:val="auto"/>
              </w:rPr>
              <w:t>2016</w:t>
            </w:r>
          </w:p>
        </w:tc>
        <w:tc>
          <w:tcPr>
            <w:tcW w:w="240" w:type="dxa"/>
            <w:vAlign w:val="bottom"/>
          </w:tcPr>
          <w:p>
            <w:pPr>
              <w:spacing w:after="0"/>
              <w:rPr>
                <w:sz w:val="14"/>
                <w:szCs w:val="14"/>
                <w:color w:val="auto"/>
              </w:rPr>
            </w:pPr>
          </w:p>
        </w:tc>
        <w:tc>
          <w:tcPr>
            <w:tcW w:w="940" w:type="dxa"/>
            <w:vAlign w:val="bottom"/>
            <w:gridSpan w:val="2"/>
          </w:tcPr>
          <w:p>
            <w:pPr>
              <w:jc w:val="right"/>
              <w:ind w:right="13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4"/>
                <w:szCs w:val="14"/>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income tax benefit at statutory rate</w:t>
            </w:r>
          </w:p>
        </w:tc>
        <w:tc>
          <w:tcPr>
            <w:tcW w:w="17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$(416,000)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$(332,000)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Non-deductible expenses</w:t>
            </w:r>
          </w:p>
        </w:tc>
        <w:tc>
          <w:tcPr>
            <w:tcW w:w="17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18"/>
                <w:szCs w:val="18"/>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True-ups and expired net operating losses</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992,000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Change in federal valuation allowance</w:t>
            </w:r>
          </w:p>
        </w:tc>
        <w:tc>
          <w:tcPr>
            <w:tcW w:w="178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(576,000)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301,000</w:t>
            </w:r>
          </w:p>
        </w:tc>
        <w:tc>
          <w:tcPr>
            <w:tcW w:w="120" w:type="dxa"/>
            <w:vAlign w:val="bottom"/>
          </w:tcPr>
          <w:p>
            <w:pPr>
              <w:spacing w:after="0"/>
              <w:rPr>
                <w:sz w:val="19"/>
                <w:szCs w:val="19"/>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benefit from taxes</w:t>
            </w:r>
          </w:p>
        </w:tc>
        <w:tc>
          <w:tcPr>
            <w:tcW w:w="178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0"/>
        </w:trPr>
        <w:tc>
          <w:tcPr>
            <w:tcW w:w="4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9 – Commitments and Contingencies</w:t>
      </w:r>
    </w:p>
    <w:p>
      <w:pPr>
        <w:spacing w:after="0" w:line="121"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i w:val="1"/>
          <w:iCs w:val="1"/>
          <w:color w:val="auto"/>
        </w:rPr>
        <w:t xml:space="preserve">Licenses </w:t>
      </w:r>
      <w:r>
        <w:rPr>
          <w:rFonts w:ascii="Arial" w:cs="Arial" w:eastAsia="Arial" w:hAnsi="Arial"/>
          <w:sz w:val="16"/>
          <w:szCs w:val="16"/>
          <w:color w:val="auto"/>
        </w:rPr>
        <w:t>– In July 2014, the Company entered into a research agreement with a foundation which also provided a grant. Under the terms of the grant</w:t>
      </w:r>
      <w:r>
        <w:rPr>
          <w:rFonts w:ascii="Arial" w:cs="Arial" w:eastAsia="Arial" w:hAnsi="Arial"/>
          <w:sz w:val="16"/>
          <w:szCs w:val="16"/>
          <w:i w:val="1"/>
          <w:iCs w:val="1"/>
          <w:color w:val="auto"/>
        </w:rPr>
        <w:t xml:space="preserve"> </w:t>
      </w:r>
      <w:r>
        <w:rPr>
          <w:rFonts w:ascii="Arial" w:cs="Arial" w:eastAsia="Arial" w:hAnsi="Arial"/>
          <w:sz w:val="16"/>
          <w:szCs w:val="16"/>
          <w:color w:val="auto"/>
        </w:rPr>
        <w:t>and research arrangement, the Company is obligated to pay the foundation a royalty of one percent of all revenues realized from the sale or usage of any product derived from the research. These royalty payments are payable each quarter until the royalty paid equals six times the grant received by the Company.</w:t>
      </w:r>
    </w:p>
    <w:p>
      <w:pPr>
        <w:spacing w:after="0" w:line="147"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i w:val="1"/>
          <w:iCs w:val="1"/>
          <w:color w:val="auto"/>
        </w:rPr>
        <w:t xml:space="preserve">Litigation - </w:t>
      </w:r>
      <w:r>
        <w:rPr>
          <w:rFonts w:ascii="Arial" w:cs="Arial" w:eastAsia="Arial" w:hAnsi="Arial"/>
          <w:sz w:val="16"/>
          <w:szCs w:val="16"/>
          <w:color w:val="auto"/>
        </w:rPr>
        <w:t>Other than normally recurring legal action, there has not been any additional claims instituted against the Company and management does</w:t>
      </w:r>
      <w:r>
        <w:rPr>
          <w:rFonts w:ascii="Arial" w:cs="Arial" w:eastAsia="Arial" w:hAnsi="Arial"/>
          <w:sz w:val="16"/>
          <w:szCs w:val="16"/>
          <w:i w:val="1"/>
          <w:iCs w:val="1"/>
          <w:color w:val="auto"/>
        </w:rPr>
        <w:t xml:space="preserve"> </w:t>
      </w:r>
      <w:r>
        <w:rPr>
          <w:rFonts w:ascii="Arial" w:cs="Arial" w:eastAsia="Arial" w:hAnsi="Arial"/>
          <w:sz w:val="16"/>
          <w:szCs w:val="16"/>
          <w:color w:val="auto"/>
        </w:rPr>
        <w:t>not believe that there are any matters that may result in litigation that will have a material adverse effect on the financial position of the Company.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The Company has a month-to-month storage lease in Carlsbad, California.</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Note 10 – Subsequent Events</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 xml:space="preserve">Management has evaluated subsequent events, as defined by ASC 855,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 through the date that the financial statements were available to be issued on March 27, 2017.</w:t>
      </w:r>
    </w:p>
    <w:p>
      <w:pPr>
        <w:spacing w:after="0" w:line="170"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Company entered into two additional bridge loan tranches in 2017 for approximately $1,546,000 with an interest rate of 8% and with warrant coverage of 10%.</w:t>
      </w:r>
    </w:p>
    <w:p>
      <w:pPr>
        <w:spacing w:after="0" w:line="17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On December 21, 2016, the Company entered into a merger agreement (“Merger Agreement”) with Soleno Therapeutics, Inc., a Delaware corporation (“Soleno Therapeutics”). On March 7, 2017, the merger was closed and a certificate of merger was executed. Effective on the date of closing, all Company options that were not exercised were terminated and all Company warrants were either exercised in full or, if not exercised in full, terminated, canceled, or automatically converted into shares of Company common stock or preferred stock. All Company common stock were automatically cancelled and retired. All bridge loans were automatically converted into Company Series B Preferred Stock at $0.73 per share. In conjunction with the merger, Soleno Therapeutics issued 18,916,940 shares of Soleno Therapeutics common stock to stockholders of the Company. Soleno Therapeutics held back 913,379 shares of common stock as partial recourse to satisfy indemnification claims, and such shares will be issued to the Company’s stockholders on the 1 year anniversary of the closing of the merger. Soleno Therapeutics is also obligated to issue an additional 4,566,948 shares of common stock to the Company’s stockholders upon the achievement of a development milestone. Assuming that Soleno Therapeutics issues all of the shares of common stock held back and the development milestone is achieved, Soleno Therapeutics would issue a total of 24,397,267 shares of common stock to the Company’s stockholders. Additionally, upon the achievement of certain commercial milestones associated with the sale of the Company’s product in accordance with the terms of the Merger Agreement, Soleno Therapeutics is obligated to make cash earnout payments of up to a maximum of $30 million to the Company’s stockholders. The merger consideration described above will be reduced by any such shares of common stock issuable, or cash earnout payments payable, to the Company’s management carve-out plan participants and other service providers of the Company in each case, in accordance with the terms of the Merger Agreement. As a result of the merger, Soleno Therapeutics obtained 100% ownership of the Company.</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400"/>
          </w:cols>
          <w:pgMar w:left="240" w:top="459" w:right="2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Soleno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CONDENSED COMBINED FINANCIAL STATEMENTS</w:t>
      </w:r>
    </w:p>
    <w:p>
      <w:pPr>
        <w:spacing w:after="0" w:line="117"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On December 22, Soleno Therapeutics, Inc. (formerly known as Capnia, Inc.) (the “Company”) agreed to acquire Essentialis, Inc. (“Essentialis”) a privately-held development stage company. The Company completed the merger on March 7, 2017. The Company acquired all outstanding shares of Essentialis in exchange for 24.4 million shares of Soleno Therapeutics common stock and cash payments contingent on attainment of cumulative future revenue milestones. The following unaudited pro forma condensed combined balance sheet as of December 31, 2016 is based on the historical consolidated financial statements of the Company, the historical financial statements of Essentialis and the impact of the acquisition of Essentialis on the Company’s financial position. The unaudited pro forma condensed combined statement of income present the combined results of the Company’s operations with Essentialis as if the acquisition of the assets had occurred at the beginning of the period presented and include adjustments that are directly attributable to the acquisition, are expected to have a continuing impact on the combined results, and are factually supportable. The unaudited pro forma condensed combined financial statements are not necessarily indicative of what our financial position or results of operations actually would have been had we completed the acquisition of the assets at the dates indicated. In addition, the unaudited pro forma condensed combined financial information does not purport to project the future financial position or operating results of the combined company.</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Unaudited Pro Forma Condensed Financial Statements should be read in conjunction with the:</w:t>
      </w:r>
    </w:p>
    <w:p>
      <w:pPr>
        <w:spacing w:after="0" w:line="131" w:lineRule="exact"/>
        <w:rPr>
          <w:sz w:val="20"/>
          <w:szCs w:val="20"/>
          <w:color w:val="auto"/>
        </w:rPr>
      </w:pPr>
    </w:p>
    <w:p>
      <w:pPr>
        <w:ind w:left="900" w:right="740" w:hanging="325"/>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Separate historical financial statements of the Company as of and for the year ended December 31, 2016 included elsewhere herein this Prospectus;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Separate historical financial statements of Essentialis as of and for the years ended December 31, 2016 and December 31, 2015 as Exhibit 99.1;</w:t>
      </w:r>
    </w:p>
    <w:p>
      <w:pPr>
        <w:spacing w:after="0" w:line="24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transaction has been accounted for as an asset acquisition under the acquisition method of accounting. Accordingly, the identifiable intangible assets acquired have been recorded at fair value (see Note 2). The Company’s historical consolidated financial information has been adjusted to give effect to the impact of the consideration paid in connection with the acquisition. The amounts allocated to the assets in the Unaudited Pro Forma Condensed Combined Balance Sheet are based on the fair value (see Note 2) of the assets as of March 7, 2017. The Company did not assume any liabilities that would be recorded on the Unaudited Pro Forma Condensed Combined Balance Sheet.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00"/>
          </w:cols>
          <w:pgMar w:left="240" w:top="460" w:right="2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and per share data)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70"/>
              <w:spacing w:after="0"/>
              <w:rPr>
                <w:sz w:val="20"/>
                <w:szCs w:val="20"/>
                <w:color w:val="auto"/>
              </w:rPr>
            </w:pPr>
            <w:r>
              <w:rPr>
                <w:rFonts w:ascii="Arial" w:cs="Arial" w:eastAsia="Arial" w:hAnsi="Arial"/>
                <w:sz w:val="14"/>
                <w:szCs w:val="14"/>
                <w:b w:val="1"/>
                <w:bCs w:val="1"/>
                <w:color w:val="auto"/>
                <w:w w:val="96"/>
              </w:rPr>
              <w:t>Proforma</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Soleno Therapeutics</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Essentialis</w:t>
            </w:r>
          </w:p>
        </w:tc>
        <w:tc>
          <w:tcPr>
            <w:tcW w:w="1600" w:type="dxa"/>
            <w:vAlign w:val="bottom"/>
            <w:gridSpan w:val="3"/>
          </w:tcPr>
          <w:p>
            <w:pPr>
              <w:jc w:val="center"/>
              <w:ind w:right="690"/>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70"/>
              <w:spacing w:after="0"/>
              <w:rPr>
                <w:sz w:val="20"/>
                <w:szCs w:val="20"/>
                <w:color w:val="auto"/>
              </w:rPr>
            </w:pPr>
            <w:r>
              <w:rPr>
                <w:rFonts w:ascii="Arial" w:cs="Arial" w:eastAsia="Arial" w:hAnsi="Arial"/>
                <w:sz w:val="14"/>
                <w:szCs w:val="14"/>
                <w:b w:val="1"/>
                <w:bCs w:val="1"/>
                <w:color w:val="auto"/>
                <w:w w:val="92"/>
              </w:rPr>
              <w:t>(Note 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5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2,247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500" w:type="dxa"/>
            <w:vAlign w:val="bottom"/>
            <w:gridSpan w:val="2"/>
          </w:tcPr>
          <w:p>
            <w:pPr>
              <w:jc w:val="right"/>
              <w:ind w:right="490"/>
              <w:spacing w:after="0"/>
              <w:rPr>
                <w:sz w:val="20"/>
                <w:szCs w:val="20"/>
                <w:color w:val="auto"/>
              </w:rPr>
            </w:pPr>
            <w:r>
              <w:rPr>
                <w:rFonts w:ascii="Arial" w:cs="Arial" w:eastAsia="Arial" w:hAnsi="Arial"/>
                <w:sz w:val="18"/>
                <w:szCs w:val="18"/>
                <w:color w:val="auto"/>
              </w:rPr>
              <w:t>1,420(a)</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6,077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5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8,324</w:t>
            </w:r>
          </w:p>
        </w:tc>
        <w:tc>
          <w:tcPr>
            <w:tcW w:w="4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(8,324)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(1,420)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Change in fair value of warrants liabilities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1,667</w:t>
            </w:r>
          </w:p>
        </w:tc>
        <w:tc>
          <w:tcPr>
            <w:tcW w:w="14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50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Cease-use expense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1,586</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5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(6,738)</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(1,222)</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 net of tax effect</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(5,327)</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(5,327)</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5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(12,065)</w:t>
            </w:r>
          </w:p>
        </w:tc>
        <w:tc>
          <w:tcPr>
            <w:tcW w:w="4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(1,222)</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convertible preferred stock</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(3,651)</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50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(15,716)</w:t>
            </w:r>
          </w:p>
        </w:tc>
        <w:tc>
          <w:tcPr>
            <w:tcW w:w="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(1,222</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w:t>
            </w: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w w:val="95"/>
              </w:rPr>
              <w:t>Loss per common share from continuing operations, basic and diluted</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w w:val="92"/>
              </w:rPr>
              <w:t>Loss per common share from discontinued operations, basic and diluted</w:t>
            </w: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(5.07)</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w:t>
            </w: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3,101,496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6,962,794</w:t>
            </w:r>
          </w:p>
        </w:tc>
        <w:tc>
          <w:tcPr>
            <w:tcW w:w="780" w:type="dxa"/>
            <w:vAlign w:val="bottom"/>
          </w:tcPr>
          <w:p>
            <w:pPr>
              <w:spacing w:after="0"/>
              <w:rPr>
                <w:sz w:val="20"/>
                <w:szCs w:val="20"/>
                <w:color w:val="auto"/>
              </w:rPr>
            </w:pPr>
            <w:r>
              <w:rPr>
                <w:rFonts w:ascii="Arial" w:cs="Arial" w:eastAsia="Arial" w:hAnsi="Arial"/>
                <w:sz w:val="18"/>
                <w:szCs w:val="18"/>
                <w:color w:val="auto"/>
              </w:rPr>
              <w:t>(b)(k)(l)</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10,064,290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F-65</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Soleno Therapeutics, Inc. (formerly known as Capnia,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data) (unaudited)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w w:val="93"/>
              </w:rPr>
              <w:t>Proforma</w:t>
            </w: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88"/>
              </w:rPr>
              <w:t>Soleno Therapeutics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Essentialis</w:t>
            </w:r>
          </w:p>
        </w:tc>
        <w:tc>
          <w:tcPr>
            <w:tcW w:w="180" w:type="dxa"/>
            <w:vAlign w:val="bottom"/>
          </w:tcPr>
          <w:p>
            <w:pPr>
              <w:spacing w:after="0"/>
              <w:rPr>
                <w:sz w:val="12"/>
                <w:szCs w:val="12"/>
                <w:color w:val="auto"/>
              </w:rPr>
            </w:pPr>
          </w:p>
        </w:tc>
        <w:tc>
          <w:tcPr>
            <w:tcW w:w="1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Adjustments</w:t>
            </w:r>
          </w:p>
        </w:tc>
        <w:tc>
          <w:tcPr>
            <w:tcW w:w="7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9"/>
              </w:rPr>
              <w:t>(Note 3)</w:t>
            </w: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assets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0" w:type="dxa"/>
            <w:vAlign w:val="bottom"/>
            <w:gridSpan w:val="2"/>
            <w:shd w:val="clear" w:color="auto" w:fill="CCEEFF"/>
          </w:tcPr>
          <w:p>
            <w:pPr>
              <w:jc w:val="right"/>
              <w:ind w:right="226"/>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2,726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10,000(d)(e)(k)(l)</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Current assets held for sale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793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Long-term assets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Goodwill</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intangible assets, net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20,449(f)</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Other assets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assets held for sale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1,596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30,449</w:t>
            </w:r>
          </w:p>
        </w:tc>
        <w:tc>
          <w:tcPr>
            <w:tcW w:w="1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Current liabilities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0" w:type="dxa"/>
            <w:vAlign w:val="bottom"/>
            <w:gridSpan w:val="2"/>
            <w:shd w:val="clear" w:color="auto" w:fill="CCEEFF"/>
          </w:tcPr>
          <w:p>
            <w:pPr>
              <w:jc w:val="right"/>
              <w:ind w:right="226"/>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691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8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(118)(c)(d)</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Accrued interest expense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(1,068)(i)</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payable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4,506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(4,506)(i)</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Accrued compensation and other current liabilities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1,050</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740"/>
              <w:spacing w:after="0"/>
              <w:rPr>
                <w:sz w:val="20"/>
                <w:szCs w:val="20"/>
                <w:color w:val="auto"/>
              </w:rPr>
            </w:pPr>
            <w:r>
              <w:rPr>
                <w:rFonts w:ascii="Arial" w:cs="Arial" w:eastAsia="Arial" w:hAnsi="Arial"/>
                <w:sz w:val="18"/>
                <w:szCs w:val="18"/>
                <w:color w:val="auto"/>
              </w:rPr>
              <w:t>4,136(d)(h)</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liabilities held for sale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4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w:t>
            </w:r>
          </w:p>
        </w:tc>
        <w:tc>
          <w:tcPr>
            <w:tcW w:w="1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Series A warrant liability</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C warrant liability</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Other long-term liabilities</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940"/>
              <w:spacing w:after="0"/>
              <w:rPr>
                <w:sz w:val="20"/>
                <w:szCs w:val="20"/>
                <w:color w:val="auto"/>
              </w:rPr>
            </w:pPr>
            <w:r>
              <w:rPr>
                <w:rFonts w:ascii="Arial" w:cs="Arial" w:eastAsia="Arial" w:hAnsi="Arial"/>
                <w:sz w:val="18"/>
                <w:szCs w:val="18"/>
                <w:color w:val="auto"/>
              </w:rPr>
              <w:t>1,090(g)</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liabilities held for sale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4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6,348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Preferred Stock, $0.001 par value, 10,000,000 shares authorized:</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Series A convertible stock, 10,000 shares designated; zero issued and</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outstanding as of December 31, 2016</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tcPr>
          <w:p>
            <w:pPr>
              <w:ind w:left="340"/>
              <w:spacing w:after="0" w:line="201" w:lineRule="exact"/>
              <w:rPr>
                <w:sz w:val="20"/>
                <w:szCs w:val="20"/>
                <w:color w:val="auto"/>
              </w:rPr>
            </w:pPr>
            <w:r>
              <w:rPr>
                <w:rFonts w:ascii="Arial" w:cs="Arial" w:eastAsia="Arial" w:hAnsi="Arial"/>
                <w:sz w:val="18"/>
                <w:szCs w:val="18"/>
                <w:color w:val="auto"/>
                <w:w w:val="88"/>
              </w:rPr>
              <w:t>Series B convertible stock, 13,780 shares designated; 12,780 issued and</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tcPr>
          <w:p>
            <w:pPr>
              <w:ind w:left="520"/>
              <w:spacing w:after="0"/>
              <w:rPr>
                <w:sz w:val="20"/>
                <w:szCs w:val="20"/>
                <w:color w:val="auto"/>
              </w:rPr>
            </w:pPr>
            <w:r>
              <w:rPr>
                <w:rFonts w:ascii="Arial" w:cs="Arial" w:eastAsia="Arial" w:hAnsi="Arial"/>
                <w:sz w:val="18"/>
                <w:szCs w:val="18"/>
                <w:color w:val="auto"/>
              </w:rPr>
              <w:t>outstanding as of December 31, 2016</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Series A convertible preferred stock, $0.001 par value</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(20)(j)</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Series B convertible preferred stock, $0.001 par value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(12)(j)</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7"/>
              </w:rPr>
              <w:t>Common stock, $0.001 par value, 100,000,000 shares authorized,</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3,357,387 shares issued and outstanding at December 31, 2016</w:t>
            </w: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35(b)(j)(k)(l)</w:t>
            </w:r>
          </w:p>
        </w:tc>
        <w:tc>
          <w:tcPr>
            <w:tcW w:w="8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Common stock, $0.001 par value</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(4)(j)</w:t>
            </w:r>
          </w:p>
        </w:tc>
        <w:tc>
          <w:tcPr>
            <w:tcW w:w="8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paid-in-capital</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101,744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23,814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718(d)(e)(f)(j)</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126,276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(98,312)</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(30,198)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8"/>
                <w:szCs w:val="18"/>
                <w:color w:val="auto"/>
              </w:rPr>
              <w:t>30,198(c)(j)</w:t>
            </w: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(98,312)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stockholders’ equity (deficit)</w:t>
            </w: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30,915</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28,002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30,449</w:t>
            </w:r>
          </w:p>
        </w:tc>
        <w:tc>
          <w:tcPr>
            <w:tcW w:w="11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0" w:type="dxa"/>
            <w:vAlign w:val="bottom"/>
            <w:gridSpan w:val="2"/>
          </w:tcPr>
          <w:p>
            <w:pPr>
              <w:jc w:val="right"/>
              <w:ind w:right="386"/>
              <w:spacing w:after="0"/>
              <w:rPr>
                <w:sz w:val="20"/>
                <w:szCs w:val="20"/>
                <w:color w:val="auto"/>
              </w:rPr>
            </w:pPr>
            <w:r>
              <w:rPr>
                <w:rFonts w:ascii="Arial" w:cs="Arial" w:eastAsia="Arial" w:hAnsi="Arial"/>
                <w:sz w:val="18"/>
                <w:szCs w:val="18"/>
                <w:color w:val="auto"/>
                <w:w w:val="86"/>
              </w:rPr>
              <w:t>F-66</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THE UNAUDITED PRO FORMA CONDENSED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COMBINED FINANCIAL STATEMENTS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Description of transaction and basis of presentation</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On December 22, 2016, Soleno Therapeutics, Inc. (formerly known as Capnia, Inc.), or the Company agreed to acquire Essentialis, Inc. or Essentialis, a privately-held development stage business, to accelerate the development of new therapeutics for selected rare diseases. On March 7, 2017, the Company completed the merger and acquired all outstanding shares of Essentialis in exchange for 24.4 million shares of the Company common stock and future cash payments if certain cumulative revenue milestones are achieved from oral dosage products containing diazoxide choline as an active pharmaceutical ingredient. As of March 7, 2017, the merger was valued at approximately $19.9 million based on the closing price of Soleno Therapeutics common stock and the estimated fair value of the milestone payments. The milestone payments of $10 million and $20 million, when cumulative net sales equal $100 million and $200 million, respectively, were valued at $1.1 million, the discounted present value. The Company’s obligation to make milestone payments expires December 31, 2030. The Company incurred transaction costs of $0.6 million that were capitalized.</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At the close on March 7, 2017, the Company released seventy-seven percent (3.8 million shares) of the stock consideration. Four percent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(0.2 million shares) was held back for one year and reserved for potential breaches of representations and warranties. Twenty percent (0.9 million shares)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Company’s common stock to be issued will be released upon the initiation of a Phase II/III clinical trial on or before December 31, 2020 for an oral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dosage product containing diazoxide choline as an active pharmaceutical ingredient. The Company believes it is likely that such a Phase II/III clinical will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initiated in 2017 and therefore, the fair value of these shares has not been discounted.</w:t>
      </w:r>
    </w:p>
    <w:p>
      <w:pPr>
        <w:spacing w:after="0" w:line="21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In accordance with ASC 2017-01, the Company early adopted the guidance and accounted for the transaction as an asset acquisition, as it was determined that all of the fair value of the gross assets acquired was concentrated in a single identifiable asset.</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Purchase price</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6800" w:type="dxa"/>
            <w:vAlign w:val="bottom"/>
            <w:gridSpan w:val="2"/>
          </w:tcPr>
          <w:p>
            <w:pPr>
              <w:spacing w:after="0"/>
              <w:rPr>
                <w:sz w:val="20"/>
                <w:szCs w:val="20"/>
                <w:color w:val="auto"/>
              </w:rPr>
            </w:pPr>
            <w:r>
              <w:rPr>
                <w:rFonts w:ascii="Arial" w:cs="Arial" w:eastAsia="Arial" w:hAnsi="Arial"/>
                <w:sz w:val="18"/>
                <w:szCs w:val="18"/>
                <w:color w:val="auto"/>
              </w:rPr>
              <w:t>The aggregate purchase price consideration is as follows (in thousands):</w:t>
            </w: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0" w:type="dxa"/>
            <w:vAlign w:val="bottom"/>
            <w:vMerge w:val="restart"/>
          </w:tcPr>
          <w:p>
            <w:pPr>
              <w:spacing w:after="0"/>
              <w:rPr>
                <w:sz w:val="21"/>
                <w:szCs w:val="21"/>
                <w:color w:val="auto"/>
              </w:rPr>
            </w:pPr>
          </w:p>
        </w:tc>
        <w:tc>
          <w:tcPr>
            <w:tcW w:w="58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Soleno Therapeutics Common Stock Consideration</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Fair value of contingent cash consideration</w:t>
            </w:r>
          </w:p>
        </w:tc>
        <w:tc>
          <w:tcPr>
            <w:tcW w:w="12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At the closing, the Company does not anticipate acquiring any assets other than intellectual property, or assuming any significant liabilities. On March 7, 2017, Essentialis had a negative net working capital of approximately $16,000.</w:t>
      </w:r>
    </w:p>
    <w:p>
      <w:pPr>
        <w:spacing w:after="0" w:line="170"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agreement to make milestone payments in the future resulted in the recognition of a contingent consideration, which is recognized at the inception of the transaction, and subsequent changes to the estimated amounts of contingent consideration to be paid will be recognized as charges or credits in the statement of operations. Based on studies which document the likelihood of all drug indications moving from Phase II through approval, the probability of paying the contingent cash consideration was estimated at 15.3%. In the event of success, the fair value of $1,090,125 was determined by discounting the payments at a rate of 21% to 30%, which is commensurate with the Company’s cost of capital.</w:t>
      </w:r>
    </w:p>
    <w:p>
      <w:pPr>
        <w:spacing w:after="0" w:line="173" w:lineRule="exact"/>
        <w:rPr>
          <w:sz w:val="20"/>
          <w:szCs w:val="20"/>
          <w:color w:val="auto"/>
        </w:rPr>
      </w:pPr>
    </w:p>
    <w:p>
      <w:pPr>
        <w:ind w:right="2860" w:firstLine="913"/>
        <w:spacing w:after="0" w:line="277" w:lineRule="auto"/>
        <w:rPr>
          <w:sz w:val="20"/>
          <w:szCs w:val="20"/>
          <w:color w:val="auto"/>
        </w:rPr>
      </w:pPr>
      <w:r>
        <w:rPr>
          <w:rFonts w:ascii="Arial" w:cs="Arial" w:eastAsia="Arial" w:hAnsi="Arial"/>
          <w:sz w:val="18"/>
          <w:szCs w:val="18"/>
          <w:color w:val="auto"/>
        </w:rPr>
        <w:t>For the purpose of this pro forma analysis, the purchase price has been allocated entirely to an identifiable intangible asset based on its estimated fair value,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Patents and intellectual property</w:t>
            </w:r>
          </w:p>
        </w:tc>
        <w:tc>
          <w:tcPr>
            <w:tcW w:w="4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$19,876</w:t>
            </w:r>
          </w:p>
        </w:tc>
        <w:tc>
          <w:tcPr>
            <w:tcW w:w="60" w:type="dxa"/>
            <w:vAlign w:val="bottom"/>
            <w:shd w:val="clear" w:color="auto" w:fill="CCEEFF"/>
          </w:tcPr>
          <w:p>
            <w:pPr>
              <w:spacing w:after="0"/>
              <w:rPr>
                <w:sz w:val="18"/>
                <w:szCs w:val="18"/>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Asset acquisition costs</w:t>
            </w:r>
          </w:p>
        </w:tc>
        <w:tc>
          <w:tcPr>
            <w:tcW w:w="40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9"/>
                <w:szCs w:val="19"/>
                <w:color w:val="auto"/>
              </w:rPr>
            </w:pPr>
          </w:p>
        </w:tc>
      </w:tr>
      <w:tr>
        <w:trPr>
          <w:trHeight w:val="216"/>
        </w:trPr>
        <w:tc>
          <w:tcPr>
            <w:tcW w:w="3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0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20,449</w:t>
            </w:r>
          </w:p>
        </w:tc>
        <w:tc>
          <w:tcPr>
            <w:tcW w:w="60" w:type="dxa"/>
            <w:vAlign w:val="bottom"/>
            <w:shd w:val="clear" w:color="auto" w:fill="CCEEFF"/>
          </w:tcPr>
          <w:p>
            <w:pPr>
              <w:spacing w:after="0"/>
              <w:rPr>
                <w:sz w:val="18"/>
                <w:szCs w:val="18"/>
                <w:color w:val="auto"/>
              </w:rPr>
            </w:pPr>
          </w:p>
        </w:tc>
      </w:tr>
      <w:tr>
        <w:trPr>
          <w:trHeight w:val="20"/>
        </w:trPr>
        <w:tc>
          <w:tcPr>
            <w:tcW w:w="30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020" w:type="dxa"/>
            <w:vAlign w:val="bottom"/>
          </w:tcPr>
          <w:p>
            <w:pPr>
              <w:spacing w:after="0"/>
              <w:rPr>
                <w:sz w:val="24"/>
                <w:szCs w:val="24"/>
                <w:color w:val="auto"/>
              </w:rPr>
            </w:pPr>
          </w:p>
        </w:tc>
        <w:tc>
          <w:tcPr>
            <w:tcW w:w="4740" w:type="dxa"/>
            <w:vAlign w:val="bottom"/>
            <w:gridSpan w:val="3"/>
          </w:tcPr>
          <w:p>
            <w:pPr>
              <w:ind w:left="680"/>
              <w:spacing w:after="0"/>
              <w:rPr>
                <w:sz w:val="20"/>
                <w:szCs w:val="20"/>
                <w:color w:val="auto"/>
              </w:rPr>
            </w:pPr>
            <w:r>
              <w:rPr>
                <w:rFonts w:ascii="Arial" w:cs="Arial" w:eastAsia="Arial" w:hAnsi="Arial"/>
                <w:sz w:val="18"/>
                <w:szCs w:val="18"/>
                <w:color w:val="auto"/>
              </w:rPr>
              <w:t>F-67</w:t>
            </w:r>
          </w:p>
        </w:tc>
      </w:tr>
    </w:tbl>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Pro forma adjustments</w:t>
      </w:r>
    </w:p>
    <w:p>
      <w:pPr>
        <w:spacing w:after="0" w:line="121" w:lineRule="exact"/>
        <w:rPr>
          <w:sz w:val="20"/>
          <w:szCs w:val="20"/>
          <w:color w:val="auto"/>
        </w:rPr>
      </w:pPr>
    </w:p>
    <w:p>
      <w:pPr>
        <w:ind w:right="3300" w:firstLine="913"/>
        <w:spacing w:after="0" w:line="264" w:lineRule="auto"/>
        <w:rPr>
          <w:sz w:val="20"/>
          <w:szCs w:val="20"/>
          <w:color w:val="auto"/>
        </w:rPr>
      </w:pPr>
      <w:r>
        <w:rPr>
          <w:rFonts w:ascii="Arial" w:cs="Arial" w:eastAsia="Arial" w:hAnsi="Arial"/>
          <w:sz w:val="18"/>
          <w:szCs w:val="18"/>
          <w:color w:val="auto"/>
        </w:rPr>
        <w:t>Pro forma adjustments are necessary to reflect the estimated purchase price and the fair valuation of acquired assets. The pro forma adjustments included in the unaudited pro forma condensed combined financial statements are as follows:</w:t>
      </w:r>
    </w:p>
    <w:p>
      <w:pPr>
        <w:spacing w:after="0" w:line="87" w:lineRule="exact"/>
        <w:rPr>
          <w:sz w:val="20"/>
          <w:szCs w:val="20"/>
          <w:color w:val="auto"/>
        </w:rPr>
      </w:pPr>
    </w:p>
    <w:p>
      <w:pPr>
        <w:ind w:left="1480" w:hanging="567"/>
        <w:spacing w:after="0" w:line="277"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for the amortization of the intellectual property acquired over the legal remaining patent life of 14 years assuming that the acquisition of the intellectual property occurred as of January 1, 2015.</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for the issuance of 4.9 million shares of the Company’s common stock in the merger.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to accrue estimated transaction costs of $572,594 for the Company.</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to payoff $1.5 million of liabilities of Essentialis prior to the completion of the merger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for $1.5 million of additional capital required by Essentialis to satisfy all liabilities prior to closing.</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adjustment for the purchase price of the intangible asset of $19.9 million, plus acquisition costs of $572,594 (See Note 2).</w:t>
      </w:r>
    </w:p>
    <w:p>
      <w:pPr>
        <w:spacing w:after="0" w:line="142" w:lineRule="exact"/>
        <w:rPr>
          <w:rFonts w:ascii="Arial" w:cs="Arial" w:eastAsia="Arial" w:hAnsi="Arial"/>
          <w:sz w:val="17"/>
          <w:szCs w:val="17"/>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to record the discounted present value of $1.1 million for the cash milestone payments</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to record the value of $4.2 million for the holdback and milestone shares.</w:t>
      </w:r>
    </w:p>
    <w:p>
      <w:pPr>
        <w:spacing w:after="0" w:line="130" w:lineRule="exact"/>
        <w:rPr>
          <w:rFonts w:ascii="Arial" w:cs="Arial" w:eastAsia="Arial" w:hAnsi="Arial"/>
          <w:sz w:val="18"/>
          <w:szCs w:val="18"/>
          <w:color w:val="auto"/>
        </w:rPr>
      </w:pPr>
    </w:p>
    <w:p>
      <w:pPr>
        <w:ind w:left="1480" w:right="540" w:hanging="567"/>
        <w:spacing w:after="0" w:line="277"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pre-merger adjustment to the balance sheet of Essentialis, Inc. to convert $4.5 million of related party debt and $1.1 million of accrued interest to equity.</w:t>
      </w:r>
    </w:p>
    <w:p>
      <w:pPr>
        <w:spacing w:after="0" w:line="75" w:lineRule="exact"/>
        <w:rPr>
          <w:rFonts w:ascii="Arial" w:cs="Arial" w:eastAsia="Arial" w:hAnsi="Arial"/>
          <w:sz w:val="18"/>
          <w:szCs w:val="18"/>
          <w:color w:val="auto"/>
        </w:rPr>
      </w:pPr>
    </w:p>
    <w:p>
      <w:pPr>
        <w:ind w:left="1480" w:right="660" w:hanging="567"/>
        <w:spacing w:after="0" w:line="277"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adjustment to eliminate the Convertible preferred stock, common stock, additional paid in capital and accumulated deficit of Essentialis.</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issuance of 1.7 million shares of the Company’s common stock at $4.80 per share for gross proceeds of $8 million in the merger financing.</w:t>
      </w:r>
    </w:p>
    <w:p>
      <w:pPr>
        <w:spacing w:after="0" w:line="75" w:lineRule="exact"/>
        <w:rPr>
          <w:rFonts w:ascii="Arial" w:cs="Arial" w:eastAsia="Arial" w:hAnsi="Arial"/>
          <w:sz w:val="18"/>
          <w:szCs w:val="18"/>
          <w:color w:val="auto"/>
        </w:rPr>
      </w:pPr>
    </w:p>
    <w:p>
      <w:pPr>
        <w:ind w:left="1480" w:right="460" w:hanging="567"/>
        <w:spacing w:after="0" w:line="277" w:lineRule="auto"/>
        <w:tabs>
          <w:tab w:leader="none" w:pos="14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issuance of 0.4 million shares of the Company’s common stock at $4.80 per share for gross proceeds of $2 million from Aspire Capital LLC in the Aspire financing.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660" w:firstLine="456"/>
        <w:spacing w:after="0" w:line="342" w:lineRule="auto"/>
        <w:rPr>
          <w:sz w:val="20"/>
          <w:szCs w:val="20"/>
          <w:color w:val="auto"/>
        </w:rPr>
      </w:pPr>
      <w:r>
        <w:rPr>
          <w:rFonts w:ascii="Arial" w:cs="Arial" w:eastAsia="Arial" w:hAnsi="Arial"/>
          <w:sz w:val="16"/>
          <w:szCs w:val="16"/>
          <w:color w:val="auto"/>
        </w:rPr>
        <w:t>The following table sets forth the estimated costs and expenses to be incurred in connection with the issuance and distribution of the securities registered under this Registration Statement. All amounts are estimates except the Securities and Exchange Commission registration fee.</w:t>
      </w:r>
    </w:p>
    <w:p>
      <w:pPr>
        <w:sectPr>
          <w:pgSz w:w="11900" w:h="16838" w:orient="portrait"/>
          <w:cols w:equalWidth="0" w:num="1">
            <w:col w:w="11380"/>
          </w:cols>
          <w:pgMar w:left="240" w:top="460" w:right="27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Legal fees and expenses</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5"/>
          <w:szCs w:val="15"/>
          <w:color w:val="auto"/>
        </w:rPr>
        <w:t>Accountant’s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-108585</wp:posOffset>
            </wp:positionV>
            <wp:extent cx="492252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4"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Amount</w:t>
      </w:r>
    </w:p>
    <w:p>
      <w:pPr>
        <w:spacing w:after="0" w:line="4" w:lineRule="exact"/>
        <w:rPr>
          <w:sz w:val="20"/>
          <w:szCs w:val="20"/>
          <w:color w:val="auto"/>
        </w:rPr>
      </w:pPr>
    </w:p>
    <w:p>
      <w:pPr>
        <w:jc w:val="center"/>
        <w:ind w:right="1840"/>
        <w:spacing w:after="0"/>
        <w:rPr>
          <w:sz w:val="20"/>
          <w:szCs w:val="20"/>
          <w:color w:val="auto"/>
        </w:rPr>
      </w:pPr>
      <w:r>
        <w:rPr>
          <w:rFonts w:ascii="Arial" w:cs="Arial" w:eastAsia="Arial" w:hAnsi="Arial"/>
          <w:sz w:val="14"/>
          <w:szCs w:val="14"/>
          <w:b w:val="1"/>
          <w:bCs w:val="1"/>
          <w:color w:val="auto"/>
        </w:rPr>
        <w:t>to be Paid</w:t>
      </w:r>
    </w:p>
    <w:p>
      <w:pPr>
        <w:spacing w:after="0" w:line="9" w:lineRule="exact"/>
        <w:rPr>
          <w:sz w:val="20"/>
          <w:szCs w:val="20"/>
          <w:color w:val="auto"/>
        </w:rPr>
      </w:pPr>
    </w:p>
    <w:p>
      <w:pPr>
        <w:ind w:left="300" w:hanging="293"/>
        <w:spacing w:after="0"/>
        <w:tabs>
          <w:tab w:leader="none" w:pos="3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3,539</w:t>
      </w:r>
    </w:p>
    <w:p>
      <w:pPr>
        <w:spacing w:after="0" w:line="4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6"/>
          <w:szCs w:val="16"/>
          <w:color w:val="auto"/>
        </w:rPr>
        <w:t>90,000</w:t>
      </w:r>
    </w:p>
    <w:p>
      <w:pPr>
        <w:spacing w:after="0" w:line="3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6"/>
          <w:szCs w:val="16"/>
          <w:color w:val="auto"/>
        </w:rPr>
        <w:t>30,000</w:t>
      </w:r>
    </w:p>
    <w:p>
      <w:pPr>
        <w:spacing w:after="0" w:line="32" w:lineRule="exact"/>
        <w:rPr>
          <w:rFonts w:ascii="Arial" w:cs="Arial" w:eastAsia="Arial" w:hAnsi="Arial"/>
          <w:sz w:val="15"/>
          <w:szCs w:val="15"/>
          <w:color w:val="auto"/>
        </w:rPr>
      </w:pPr>
    </w:p>
    <w:p>
      <w:pPr>
        <w:ind w:left="200"/>
        <w:spacing w:after="0"/>
        <w:rPr>
          <w:rFonts w:ascii="Arial" w:cs="Arial" w:eastAsia="Arial" w:hAnsi="Arial"/>
          <w:sz w:val="15"/>
          <w:szCs w:val="15"/>
          <w:color w:val="auto"/>
        </w:rPr>
      </w:pPr>
      <w:r>
        <w:rPr>
          <w:rFonts w:ascii="Arial" w:cs="Arial" w:eastAsia="Arial" w:hAnsi="Arial"/>
          <w:sz w:val="16"/>
          <w:szCs w:val="16"/>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20320</wp:posOffset>
            </wp:positionV>
            <wp:extent cx="4375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$148,539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46355</wp:posOffset>
            </wp:positionV>
            <wp:extent cx="4375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734" w:lineRule="exact"/>
        <w:rPr>
          <w:sz w:val="20"/>
          <w:szCs w:val="20"/>
          <w:color w:val="auto"/>
        </w:rPr>
      </w:pPr>
    </w:p>
    <w:p>
      <w:pPr>
        <w:sectPr>
          <w:pgSz w:w="11900" w:h="16838" w:orient="portrait"/>
          <w:cols w:equalWidth="0" w:num="2">
            <w:col w:w="8120" w:space="720"/>
            <w:col w:w="2540"/>
          </w:cols>
          <w:pgMar w:left="240" w:top="460" w:right="279" w:bottom="1440" w:gutter="0" w:footer="0" w:header="0"/>
          <w:type w:val="continuous"/>
        </w:sectPr>
      </w:pPr>
    </w:p>
    <w:p>
      <w:pPr>
        <w:ind w:firstLine="456"/>
        <w:spacing w:after="0" w:line="289" w:lineRule="auto"/>
        <w:rPr>
          <w:sz w:val="20"/>
          <w:szCs w:val="20"/>
          <w:color w:val="auto"/>
        </w:rPr>
      </w:pPr>
      <w:r>
        <w:rPr>
          <w:rFonts w:ascii="Arial" w:cs="Arial" w:eastAsia="Arial" w:hAnsi="Arial"/>
          <w:sz w:val="16"/>
          <w:szCs w:val="16"/>
          <w:color w:val="auto"/>
        </w:rPr>
        <w:t>Section 145 of the Delaware General Corporation Law, or the Delaware Law, provides that a corporation may indemnify directors and officers as well as other employees and individuals against expenses (including attorneys’ fees), judgments, fines and amounts paid in settlement in connection with specified actions, suits or proceedings, whether civil, criminal, administrative or investigative (other than an action by or in the right of the corporation — a “derivative action”),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only extends to expenses (including attorneys’ fees) incurred in connection with defense or settlement of such action, and the statute requires court approval before there can be any indemnification where the person seeking indemnification has been found liable to the corporation. Under Section 145 of the Delaware Law, a corporation shall indemnify an agent of the corporation for expenses actually and reasonably incurred if and to the extent such person was successful on the merits in a proceeding or in defense of any claim, issue or matter therein.</w:t>
      </w:r>
    </w:p>
    <w:p>
      <w:pPr>
        <w:spacing w:after="0" w:line="16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Section 145 of the Delaware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of 1933, as amended. Our amended and restated certificate of incorporation and bylaws provide for indemnification of our directors, officers, employees and other agents to the maximum extent permitted by the Delaware Law. We have also entered into agreements with its directors and officers that will require us, among other things, to indemnify them against certain liabilities that may arise by reason of their status or service as directors or officers to the fullest extent not prohibited by law. Insofar as indemnification for liabilities arising under the Securities Act may be permitted to our directors, officers or persons controlling our company pursuant to such provisions, we have been informed that in the opinion of the SEC such indemnification is against public policy as expressed in the Securities Act and is therefore unenforceable.</w:t>
      </w:r>
    </w:p>
    <w:p>
      <w:pPr>
        <w:spacing w:after="0" w:line="17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There is no litigation pending or, to the best of our knowledge, threatened which might or could result in a claim for indemnification by a director or officer.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PIPE Offering</w:t>
      </w:r>
    </w:p>
    <w:p>
      <w:pPr>
        <w:spacing w:after="0" w:line="11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On December 11, 2017, we entered into the Unit Purchase Agreement, with the selling stockholders pursuant to which we sold and issued 8,141,116 immediately separable units at a price per unit of $1.84 for aggregate gross proceeds of approximately $15,000,000. Each unit consisted of one share of our common stock and a warrant to purchase 0.74 of a share of our common stock at an exercise price of $2.00 per share, for an aggregate of 8,141,116 Shares and corresponding warrants to purchase 6,024,425 Warrant Shares.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380"/>
          </w:cols>
          <w:pgMar w:left="240" w:top="460" w:right="279" w:bottom="1440" w:gutter="0" w:footer="0" w:header="0"/>
          <w:type w:val="continuous"/>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Merger with Essentialis, Inc.</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On March 7, 2017, we completed the Merger with Essentialis and issued 3,783,390 shares of common stock to stockholders of Essentialis. We held back 182,658 shares of common stock as partial recourse to satisfy indemnification claims, and such shares will be issued to Essentialis stockholders on the 1 year anniversary of the closing of the Merger. We are also obligated to issue an additional 913,290 shares of common stock to Essentialis stockholders upon the achievement of a development milestone. Assuming that we issues all of the shares of our common stock held back and the development milestone is achieved, we would issue a total of 4,879,461 shares of common stock to Essentialis stockholders.</w:t>
      </w:r>
    </w:p>
    <w:p>
      <w:pPr>
        <w:spacing w:after="0" w:line="173"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we issued 1,666,666 shares of common stock for an investment of $8 million from the completion of the concurrent financing. Concurrently with entering into the Merger Agreement, we agreed to file one or more registration statements, including the registration statement of which this prospectus is a part, as permissible and necessary to register under the Securities Act of 1933, as amended, or the Securities Act, the sale of the shares of our common stock that have been issued to the selling stockholders under the Merger Agreement.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included as part of this Form S-1.</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360"/>
          </w:cols>
          <w:pgMar w:left="240" w:top="460" w:right="29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23"/>
          </w:tcPr>
          <w:p>
            <w:pPr>
              <w:jc w:val="cente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463"/>
        </w:trPr>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gridSpan w:val="39"/>
            <w:vMerge w:val="restart"/>
          </w:tcPr>
          <w:p>
            <w:pPr>
              <w:ind w:left="14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80" w:type="dxa"/>
            <w:vAlign w:val="bottom"/>
            <w:gridSpan w:val="3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auto"/>
            </w:tcBorders>
          </w:tcPr>
          <w:p>
            <w:pPr>
              <w:ind w:left="180"/>
              <w:spacing w:after="0" w:line="170" w:lineRule="exact"/>
              <w:rPr>
                <w:sz w:val="20"/>
                <w:szCs w:val="20"/>
                <w:color w:val="auto"/>
              </w:rPr>
            </w:pPr>
            <w:r>
              <w:rPr>
                <w:rFonts w:ascii="Arial" w:cs="Arial" w:eastAsia="Arial" w:hAnsi="Arial"/>
                <w:sz w:val="18"/>
                <w:szCs w:val="18"/>
                <w:color w:val="auto"/>
              </w:rPr>
              <w:t>2.1</w:t>
            </w:r>
          </w:p>
        </w:tc>
        <w:tc>
          <w:tcPr>
            <w:tcW w:w="200" w:type="dxa"/>
            <w:vAlign w:val="bottom"/>
          </w:tcPr>
          <w:p>
            <w:pPr>
              <w:spacing w:after="0"/>
              <w:rPr>
                <w:sz w:val="14"/>
                <w:szCs w:val="14"/>
                <w:color w:val="auto"/>
              </w:rPr>
            </w:pPr>
          </w:p>
        </w:tc>
        <w:tc>
          <w:tcPr>
            <w:tcW w:w="5380" w:type="dxa"/>
            <w:vAlign w:val="bottom"/>
            <w:tcBorders>
              <w:top w:val="single" w:sz="8" w:color="auto"/>
              <w:bottom w:val="single" w:sz="8" w:color="0000EE"/>
            </w:tcBorders>
            <w:gridSpan w:val="28"/>
          </w:tcPr>
          <w:p>
            <w:pPr>
              <w:spacing w:after="0" w:line="170" w:lineRule="exact"/>
              <w:rPr>
                <w:rFonts w:ascii="Arial" w:cs="Arial" w:eastAsia="Arial" w:hAnsi="Arial"/>
                <w:sz w:val="18"/>
                <w:szCs w:val="18"/>
                <w:color w:val="0000EE"/>
                <w:w w:val="88"/>
              </w:rPr>
            </w:pPr>
            <w:hyperlink r:id="rId233">
              <w:r>
                <w:rPr>
                  <w:rFonts w:ascii="Arial" w:cs="Arial" w:eastAsia="Arial" w:hAnsi="Arial"/>
                  <w:sz w:val="18"/>
                  <w:szCs w:val="18"/>
                  <w:color w:val="0000EE"/>
                  <w:w w:val="88"/>
                </w:rPr>
                <w:t>Stock Purchase Agreement, dated as of July 18, 2017, and between Soleno</w:t>
              </w:r>
            </w:hyperlink>
          </w:p>
        </w:tc>
        <w:tc>
          <w:tcPr>
            <w:tcW w:w="560" w:type="dxa"/>
            <w:vAlign w:val="bottom"/>
            <w:tcBorders>
              <w:top w:val="single" w:sz="8" w:color="auto"/>
            </w:tcBorders>
            <w:gridSpan w:val="16"/>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40" w:type="dxa"/>
            <w:vAlign w:val="bottom"/>
            <w:gridSpan w:val="44"/>
          </w:tcPr>
          <w:p>
            <w:pPr>
              <w:spacing w:after="0" w:line="196" w:lineRule="exact"/>
              <w:rPr>
                <w:rFonts w:ascii="Arial" w:cs="Arial" w:eastAsia="Arial" w:hAnsi="Arial"/>
                <w:sz w:val="18"/>
                <w:szCs w:val="18"/>
                <w:color w:val="0000EE"/>
                <w:w w:val="99"/>
              </w:rPr>
            </w:pPr>
            <w:hyperlink r:id="rId233">
              <w:r>
                <w:rPr>
                  <w:rFonts w:ascii="Arial" w:cs="Arial" w:eastAsia="Arial" w:hAnsi="Arial"/>
                  <w:sz w:val="18"/>
                  <w:szCs w:val="18"/>
                  <w:color w:val="0000EE"/>
                  <w:w w:val="99"/>
                </w:rPr>
                <w:t>Therapeutics, Inc., a Delaware corporation, and NeoForce Holdings, Inc. 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233">
              <w:r>
                <w:rPr>
                  <w:rFonts w:ascii="Arial" w:cs="Arial" w:eastAsia="Arial" w:hAnsi="Arial"/>
                  <w:sz w:val="18"/>
                  <w:szCs w:val="18"/>
                  <w:color w:val="0000EE"/>
                  <w:w w:val="89"/>
                </w:rPr>
                <w:t>Delaware corporation</w:t>
              </w:r>
            </w:hyperlink>
          </w:p>
        </w:tc>
        <w:tc>
          <w:tcPr>
            <w:tcW w:w="3800" w:type="dxa"/>
            <w:vAlign w:val="bottom"/>
            <w:tcBorders>
              <w:top w:val="single" w:sz="8" w:color="0000EE"/>
            </w:tcBorders>
            <w:gridSpan w:val="26"/>
          </w:tcPr>
          <w:p>
            <w:pPr>
              <w:spacing w:after="0"/>
              <w:rPr>
                <w:sz w:val="17"/>
                <w:szCs w:val="17"/>
                <w:color w:val="auto"/>
              </w:rPr>
            </w:pPr>
          </w:p>
        </w:tc>
        <w:tc>
          <w:tcPr>
            <w:tcW w:w="58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2"/>
                <w:szCs w:val="22"/>
                <w:color w:val="auto"/>
              </w:rPr>
            </w:pPr>
          </w:p>
        </w:tc>
        <w:tc>
          <w:tcPr>
            <w:tcW w:w="5700" w:type="dxa"/>
            <w:vAlign w:val="bottom"/>
            <w:tcBorders>
              <w:bottom w:val="single" w:sz="8" w:color="0000EE"/>
            </w:tcBorders>
            <w:gridSpan w:val="36"/>
          </w:tcPr>
          <w:p>
            <w:pPr>
              <w:spacing w:after="0"/>
              <w:rPr>
                <w:rFonts w:ascii="Arial" w:cs="Arial" w:eastAsia="Arial" w:hAnsi="Arial"/>
                <w:sz w:val="18"/>
                <w:szCs w:val="18"/>
                <w:color w:val="0000EE"/>
                <w:w w:val="89"/>
              </w:rPr>
            </w:pPr>
            <w:hyperlink r:id="rId234">
              <w:r>
                <w:rPr>
                  <w:rFonts w:ascii="Arial" w:cs="Arial" w:eastAsia="Arial" w:hAnsi="Arial"/>
                  <w:sz w:val="18"/>
                  <w:szCs w:val="18"/>
                  <w:color w:val="0000EE"/>
                  <w:w w:val="89"/>
                </w:rPr>
                <w:t>Joint Venture Agreement, dated as of December 4, 2017, by and among Soleno</w:t>
              </w:r>
            </w:hyperlink>
          </w:p>
        </w:tc>
        <w:tc>
          <w:tcPr>
            <w:tcW w:w="24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40" w:type="dxa"/>
            <w:vAlign w:val="bottom"/>
            <w:gridSpan w:val="44"/>
          </w:tcPr>
          <w:p>
            <w:pPr>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Therapeutics, Inc., Capnia, Inc., and OptAsia Healthcare Limited</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2"/>
                <w:szCs w:val="22"/>
                <w:color w:val="auto"/>
              </w:rPr>
            </w:pPr>
          </w:p>
        </w:tc>
        <w:tc>
          <w:tcPr>
            <w:tcW w:w="5540" w:type="dxa"/>
            <w:vAlign w:val="bottom"/>
            <w:tcBorders>
              <w:bottom w:val="single" w:sz="8" w:color="0000EE"/>
            </w:tcBorders>
            <w:gridSpan w:val="31"/>
          </w:tcPr>
          <w:p>
            <w:pPr>
              <w:spacing w:after="0"/>
              <w:rPr>
                <w:rFonts w:ascii="Arial" w:cs="Arial" w:eastAsia="Arial" w:hAnsi="Arial"/>
                <w:sz w:val="18"/>
                <w:szCs w:val="18"/>
                <w:color w:val="0000EE"/>
                <w:w w:val="88"/>
              </w:rPr>
            </w:pPr>
            <w:hyperlink r:id="rId235">
              <w:r>
                <w:rPr>
                  <w:rFonts w:ascii="Arial" w:cs="Arial" w:eastAsia="Arial" w:hAnsi="Arial"/>
                  <w:sz w:val="18"/>
                  <w:szCs w:val="18"/>
                  <w:color w:val="0000EE"/>
                  <w:w w:val="88"/>
                </w:rPr>
                <w:t>PRC IP Purchase Agreement, dated as of December 4, 2017, by and between</w:t>
              </w:r>
            </w:hyperlink>
          </w:p>
        </w:tc>
        <w:tc>
          <w:tcPr>
            <w:tcW w:w="400" w:type="dxa"/>
            <w:vAlign w:val="bottom"/>
            <w:gridSpan w:val="1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235">
              <w:r>
                <w:rPr>
                  <w:rFonts w:ascii="Arial" w:cs="Arial" w:eastAsia="Arial" w:hAnsi="Arial"/>
                  <w:sz w:val="18"/>
                  <w:szCs w:val="18"/>
                  <w:color w:val="0000EE"/>
                  <w:w w:val="91"/>
                </w:rPr>
                <w:t>OptAsia Healthcare Limited and Capnia, Inc.</w:t>
              </w:r>
            </w:hyperlink>
          </w:p>
        </w:tc>
        <w:tc>
          <w:tcPr>
            <w:tcW w:w="2680" w:type="dxa"/>
            <w:vAlign w:val="bottom"/>
            <w:gridSpan w:val="29"/>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2"/>
                <w:szCs w:val="22"/>
                <w:color w:val="auto"/>
              </w:rPr>
            </w:pPr>
          </w:p>
        </w:tc>
        <w:tc>
          <w:tcPr>
            <w:tcW w:w="5580" w:type="dxa"/>
            <w:vAlign w:val="bottom"/>
            <w:tcBorders>
              <w:bottom w:val="single" w:sz="8" w:color="0000EE"/>
            </w:tcBorders>
            <w:gridSpan w:val="32"/>
          </w:tcPr>
          <w:p>
            <w:pPr>
              <w:spacing w:after="0"/>
              <w:rPr>
                <w:rFonts w:ascii="Arial" w:cs="Arial" w:eastAsia="Arial" w:hAnsi="Arial"/>
                <w:sz w:val="18"/>
                <w:szCs w:val="18"/>
                <w:color w:val="0000EE"/>
                <w:w w:val="89"/>
              </w:rPr>
            </w:pPr>
            <w:hyperlink r:id="rId236">
              <w:r>
                <w:rPr>
                  <w:rFonts w:ascii="Arial" w:cs="Arial" w:eastAsia="Arial" w:hAnsi="Arial"/>
                  <w:sz w:val="18"/>
                  <w:szCs w:val="18"/>
                  <w:color w:val="0000EE"/>
                  <w:w w:val="89"/>
                </w:rPr>
                <w:t>Transition Services Agreement, dated as of December 4, 2017, by and among</w:t>
              </w:r>
            </w:hyperlink>
          </w:p>
        </w:tc>
        <w:tc>
          <w:tcPr>
            <w:tcW w:w="36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40" w:type="dxa"/>
            <w:vAlign w:val="bottom"/>
            <w:gridSpan w:val="44"/>
          </w:tcPr>
          <w:p>
            <w:pPr>
              <w:spacing w:after="0" w:line="196" w:lineRule="exact"/>
              <w:rPr>
                <w:rFonts w:ascii="Arial" w:cs="Arial" w:eastAsia="Arial" w:hAnsi="Arial"/>
                <w:sz w:val="18"/>
                <w:szCs w:val="18"/>
                <w:color w:val="0000EE"/>
                <w:w w:val="96"/>
              </w:rPr>
            </w:pPr>
            <w:hyperlink r:id="rId236">
              <w:r>
                <w:rPr>
                  <w:rFonts w:ascii="Arial" w:cs="Arial" w:eastAsia="Arial" w:hAnsi="Arial"/>
                  <w:sz w:val="18"/>
                  <w:szCs w:val="18"/>
                  <w:color w:val="0000EE"/>
                  <w:w w:val="96"/>
                </w:rPr>
                <w:t>Soleno Therapeutics, Inc., a Delaware corporation, Capnia, Inc. and OptAsia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236">
              <w:r>
                <w:rPr>
                  <w:rFonts w:ascii="Arial" w:cs="Arial" w:eastAsia="Arial" w:hAnsi="Arial"/>
                  <w:sz w:val="18"/>
                  <w:szCs w:val="18"/>
                  <w:color w:val="0000EE"/>
                  <w:w w:val="90"/>
                </w:rPr>
                <w:t>Healthcare, Ltd., a Hong Kong company</w:t>
              </w:r>
            </w:hyperlink>
          </w:p>
        </w:tc>
        <w:tc>
          <w:tcPr>
            <w:tcW w:w="2600" w:type="dxa"/>
            <w:vAlign w:val="bottom"/>
            <w:tcBorders>
              <w:top w:val="single" w:sz="8" w:color="0000EE"/>
            </w:tcBorders>
            <w:gridSpan w:val="19"/>
          </w:tcPr>
          <w:p>
            <w:pPr>
              <w:spacing w:after="0"/>
              <w:rPr>
                <w:sz w:val="17"/>
                <w:szCs w:val="17"/>
                <w:color w:val="auto"/>
              </w:rPr>
            </w:pPr>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2"/>
                <w:szCs w:val="22"/>
                <w:color w:val="auto"/>
              </w:rPr>
            </w:pPr>
          </w:p>
        </w:tc>
        <w:tc>
          <w:tcPr>
            <w:tcW w:w="5940" w:type="dxa"/>
            <w:vAlign w:val="bottom"/>
            <w:gridSpan w:val="44"/>
          </w:tcPr>
          <w:p>
            <w:pPr>
              <w:spacing w:after="0"/>
              <w:rPr>
                <w:rFonts w:ascii="Arial" w:cs="Arial" w:eastAsia="Arial" w:hAnsi="Arial"/>
                <w:sz w:val="18"/>
                <w:szCs w:val="18"/>
                <w:color w:val="0000EE"/>
                <w:w w:val="93"/>
              </w:rPr>
            </w:pPr>
            <w:hyperlink r:id="rId237">
              <w:r>
                <w:rPr>
                  <w:rFonts w:ascii="Arial" w:cs="Arial" w:eastAsia="Arial" w:hAnsi="Arial"/>
                  <w:sz w:val="18"/>
                  <w:szCs w:val="18"/>
                  <w:color w:val="0000EE"/>
                  <w:w w:val="93"/>
                </w:rPr>
                <w:t>Amended and Restated Certificate of Incorporation of Soleno Therapeutics, Inc.</w:t>
              </w:r>
            </w:hyperlink>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5760" w:type="dxa"/>
            <w:vAlign w:val="bottom"/>
            <w:tcBorders>
              <w:top w:val="single" w:sz="8" w:color="0000EE"/>
            </w:tcBorders>
            <w:gridSpan w:val="37"/>
          </w:tcPr>
          <w:p>
            <w:pPr>
              <w:spacing w:after="0"/>
              <w:rPr>
                <w:rFonts w:ascii="Arial" w:cs="Arial" w:eastAsia="Arial" w:hAnsi="Arial"/>
                <w:sz w:val="18"/>
                <w:szCs w:val="18"/>
                <w:color w:val="0000EE"/>
              </w:rPr>
            </w:pPr>
            <w:hyperlink r:id="rId238">
              <w:r>
                <w:rPr>
                  <w:rFonts w:ascii="Arial" w:cs="Arial" w:eastAsia="Arial" w:hAnsi="Arial"/>
                  <w:sz w:val="18"/>
                  <w:szCs w:val="18"/>
                  <w:color w:val="0000EE"/>
                </w:rPr>
                <w:t>Amended and Restated Bylaws of Soleno Therapeutics, Inc.</w:t>
              </w:r>
            </w:hyperlink>
          </w:p>
        </w:tc>
        <w:tc>
          <w:tcPr>
            <w:tcW w:w="1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22"/>
                <w:szCs w:val="22"/>
                <w:color w:val="auto"/>
              </w:rPr>
            </w:pPr>
          </w:p>
        </w:tc>
        <w:tc>
          <w:tcPr>
            <w:tcW w:w="5940" w:type="dxa"/>
            <w:vAlign w:val="bottom"/>
            <w:gridSpan w:val="44"/>
          </w:tcPr>
          <w:p>
            <w:pPr>
              <w:spacing w:after="0"/>
              <w:rPr>
                <w:rFonts w:ascii="Arial" w:cs="Arial" w:eastAsia="Arial" w:hAnsi="Arial"/>
                <w:sz w:val="18"/>
                <w:szCs w:val="18"/>
                <w:color w:val="0000EE"/>
                <w:w w:val="98"/>
              </w:rPr>
            </w:pPr>
            <w:hyperlink r:id="rId239">
              <w:r>
                <w:rPr>
                  <w:rFonts w:ascii="Arial" w:cs="Arial" w:eastAsia="Arial" w:hAnsi="Arial"/>
                  <w:sz w:val="18"/>
                  <w:szCs w:val="18"/>
                  <w:color w:val="0000EE"/>
                  <w:w w:val="98"/>
                </w:rPr>
                <w:t>Certificate of Designation of Preferences, Rights and Limitations of Series A</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239">
              <w:r>
                <w:rPr>
                  <w:rFonts w:ascii="Arial" w:cs="Arial" w:eastAsia="Arial" w:hAnsi="Arial"/>
                  <w:sz w:val="18"/>
                  <w:szCs w:val="18"/>
                  <w:color w:val="0000EE"/>
                  <w:w w:val="90"/>
                </w:rPr>
                <w:t>Convertible Preferred Stock.</w:t>
              </w:r>
            </w:hyperlink>
          </w:p>
        </w:tc>
        <w:tc>
          <w:tcPr>
            <w:tcW w:w="3460" w:type="dxa"/>
            <w:vAlign w:val="bottom"/>
            <w:tcBorders>
              <w:top w:val="single" w:sz="8" w:color="0000EE"/>
            </w:tcBorders>
            <w:gridSpan w:val="25"/>
          </w:tcPr>
          <w:p>
            <w:pPr>
              <w:spacing w:after="0"/>
              <w:rPr>
                <w:sz w:val="17"/>
                <w:szCs w:val="17"/>
                <w:color w:val="auto"/>
              </w:rPr>
            </w:pPr>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2"/>
                <w:szCs w:val="22"/>
                <w:color w:val="auto"/>
              </w:rPr>
            </w:pPr>
          </w:p>
        </w:tc>
        <w:tc>
          <w:tcPr>
            <w:tcW w:w="5940" w:type="dxa"/>
            <w:vAlign w:val="bottom"/>
            <w:gridSpan w:val="44"/>
          </w:tcPr>
          <w:p>
            <w:pPr>
              <w:spacing w:after="0"/>
              <w:rPr>
                <w:rFonts w:ascii="Arial" w:cs="Arial" w:eastAsia="Arial" w:hAnsi="Arial"/>
                <w:sz w:val="18"/>
                <w:szCs w:val="18"/>
                <w:color w:val="0000EE"/>
                <w:w w:val="98"/>
              </w:rPr>
            </w:pPr>
            <w:hyperlink r:id="rId240">
              <w:r>
                <w:rPr>
                  <w:rFonts w:ascii="Arial" w:cs="Arial" w:eastAsia="Arial" w:hAnsi="Arial"/>
                  <w:sz w:val="18"/>
                  <w:szCs w:val="18"/>
                  <w:color w:val="0000EE"/>
                  <w:w w:val="98"/>
                </w:rPr>
                <w:t>Certificate of Designation of Preferences, Rights and Limitations of Series B</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2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240">
              <w:r>
                <w:rPr>
                  <w:rFonts w:ascii="Arial" w:cs="Arial" w:eastAsia="Arial" w:hAnsi="Arial"/>
                  <w:sz w:val="18"/>
                  <w:szCs w:val="18"/>
                  <w:color w:val="0000EE"/>
                </w:rPr>
                <w:t>Convertible Preferred Stock</w:t>
              </w:r>
            </w:hyperlink>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2"/>
                <w:szCs w:val="22"/>
                <w:color w:val="auto"/>
              </w:rPr>
            </w:pPr>
          </w:p>
        </w:tc>
        <w:tc>
          <w:tcPr>
            <w:tcW w:w="1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r:id="rId241">
              <w:r>
                <w:rPr>
                  <w:rFonts w:ascii="Arial" w:cs="Arial" w:eastAsia="Arial" w:hAnsi="Arial"/>
                  <w:sz w:val="18"/>
                  <w:szCs w:val="18"/>
                  <w:color w:val="0000EE"/>
                  <w:w w:val="91"/>
                </w:rPr>
                <w:t>Certificate of Amendment</w:t>
              </w:r>
            </w:hyperlink>
          </w:p>
        </w:tc>
        <w:tc>
          <w:tcPr>
            <w:tcW w:w="120" w:type="dxa"/>
            <w:vAlign w:val="bottom"/>
            <w:tcBorders>
              <w:top w:val="single" w:sz="8" w:color="0000EE"/>
            </w:tcBorders>
          </w:tcPr>
          <w:p>
            <w:pPr>
              <w:spacing w:after="0"/>
              <w:rPr>
                <w:sz w:val="22"/>
                <w:szCs w:val="22"/>
                <w:color w:val="auto"/>
              </w:rPr>
            </w:pPr>
          </w:p>
        </w:tc>
        <w:tc>
          <w:tcPr>
            <w:tcW w:w="3940" w:type="dxa"/>
            <w:vAlign w:val="bottom"/>
            <w:gridSpan w:val="4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2"/>
                <w:szCs w:val="22"/>
                <w:color w:val="auto"/>
              </w:rPr>
            </w:pPr>
          </w:p>
        </w:tc>
        <w:tc>
          <w:tcPr>
            <w:tcW w:w="4360" w:type="dxa"/>
            <w:vAlign w:val="bottom"/>
            <w:tcBorders>
              <w:bottom w:val="single" w:sz="8" w:color="0000EE"/>
            </w:tcBorders>
            <w:gridSpan w:val="24"/>
          </w:tcPr>
          <w:p>
            <w:pPr>
              <w:spacing w:after="0"/>
              <w:rPr>
                <w:rFonts w:ascii="Arial" w:cs="Arial" w:eastAsia="Arial" w:hAnsi="Arial"/>
                <w:sz w:val="18"/>
                <w:szCs w:val="18"/>
                <w:color w:val="0000EE"/>
                <w:w w:val="92"/>
              </w:rPr>
            </w:pPr>
            <w:hyperlink r:id="rId242">
              <w:r>
                <w:rPr>
                  <w:rFonts w:ascii="Arial" w:cs="Arial" w:eastAsia="Arial" w:hAnsi="Arial"/>
                  <w:sz w:val="18"/>
                  <w:szCs w:val="18"/>
                  <w:color w:val="0000EE"/>
                  <w:w w:val="92"/>
                </w:rPr>
                <w:t>Certificate of Amendment to the Certificate of Incorporation</w:t>
              </w:r>
            </w:hyperlink>
          </w:p>
        </w:tc>
        <w:tc>
          <w:tcPr>
            <w:tcW w:w="1580" w:type="dxa"/>
            <w:vAlign w:val="bottom"/>
            <w:gridSpan w:val="2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22"/>
                <w:szCs w:val="22"/>
                <w:color w:val="auto"/>
              </w:rPr>
            </w:pPr>
          </w:p>
        </w:tc>
        <w:tc>
          <w:tcPr>
            <w:tcW w:w="2780" w:type="dxa"/>
            <w:vAlign w:val="bottom"/>
            <w:tcBorders>
              <w:bottom w:val="single" w:sz="8" w:color="0000EE"/>
            </w:tcBorders>
            <w:gridSpan w:val="10"/>
          </w:tcPr>
          <w:p>
            <w:pPr>
              <w:spacing w:after="0"/>
              <w:rPr>
                <w:rFonts w:ascii="Arial" w:cs="Arial" w:eastAsia="Arial" w:hAnsi="Arial"/>
                <w:sz w:val="18"/>
                <w:szCs w:val="18"/>
                <w:color w:val="0000EE"/>
                <w:w w:val="91"/>
              </w:rPr>
            </w:pPr>
            <w:hyperlink r:id="rId243">
              <w:r>
                <w:rPr>
                  <w:rFonts w:ascii="Arial" w:cs="Arial" w:eastAsia="Arial" w:hAnsi="Arial"/>
                  <w:sz w:val="18"/>
                  <w:szCs w:val="18"/>
                  <w:color w:val="0000EE"/>
                  <w:w w:val="91"/>
                </w:rPr>
                <w:t>Form of the common stock certificate.</w:t>
              </w:r>
            </w:hyperlink>
          </w:p>
        </w:tc>
        <w:tc>
          <w:tcPr>
            <w:tcW w:w="3160" w:type="dxa"/>
            <w:vAlign w:val="bottom"/>
            <w:gridSpan w:val="3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2"/>
                <w:szCs w:val="22"/>
                <w:color w:val="auto"/>
              </w:rPr>
            </w:pPr>
          </w:p>
        </w:tc>
        <w:tc>
          <w:tcPr>
            <w:tcW w:w="5820" w:type="dxa"/>
            <w:vAlign w:val="bottom"/>
            <w:tcBorders>
              <w:bottom w:val="single" w:sz="8" w:color="0000EE"/>
            </w:tcBorders>
            <w:gridSpan w:val="40"/>
          </w:tcPr>
          <w:p>
            <w:pPr>
              <w:spacing w:after="0"/>
              <w:rPr>
                <w:rFonts w:ascii="Arial" w:cs="Arial" w:eastAsia="Arial" w:hAnsi="Arial"/>
                <w:sz w:val="18"/>
                <w:szCs w:val="18"/>
                <w:color w:val="0000EE"/>
                <w:w w:val="91"/>
              </w:rPr>
            </w:pPr>
            <w:hyperlink r:id="rId244">
              <w:r>
                <w:rPr>
                  <w:rFonts w:ascii="Arial" w:cs="Arial" w:eastAsia="Arial" w:hAnsi="Arial"/>
                  <w:sz w:val="18"/>
                  <w:szCs w:val="18"/>
                  <w:color w:val="0000EE"/>
                  <w:w w:val="91"/>
                </w:rPr>
                <w:t>Amended And Restated Investors’ Rights Agreement, dated March 20, 2008, by</w:t>
              </w:r>
            </w:hyperlink>
          </w:p>
        </w:tc>
        <w:tc>
          <w:tcPr>
            <w:tcW w:w="12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40" w:type="dxa"/>
            <w:vAlign w:val="bottom"/>
            <w:gridSpan w:val="44"/>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and among Soleno Therapeutics, Inc. and certain holders of the Soleno</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44">
              <w:r>
                <w:rPr>
                  <w:rFonts w:ascii="Arial" w:cs="Arial" w:eastAsia="Arial" w:hAnsi="Arial"/>
                  <w:sz w:val="18"/>
                  <w:szCs w:val="18"/>
                  <w:color w:val="0000EE"/>
                </w:rPr>
                <w:t>Therapeutics, Inc.’s capital stock named therein.</w:t>
              </w:r>
            </w:hyperlink>
          </w:p>
        </w:tc>
        <w:tc>
          <w:tcPr>
            <w:tcW w:w="8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2"/>
                <w:szCs w:val="22"/>
                <w:color w:val="auto"/>
              </w:rPr>
            </w:pPr>
          </w:p>
        </w:tc>
        <w:tc>
          <w:tcPr>
            <w:tcW w:w="2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r:id="rId245">
              <w:r>
                <w:rPr>
                  <w:rFonts w:ascii="Arial" w:cs="Arial" w:eastAsia="Arial" w:hAnsi="Arial"/>
                  <w:sz w:val="18"/>
                  <w:szCs w:val="18"/>
                  <w:color w:val="0000EE"/>
                  <w:w w:val="90"/>
                </w:rPr>
                <w:t>Form of Series A Warrant Agreement.</w:t>
              </w:r>
            </w:hyperlink>
          </w:p>
        </w:tc>
        <w:tc>
          <w:tcPr>
            <w:tcW w:w="700" w:type="dxa"/>
            <w:vAlign w:val="bottom"/>
            <w:tcBorders>
              <w:top w:val="single" w:sz="8" w:color="0000EE"/>
            </w:tcBorders>
            <w:gridSpan w:val="8"/>
          </w:tcPr>
          <w:p>
            <w:pPr>
              <w:spacing w:after="0"/>
              <w:rPr>
                <w:sz w:val="22"/>
                <w:szCs w:val="22"/>
                <w:color w:val="auto"/>
              </w:rPr>
            </w:pPr>
          </w:p>
        </w:tc>
        <w:tc>
          <w:tcPr>
            <w:tcW w:w="2480" w:type="dxa"/>
            <w:vAlign w:val="bottom"/>
            <w:gridSpan w:val="27"/>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2"/>
                <w:szCs w:val="22"/>
                <w:color w:val="auto"/>
              </w:rPr>
            </w:pPr>
          </w:p>
        </w:tc>
        <w:tc>
          <w:tcPr>
            <w:tcW w:w="2940" w:type="dxa"/>
            <w:vAlign w:val="bottom"/>
            <w:tcBorders>
              <w:bottom w:val="single" w:sz="8" w:color="0000EE"/>
            </w:tcBorders>
            <w:gridSpan w:val="12"/>
          </w:tcPr>
          <w:p>
            <w:pPr>
              <w:spacing w:after="0"/>
              <w:rPr>
                <w:rFonts w:ascii="Arial" w:cs="Arial" w:eastAsia="Arial" w:hAnsi="Arial"/>
                <w:sz w:val="18"/>
                <w:szCs w:val="18"/>
                <w:color w:val="0000EE"/>
                <w:w w:val="90"/>
              </w:rPr>
            </w:pPr>
            <w:hyperlink r:id="rId246">
              <w:r>
                <w:rPr>
                  <w:rFonts w:ascii="Arial" w:cs="Arial" w:eastAsia="Arial" w:hAnsi="Arial"/>
                  <w:sz w:val="18"/>
                  <w:szCs w:val="18"/>
                  <w:color w:val="0000EE"/>
                  <w:w w:val="90"/>
                </w:rPr>
                <w:t>Form of the Series A Warrant certificate.</w:t>
              </w:r>
            </w:hyperlink>
          </w:p>
        </w:tc>
        <w:tc>
          <w:tcPr>
            <w:tcW w:w="3000" w:type="dxa"/>
            <w:vAlign w:val="bottom"/>
            <w:gridSpan w:val="3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2"/>
                <w:szCs w:val="22"/>
                <w:color w:val="auto"/>
              </w:rPr>
            </w:pPr>
          </w:p>
        </w:tc>
        <w:tc>
          <w:tcPr>
            <w:tcW w:w="3380" w:type="dxa"/>
            <w:vAlign w:val="bottom"/>
            <w:tcBorders>
              <w:bottom w:val="single" w:sz="8" w:color="0000EE"/>
            </w:tcBorders>
            <w:gridSpan w:val="16"/>
          </w:tcPr>
          <w:p>
            <w:pPr>
              <w:spacing w:after="0"/>
              <w:rPr>
                <w:rFonts w:ascii="Arial" w:cs="Arial" w:eastAsia="Arial" w:hAnsi="Arial"/>
                <w:sz w:val="18"/>
                <w:szCs w:val="18"/>
                <w:color w:val="0000EE"/>
                <w:w w:val="91"/>
              </w:rPr>
            </w:pPr>
            <w:hyperlink r:id="rId247">
              <w:r>
                <w:rPr>
                  <w:rFonts w:ascii="Arial" w:cs="Arial" w:eastAsia="Arial" w:hAnsi="Arial"/>
                  <w:sz w:val="18"/>
                  <w:szCs w:val="18"/>
                  <w:color w:val="0000EE"/>
                  <w:w w:val="91"/>
                </w:rPr>
                <w:t>Form of Underwriters’ Compensation Warrant.</w:t>
              </w:r>
            </w:hyperlink>
          </w:p>
        </w:tc>
        <w:tc>
          <w:tcPr>
            <w:tcW w:w="2560" w:type="dxa"/>
            <w:vAlign w:val="bottom"/>
            <w:gridSpan w:val="28"/>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2"/>
                <w:szCs w:val="22"/>
                <w:color w:val="auto"/>
              </w:rPr>
            </w:pPr>
          </w:p>
        </w:tc>
        <w:tc>
          <w:tcPr>
            <w:tcW w:w="5920" w:type="dxa"/>
            <w:vAlign w:val="bottom"/>
            <w:tcBorders>
              <w:bottom w:val="single" w:sz="8" w:color="0000EE"/>
            </w:tcBorders>
            <w:gridSpan w:val="43"/>
          </w:tcPr>
          <w:p>
            <w:pPr>
              <w:spacing w:after="0"/>
              <w:rPr>
                <w:rFonts w:ascii="Arial" w:cs="Arial" w:eastAsia="Arial" w:hAnsi="Arial"/>
                <w:sz w:val="18"/>
                <w:szCs w:val="18"/>
                <w:color w:val="0000EE"/>
                <w:w w:val="91"/>
              </w:rPr>
            </w:pPr>
            <w:hyperlink r:id="rId248">
              <w:r>
                <w:rPr>
                  <w:rFonts w:ascii="Arial" w:cs="Arial" w:eastAsia="Arial" w:hAnsi="Arial"/>
                  <w:sz w:val="18"/>
                  <w:szCs w:val="18"/>
                  <w:color w:val="0000EE"/>
                  <w:w w:val="91"/>
                </w:rPr>
                <w:t>Form of Convertible Promissory Note issued in February 2010 and March 2010 in</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48">
              <w:r>
                <w:rPr>
                  <w:rFonts w:ascii="Arial" w:cs="Arial" w:eastAsia="Arial" w:hAnsi="Arial"/>
                  <w:sz w:val="18"/>
                  <w:szCs w:val="18"/>
                  <w:color w:val="0000EE"/>
                  <w:w w:val="91"/>
                </w:rPr>
                <w:t>connection with the 2010 convertible note financing.</w:t>
              </w:r>
            </w:hyperlink>
          </w:p>
        </w:tc>
        <w:tc>
          <w:tcPr>
            <w:tcW w:w="21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22"/>
                <w:szCs w:val="22"/>
                <w:color w:val="auto"/>
              </w:rPr>
            </w:pPr>
          </w:p>
        </w:tc>
        <w:tc>
          <w:tcPr>
            <w:tcW w:w="5800" w:type="dxa"/>
            <w:vAlign w:val="bottom"/>
            <w:tcBorders>
              <w:bottom w:val="single" w:sz="8" w:color="0000EE"/>
            </w:tcBorders>
            <w:gridSpan w:val="39"/>
          </w:tcPr>
          <w:p>
            <w:pPr>
              <w:spacing w:after="0"/>
              <w:rPr>
                <w:rFonts w:ascii="Arial" w:cs="Arial" w:eastAsia="Arial" w:hAnsi="Arial"/>
                <w:sz w:val="18"/>
                <w:szCs w:val="18"/>
                <w:color w:val="0000EE"/>
                <w:w w:val="89"/>
              </w:rPr>
            </w:pPr>
            <w:hyperlink r:id="rId249">
              <w:r>
                <w:rPr>
                  <w:rFonts w:ascii="Arial" w:cs="Arial" w:eastAsia="Arial" w:hAnsi="Arial"/>
                  <w:sz w:val="18"/>
                  <w:szCs w:val="18"/>
                  <w:color w:val="0000EE"/>
                  <w:w w:val="89"/>
                </w:rPr>
                <w:t>Form of Warrant to Purchase Shares issued in February 2010 and March 2010 in</w:t>
              </w:r>
            </w:hyperlink>
          </w:p>
        </w:tc>
        <w:tc>
          <w:tcPr>
            <w:tcW w:w="1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49">
              <w:r>
                <w:rPr>
                  <w:rFonts w:ascii="Arial" w:cs="Arial" w:eastAsia="Arial" w:hAnsi="Arial"/>
                  <w:sz w:val="18"/>
                  <w:szCs w:val="18"/>
                  <w:color w:val="0000EE"/>
                  <w:w w:val="91"/>
                </w:rPr>
                <w:t>connection with the 2010 convertible note financing.</w:t>
              </w:r>
            </w:hyperlink>
          </w:p>
        </w:tc>
        <w:tc>
          <w:tcPr>
            <w:tcW w:w="21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2"/>
                <w:szCs w:val="22"/>
                <w:color w:val="auto"/>
              </w:rPr>
            </w:pPr>
          </w:p>
        </w:tc>
        <w:tc>
          <w:tcPr>
            <w:tcW w:w="5640" w:type="dxa"/>
            <w:vAlign w:val="bottom"/>
            <w:tcBorders>
              <w:bottom w:val="single" w:sz="8" w:color="0000EE"/>
            </w:tcBorders>
            <w:gridSpan w:val="34"/>
          </w:tcPr>
          <w:p>
            <w:pPr>
              <w:spacing w:after="0"/>
              <w:rPr>
                <w:rFonts w:ascii="Arial" w:cs="Arial" w:eastAsia="Arial" w:hAnsi="Arial"/>
                <w:sz w:val="18"/>
                <w:szCs w:val="18"/>
                <w:color w:val="0000EE"/>
                <w:w w:val="91"/>
              </w:rPr>
            </w:pPr>
            <w:hyperlink r:id="rId250">
              <w:r>
                <w:rPr>
                  <w:rFonts w:ascii="Arial" w:cs="Arial" w:eastAsia="Arial" w:hAnsi="Arial"/>
                  <w:sz w:val="18"/>
                  <w:szCs w:val="18"/>
                  <w:color w:val="0000EE"/>
                  <w:w w:val="91"/>
                </w:rPr>
                <w:t>Form of Convertible Promissory Note issued in November 2010 in connection</w:t>
              </w:r>
            </w:hyperlink>
          </w:p>
        </w:tc>
        <w:tc>
          <w:tcPr>
            <w:tcW w:w="30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50">
              <w:r>
                <w:rPr>
                  <w:rFonts w:ascii="Arial" w:cs="Arial" w:eastAsia="Arial" w:hAnsi="Arial"/>
                  <w:sz w:val="18"/>
                  <w:szCs w:val="18"/>
                  <w:color w:val="0000EE"/>
                  <w:w w:val="91"/>
                </w:rPr>
                <w:t>with the 2010 convertible note financing.</w:t>
              </w:r>
            </w:hyperlink>
          </w:p>
        </w:tc>
        <w:tc>
          <w:tcPr>
            <w:tcW w:w="2980" w:type="dxa"/>
            <w:vAlign w:val="bottom"/>
            <w:gridSpan w:val="31"/>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2"/>
                <w:szCs w:val="22"/>
                <w:color w:val="auto"/>
              </w:rPr>
            </w:pPr>
          </w:p>
        </w:tc>
        <w:tc>
          <w:tcPr>
            <w:tcW w:w="5880" w:type="dxa"/>
            <w:vAlign w:val="bottom"/>
            <w:tcBorders>
              <w:bottom w:val="single" w:sz="8" w:color="0000EE"/>
            </w:tcBorders>
            <w:gridSpan w:val="42"/>
          </w:tcPr>
          <w:p>
            <w:pPr>
              <w:spacing w:after="0"/>
              <w:rPr>
                <w:rFonts w:ascii="Arial" w:cs="Arial" w:eastAsia="Arial" w:hAnsi="Arial"/>
                <w:sz w:val="18"/>
                <w:szCs w:val="18"/>
                <w:color w:val="0000EE"/>
                <w:w w:val="89"/>
              </w:rPr>
            </w:pPr>
            <w:hyperlink r:id="rId251">
              <w:r>
                <w:rPr>
                  <w:rFonts w:ascii="Arial" w:cs="Arial" w:eastAsia="Arial" w:hAnsi="Arial"/>
                  <w:sz w:val="18"/>
                  <w:szCs w:val="18"/>
                  <w:color w:val="0000EE"/>
                  <w:w w:val="89"/>
                </w:rPr>
                <w:t>Form of Warrant to Purchase Shares issued in November 2010 in connection with</w:t>
              </w:r>
            </w:hyperlink>
          </w:p>
        </w:tc>
        <w:tc>
          <w:tcPr>
            <w:tcW w:w="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251">
              <w:r>
                <w:rPr>
                  <w:rFonts w:ascii="Arial" w:cs="Arial" w:eastAsia="Arial" w:hAnsi="Arial"/>
                  <w:sz w:val="18"/>
                  <w:szCs w:val="18"/>
                  <w:color w:val="0000EE"/>
                  <w:w w:val="90"/>
                </w:rPr>
                <w:t>the 2010 convertible note financing.</w:t>
              </w:r>
            </w:hyperlink>
          </w:p>
        </w:tc>
        <w:tc>
          <w:tcPr>
            <w:tcW w:w="3340" w:type="dxa"/>
            <w:vAlign w:val="bottom"/>
            <w:gridSpan w:val="37"/>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4.10</w:t>
            </w:r>
          </w:p>
        </w:tc>
        <w:tc>
          <w:tcPr>
            <w:tcW w:w="200" w:type="dxa"/>
            <w:vAlign w:val="bottom"/>
          </w:tcPr>
          <w:p>
            <w:pPr>
              <w:spacing w:after="0"/>
              <w:rPr>
                <w:sz w:val="22"/>
                <w:szCs w:val="22"/>
                <w:color w:val="auto"/>
              </w:rPr>
            </w:pPr>
          </w:p>
        </w:tc>
        <w:tc>
          <w:tcPr>
            <w:tcW w:w="5940" w:type="dxa"/>
            <w:vAlign w:val="bottom"/>
            <w:gridSpan w:val="44"/>
          </w:tcPr>
          <w:p>
            <w:pPr>
              <w:spacing w:after="0"/>
              <w:rPr>
                <w:rFonts w:ascii="Arial" w:cs="Arial" w:eastAsia="Arial" w:hAnsi="Arial"/>
                <w:sz w:val="18"/>
                <w:szCs w:val="18"/>
                <w:color w:val="0000EE"/>
                <w:w w:val="93"/>
              </w:rPr>
            </w:pPr>
            <w:hyperlink r:id="rId252">
              <w:r>
                <w:rPr>
                  <w:rFonts w:ascii="Arial" w:cs="Arial" w:eastAsia="Arial" w:hAnsi="Arial"/>
                  <w:sz w:val="18"/>
                  <w:szCs w:val="18"/>
                  <w:color w:val="0000EE"/>
                  <w:w w:val="93"/>
                </w:rPr>
                <w:t>Form of Convertible Promissory Note issued in January 2012 in connection with</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52">
              <w:r>
                <w:rPr>
                  <w:rFonts w:ascii="Arial" w:cs="Arial" w:eastAsia="Arial" w:hAnsi="Arial"/>
                  <w:sz w:val="18"/>
                  <w:szCs w:val="18"/>
                  <w:color w:val="0000EE"/>
                  <w:w w:val="90"/>
                </w:rPr>
                <w:t>the 2012 convertible note financing.</w:t>
              </w:r>
            </w:hyperlink>
          </w:p>
        </w:tc>
        <w:tc>
          <w:tcPr>
            <w:tcW w:w="3200" w:type="dxa"/>
            <w:vAlign w:val="bottom"/>
            <w:tcBorders>
              <w:top w:val="single" w:sz="8" w:color="0000EE"/>
            </w:tcBorders>
            <w:gridSpan w:val="32"/>
          </w:tcPr>
          <w:p>
            <w:pPr>
              <w:spacing w:after="0"/>
              <w:rPr>
                <w:sz w:val="17"/>
                <w:szCs w:val="17"/>
                <w:color w:val="auto"/>
              </w:rPr>
            </w:pPr>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4.11</w:t>
            </w:r>
          </w:p>
        </w:tc>
        <w:tc>
          <w:tcPr>
            <w:tcW w:w="200" w:type="dxa"/>
            <w:vAlign w:val="bottom"/>
          </w:tcPr>
          <w:p>
            <w:pPr>
              <w:spacing w:after="0"/>
              <w:rPr>
                <w:sz w:val="22"/>
                <w:szCs w:val="22"/>
                <w:color w:val="auto"/>
              </w:rPr>
            </w:pPr>
          </w:p>
        </w:tc>
        <w:tc>
          <w:tcPr>
            <w:tcW w:w="5680" w:type="dxa"/>
            <w:vAlign w:val="bottom"/>
            <w:tcBorders>
              <w:bottom w:val="single" w:sz="8" w:color="0000EE"/>
            </w:tcBorders>
            <w:gridSpan w:val="35"/>
          </w:tcPr>
          <w:p>
            <w:pPr>
              <w:spacing w:after="0"/>
              <w:rPr>
                <w:rFonts w:ascii="Arial" w:cs="Arial" w:eastAsia="Arial" w:hAnsi="Arial"/>
                <w:sz w:val="18"/>
                <w:szCs w:val="18"/>
                <w:color w:val="0000EE"/>
                <w:w w:val="89"/>
              </w:rPr>
            </w:pPr>
            <w:hyperlink r:id="rId253">
              <w:r>
                <w:rPr>
                  <w:rFonts w:ascii="Arial" w:cs="Arial" w:eastAsia="Arial" w:hAnsi="Arial"/>
                  <w:sz w:val="18"/>
                  <w:szCs w:val="18"/>
                  <w:color w:val="0000EE"/>
                  <w:w w:val="89"/>
                </w:rPr>
                <w:t>Form of Warrant to Purchase Shares issued in January 2012 in connection with</w:t>
              </w:r>
            </w:hyperlink>
          </w:p>
        </w:tc>
        <w:tc>
          <w:tcPr>
            <w:tcW w:w="2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34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r:id="rId253">
              <w:r>
                <w:rPr>
                  <w:rFonts w:ascii="Arial" w:cs="Arial" w:eastAsia="Arial" w:hAnsi="Arial"/>
                  <w:sz w:val="18"/>
                  <w:szCs w:val="18"/>
                  <w:color w:val="0000EE"/>
                  <w:w w:val="90"/>
                </w:rPr>
                <w:t>Soleno Therapeutics, Inc.’s 2012 convertible note financing.</w:t>
              </w:r>
            </w:hyperlink>
          </w:p>
        </w:tc>
        <w:tc>
          <w:tcPr>
            <w:tcW w:w="1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4.12</w:t>
            </w:r>
          </w:p>
        </w:tc>
        <w:tc>
          <w:tcPr>
            <w:tcW w:w="200" w:type="dxa"/>
            <w:vAlign w:val="bottom"/>
          </w:tcPr>
          <w:p>
            <w:pPr>
              <w:spacing w:after="0"/>
              <w:rPr>
                <w:sz w:val="22"/>
                <w:szCs w:val="22"/>
                <w:color w:val="auto"/>
              </w:rPr>
            </w:pPr>
          </w:p>
        </w:tc>
        <w:tc>
          <w:tcPr>
            <w:tcW w:w="5940" w:type="dxa"/>
            <w:vAlign w:val="bottom"/>
            <w:gridSpan w:val="44"/>
          </w:tcPr>
          <w:p>
            <w:pPr>
              <w:spacing w:after="0"/>
              <w:rPr>
                <w:rFonts w:ascii="Arial" w:cs="Arial" w:eastAsia="Arial" w:hAnsi="Arial"/>
                <w:sz w:val="18"/>
                <w:szCs w:val="18"/>
                <w:color w:val="0000EE"/>
                <w:w w:val="96"/>
              </w:rPr>
            </w:pPr>
            <w:hyperlink r:id="rId254">
              <w:r>
                <w:rPr>
                  <w:rFonts w:ascii="Arial" w:cs="Arial" w:eastAsia="Arial" w:hAnsi="Arial"/>
                  <w:sz w:val="18"/>
                  <w:szCs w:val="18"/>
                  <w:color w:val="0000EE"/>
                  <w:w w:val="96"/>
                </w:rPr>
                <w:t>Form of Convertible Promissory Note issued in July 2012 and August 2012 in</w:t>
              </w:r>
            </w:hyperlink>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Borders>
              <w:top w:val="single" w:sz="8" w:color="0000EE"/>
              <w:bottom w:val="single" w:sz="8" w:color="0000EE"/>
            </w:tcBorders>
            <w:gridSpan w:val="20"/>
          </w:tcPr>
          <w:p>
            <w:pPr>
              <w:spacing w:after="0" w:line="196" w:lineRule="exact"/>
              <w:rPr>
                <w:rFonts w:ascii="Arial" w:cs="Arial" w:eastAsia="Arial" w:hAnsi="Arial"/>
                <w:sz w:val="18"/>
                <w:szCs w:val="18"/>
                <w:color w:val="0000EE"/>
                <w:w w:val="91"/>
              </w:rPr>
            </w:pPr>
            <w:hyperlink r:id="rId254">
              <w:r>
                <w:rPr>
                  <w:rFonts w:ascii="Arial" w:cs="Arial" w:eastAsia="Arial" w:hAnsi="Arial"/>
                  <w:sz w:val="18"/>
                  <w:szCs w:val="18"/>
                  <w:color w:val="0000EE"/>
                  <w:w w:val="91"/>
                </w:rPr>
                <w:t>connection with the 2012 convertible note financing.</w:t>
              </w:r>
            </w:hyperlink>
          </w:p>
        </w:tc>
        <w:tc>
          <w:tcPr>
            <w:tcW w:w="1800" w:type="dxa"/>
            <w:vAlign w:val="bottom"/>
            <w:tcBorders>
              <w:top w:val="single" w:sz="8" w:color="0000EE"/>
            </w:tcBorders>
            <w:gridSpan w:val="13"/>
          </w:tcPr>
          <w:p>
            <w:pPr>
              <w:spacing w:after="0"/>
              <w:rPr>
                <w:sz w:val="17"/>
                <w:szCs w:val="17"/>
                <w:color w:val="auto"/>
              </w:rPr>
            </w:pPr>
          </w:p>
        </w:tc>
        <w:tc>
          <w:tcPr>
            <w:tcW w:w="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4.13</w:t>
            </w:r>
          </w:p>
        </w:tc>
        <w:tc>
          <w:tcPr>
            <w:tcW w:w="200" w:type="dxa"/>
            <w:vAlign w:val="bottom"/>
          </w:tcPr>
          <w:p>
            <w:pPr>
              <w:spacing w:after="0"/>
              <w:rPr>
                <w:sz w:val="22"/>
                <w:szCs w:val="22"/>
                <w:color w:val="auto"/>
              </w:rPr>
            </w:pPr>
          </w:p>
        </w:tc>
        <w:tc>
          <w:tcPr>
            <w:tcW w:w="5500" w:type="dxa"/>
            <w:vAlign w:val="bottom"/>
            <w:tcBorders>
              <w:bottom w:val="single" w:sz="8" w:color="0000EE"/>
            </w:tcBorders>
            <w:gridSpan w:val="29"/>
          </w:tcPr>
          <w:p>
            <w:pPr>
              <w:spacing w:after="0"/>
              <w:rPr>
                <w:rFonts w:ascii="Arial" w:cs="Arial" w:eastAsia="Arial" w:hAnsi="Arial"/>
                <w:sz w:val="18"/>
                <w:szCs w:val="18"/>
                <w:color w:val="0000EE"/>
                <w:w w:val="89"/>
              </w:rPr>
            </w:pPr>
            <w:hyperlink r:id="rId255">
              <w:r>
                <w:rPr>
                  <w:rFonts w:ascii="Arial" w:cs="Arial" w:eastAsia="Arial" w:hAnsi="Arial"/>
                  <w:sz w:val="18"/>
                  <w:szCs w:val="18"/>
                  <w:color w:val="0000EE"/>
                  <w:w w:val="89"/>
                </w:rPr>
                <w:t>Form of Warrant to Purchase Shares issued in July 2012 and August 2012 in</w:t>
              </w:r>
            </w:hyperlink>
          </w:p>
        </w:tc>
        <w:tc>
          <w:tcPr>
            <w:tcW w:w="44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2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55">
              <w:r>
                <w:rPr>
                  <w:rFonts w:ascii="Arial" w:cs="Arial" w:eastAsia="Arial" w:hAnsi="Arial"/>
                  <w:sz w:val="18"/>
                  <w:szCs w:val="18"/>
                  <w:color w:val="0000EE"/>
                  <w:w w:val="91"/>
                </w:rPr>
                <w:t>connection with the 2012 convertible note financing.</w:t>
              </w:r>
            </w:hyperlink>
          </w:p>
        </w:tc>
        <w:tc>
          <w:tcPr>
            <w:tcW w:w="212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4.14</w:t>
            </w:r>
          </w:p>
        </w:tc>
        <w:tc>
          <w:tcPr>
            <w:tcW w:w="200" w:type="dxa"/>
            <w:vAlign w:val="bottom"/>
          </w:tcPr>
          <w:p>
            <w:pPr>
              <w:spacing w:after="0"/>
              <w:rPr>
                <w:sz w:val="22"/>
                <w:szCs w:val="22"/>
                <w:color w:val="auto"/>
              </w:rPr>
            </w:pPr>
          </w:p>
        </w:tc>
        <w:tc>
          <w:tcPr>
            <w:tcW w:w="5780" w:type="dxa"/>
            <w:vAlign w:val="bottom"/>
            <w:tcBorders>
              <w:bottom w:val="single" w:sz="8" w:color="0000EE"/>
            </w:tcBorders>
            <w:gridSpan w:val="38"/>
          </w:tcPr>
          <w:p>
            <w:pPr>
              <w:spacing w:after="0"/>
              <w:rPr>
                <w:rFonts w:ascii="Arial" w:cs="Arial" w:eastAsia="Arial" w:hAnsi="Arial"/>
                <w:sz w:val="18"/>
                <w:szCs w:val="18"/>
                <w:color w:val="0000EE"/>
                <w:w w:val="91"/>
              </w:rPr>
            </w:pPr>
            <w:hyperlink r:id="rId256">
              <w:r>
                <w:rPr>
                  <w:rFonts w:ascii="Arial" w:cs="Arial" w:eastAsia="Arial" w:hAnsi="Arial"/>
                  <w:sz w:val="18"/>
                  <w:szCs w:val="18"/>
                  <w:color w:val="0000EE"/>
                  <w:w w:val="91"/>
                </w:rPr>
                <w:t>Form of Convertible Promissory Note issued in April, August and October 2014</w:t>
              </w:r>
            </w:hyperlink>
          </w:p>
        </w:tc>
        <w:tc>
          <w:tcPr>
            <w:tcW w:w="1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8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256">
              <w:r>
                <w:rPr>
                  <w:rFonts w:ascii="Arial" w:cs="Arial" w:eastAsia="Arial" w:hAnsi="Arial"/>
                  <w:sz w:val="18"/>
                  <w:szCs w:val="18"/>
                  <w:color w:val="0000EE"/>
                  <w:w w:val="91"/>
                </w:rPr>
                <w:t>in connection with the 2014 convertible note financing.</w:t>
              </w:r>
            </w:hyperlink>
          </w:p>
        </w:tc>
        <w:tc>
          <w:tcPr>
            <w:tcW w:w="19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4.15</w:t>
            </w:r>
          </w:p>
        </w:tc>
        <w:tc>
          <w:tcPr>
            <w:tcW w:w="200" w:type="dxa"/>
            <w:vAlign w:val="bottom"/>
          </w:tcPr>
          <w:p>
            <w:pPr>
              <w:spacing w:after="0"/>
              <w:rPr>
                <w:sz w:val="22"/>
                <w:szCs w:val="22"/>
                <w:color w:val="auto"/>
              </w:rPr>
            </w:pPr>
          </w:p>
        </w:tc>
        <w:tc>
          <w:tcPr>
            <w:tcW w:w="5840" w:type="dxa"/>
            <w:vAlign w:val="bottom"/>
            <w:tcBorders>
              <w:bottom w:val="single" w:sz="8" w:color="0000EE"/>
            </w:tcBorders>
            <w:gridSpan w:val="41"/>
          </w:tcPr>
          <w:p>
            <w:pPr>
              <w:spacing w:after="0"/>
              <w:rPr>
                <w:rFonts w:ascii="Arial" w:cs="Arial" w:eastAsia="Arial" w:hAnsi="Arial"/>
                <w:sz w:val="18"/>
                <w:szCs w:val="18"/>
                <w:color w:val="0000EE"/>
                <w:w w:val="90"/>
              </w:rPr>
            </w:pPr>
            <w:hyperlink r:id="rId257">
              <w:r>
                <w:rPr>
                  <w:rFonts w:ascii="Arial" w:cs="Arial" w:eastAsia="Arial" w:hAnsi="Arial"/>
                  <w:sz w:val="18"/>
                  <w:szCs w:val="18"/>
                  <w:color w:val="0000EE"/>
                  <w:w w:val="90"/>
                </w:rPr>
                <w:t>Form of Warrant to Purchase Shares issued in April, August and October 2014 in</w:t>
              </w:r>
            </w:hyperlink>
          </w:p>
        </w:tc>
        <w:tc>
          <w:tcPr>
            <w:tcW w:w="100" w:type="dxa"/>
            <w:vAlign w:val="bottom"/>
            <w:gridSpan w:val="3"/>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57">
              <w:r>
                <w:rPr>
                  <w:rFonts w:ascii="Arial" w:cs="Arial" w:eastAsia="Arial" w:hAnsi="Arial"/>
                  <w:sz w:val="18"/>
                  <w:szCs w:val="18"/>
                  <w:color w:val="0000EE"/>
                  <w:w w:val="91"/>
                </w:rPr>
                <w:t>connection with the 2014 convertible note financing.</w:t>
              </w:r>
            </w:hyperlink>
          </w:p>
        </w:tc>
        <w:tc>
          <w:tcPr>
            <w:tcW w:w="214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4.16</w:t>
            </w:r>
          </w:p>
        </w:tc>
        <w:tc>
          <w:tcPr>
            <w:tcW w:w="200" w:type="dxa"/>
            <w:vAlign w:val="bottom"/>
          </w:tcPr>
          <w:p>
            <w:pPr>
              <w:spacing w:after="0"/>
              <w:rPr>
                <w:sz w:val="22"/>
                <w:szCs w:val="22"/>
                <w:color w:val="auto"/>
              </w:rPr>
            </w:pPr>
          </w:p>
        </w:tc>
        <w:tc>
          <w:tcPr>
            <w:tcW w:w="5940" w:type="dxa"/>
            <w:vAlign w:val="bottom"/>
            <w:gridSpan w:val="44"/>
          </w:tcPr>
          <w:p>
            <w:pPr>
              <w:spacing w:after="0"/>
              <w:rPr>
                <w:rFonts w:ascii="Arial" w:cs="Arial" w:eastAsia="Arial" w:hAnsi="Arial"/>
                <w:sz w:val="18"/>
                <w:szCs w:val="18"/>
                <w:color w:val="0000EE"/>
              </w:rPr>
            </w:pPr>
            <w:hyperlink r:id="rId258">
              <w:r>
                <w:rPr>
                  <w:rFonts w:ascii="Arial" w:cs="Arial" w:eastAsia="Arial" w:hAnsi="Arial"/>
                  <w:sz w:val="18"/>
                  <w:szCs w:val="18"/>
                  <w:color w:val="0000EE"/>
                </w:rPr>
                <w:t>Form of unit certificate.</w:t>
              </w:r>
            </w:hyperlink>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180" w:type="dxa"/>
            <w:vAlign w:val="bottom"/>
            <w:gridSpan w:val="2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4.17</w:t>
            </w:r>
          </w:p>
        </w:tc>
        <w:tc>
          <w:tcPr>
            <w:tcW w:w="200" w:type="dxa"/>
            <w:vAlign w:val="bottom"/>
          </w:tcPr>
          <w:p>
            <w:pPr>
              <w:spacing w:after="0"/>
              <w:rPr>
                <w:sz w:val="22"/>
                <w:szCs w:val="22"/>
                <w:color w:val="auto"/>
              </w:rPr>
            </w:pPr>
          </w:p>
        </w:tc>
        <w:tc>
          <w:tcPr>
            <w:tcW w:w="2740" w:type="dxa"/>
            <w:vAlign w:val="bottom"/>
            <w:tcBorders>
              <w:bottom w:val="single" w:sz="8" w:color="0000EE"/>
            </w:tcBorders>
            <w:gridSpan w:val="8"/>
          </w:tcPr>
          <w:p>
            <w:pPr>
              <w:spacing w:after="0"/>
              <w:rPr>
                <w:rFonts w:ascii="Arial" w:cs="Arial" w:eastAsia="Arial" w:hAnsi="Arial"/>
                <w:sz w:val="18"/>
                <w:szCs w:val="18"/>
                <w:color w:val="0000EE"/>
                <w:w w:val="90"/>
              </w:rPr>
            </w:pPr>
            <w:hyperlink r:id="rId259">
              <w:r>
                <w:rPr>
                  <w:rFonts w:ascii="Arial" w:cs="Arial" w:eastAsia="Arial" w:hAnsi="Arial"/>
                  <w:sz w:val="18"/>
                  <w:szCs w:val="18"/>
                  <w:color w:val="0000EE"/>
                  <w:w w:val="90"/>
                </w:rPr>
                <w:t>Form of Series B Warrant Agreement.</w:t>
              </w:r>
            </w:hyperlink>
          </w:p>
        </w:tc>
        <w:tc>
          <w:tcPr>
            <w:tcW w:w="3200" w:type="dxa"/>
            <w:vAlign w:val="bottom"/>
            <w:gridSpan w:val="3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4.18</w:t>
            </w:r>
          </w:p>
        </w:tc>
        <w:tc>
          <w:tcPr>
            <w:tcW w:w="200" w:type="dxa"/>
            <w:vAlign w:val="bottom"/>
          </w:tcPr>
          <w:p>
            <w:pPr>
              <w:spacing w:after="0"/>
              <w:rPr>
                <w:sz w:val="22"/>
                <w:szCs w:val="22"/>
                <w:color w:val="auto"/>
              </w:rPr>
            </w:pPr>
          </w:p>
        </w:tc>
        <w:tc>
          <w:tcPr>
            <w:tcW w:w="2920" w:type="dxa"/>
            <w:vAlign w:val="bottom"/>
            <w:tcBorders>
              <w:bottom w:val="single" w:sz="8" w:color="0000EE"/>
            </w:tcBorders>
            <w:gridSpan w:val="11"/>
          </w:tcPr>
          <w:p>
            <w:pPr>
              <w:spacing w:after="0"/>
              <w:rPr>
                <w:rFonts w:ascii="Arial" w:cs="Arial" w:eastAsia="Arial" w:hAnsi="Arial"/>
                <w:sz w:val="18"/>
                <w:szCs w:val="18"/>
                <w:color w:val="0000EE"/>
                <w:w w:val="90"/>
              </w:rPr>
            </w:pPr>
            <w:hyperlink r:id="rId260">
              <w:r>
                <w:rPr>
                  <w:rFonts w:ascii="Arial" w:cs="Arial" w:eastAsia="Arial" w:hAnsi="Arial"/>
                  <w:sz w:val="18"/>
                  <w:szCs w:val="18"/>
                  <w:color w:val="0000EE"/>
                  <w:w w:val="90"/>
                </w:rPr>
                <w:t>Form of the Series B Warrant certificate.</w:t>
              </w:r>
            </w:hyperlink>
          </w:p>
        </w:tc>
        <w:tc>
          <w:tcPr>
            <w:tcW w:w="3020" w:type="dxa"/>
            <w:vAlign w:val="bottom"/>
            <w:gridSpan w:val="3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4.19</w:t>
            </w:r>
          </w:p>
        </w:tc>
        <w:tc>
          <w:tcPr>
            <w:tcW w:w="200" w:type="dxa"/>
            <w:vAlign w:val="bottom"/>
          </w:tcPr>
          <w:p>
            <w:pPr>
              <w:spacing w:after="0"/>
              <w:rPr>
                <w:sz w:val="22"/>
                <w:szCs w:val="22"/>
                <w:color w:val="auto"/>
              </w:rPr>
            </w:pPr>
          </w:p>
        </w:tc>
        <w:tc>
          <w:tcPr>
            <w:tcW w:w="3000" w:type="dxa"/>
            <w:vAlign w:val="bottom"/>
            <w:tcBorders>
              <w:bottom w:val="single" w:sz="8" w:color="0000EE"/>
            </w:tcBorders>
            <w:gridSpan w:val="14"/>
          </w:tcPr>
          <w:p>
            <w:pPr>
              <w:spacing w:after="0"/>
              <w:rPr>
                <w:rFonts w:ascii="Arial" w:cs="Arial" w:eastAsia="Arial" w:hAnsi="Arial"/>
                <w:sz w:val="18"/>
                <w:szCs w:val="18"/>
                <w:color w:val="0000EE"/>
                <w:w w:val="89"/>
              </w:rPr>
            </w:pPr>
            <w:hyperlink r:id="rId261">
              <w:r>
                <w:rPr>
                  <w:rFonts w:ascii="Arial" w:cs="Arial" w:eastAsia="Arial" w:hAnsi="Arial"/>
                  <w:sz w:val="18"/>
                  <w:szCs w:val="18"/>
                  <w:color w:val="0000EE"/>
                  <w:w w:val="89"/>
                </w:rPr>
                <w:t>Form of the Series C Warrant Agreement.</w:t>
              </w:r>
            </w:hyperlink>
          </w:p>
        </w:tc>
        <w:tc>
          <w:tcPr>
            <w:tcW w:w="2940" w:type="dxa"/>
            <w:vAlign w:val="bottom"/>
            <w:gridSpan w:val="30"/>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4.20</w:t>
            </w:r>
          </w:p>
        </w:tc>
        <w:tc>
          <w:tcPr>
            <w:tcW w:w="200" w:type="dxa"/>
            <w:vAlign w:val="bottom"/>
          </w:tcPr>
          <w:p>
            <w:pPr>
              <w:spacing w:after="0"/>
              <w:rPr>
                <w:sz w:val="22"/>
                <w:szCs w:val="22"/>
                <w:color w:val="auto"/>
              </w:rPr>
            </w:pPr>
          </w:p>
        </w:tc>
        <w:tc>
          <w:tcPr>
            <w:tcW w:w="2920" w:type="dxa"/>
            <w:vAlign w:val="bottom"/>
            <w:tcBorders>
              <w:bottom w:val="single" w:sz="8" w:color="0000EE"/>
            </w:tcBorders>
            <w:gridSpan w:val="11"/>
          </w:tcPr>
          <w:p>
            <w:pPr>
              <w:spacing w:after="0"/>
              <w:rPr>
                <w:rFonts w:ascii="Arial" w:cs="Arial" w:eastAsia="Arial" w:hAnsi="Arial"/>
                <w:sz w:val="18"/>
                <w:szCs w:val="18"/>
                <w:color w:val="0000EE"/>
                <w:w w:val="90"/>
              </w:rPr>
            </w:pPr>
            <w:hyperlink r:id="rId262">
              <w:r>
                <w:rPr>
                  <w:rFonts w:ascii="Arial" w:cs="Arial" w:eastAsia="Arial" w:hAnsi="Arial"/>
                  <w:sz w:val="18"/>
                  <w:szCs w:val="18"/>
                  <w:color w:val="0000EE"/>
                  <w:w w:val="90"/>
                </w:rPr>
                <w:t>Form of the Series C Warrant certificate.</w:t>
              </w:r>
            </w:hyperlink>
          </w:p>
        </w:tc>
        <w:tc>
          <w:tcPr>
            <w:tcW w:w="3020" w:type="dxa"/>
            <w:vAlign w:val="bottom"/>
            <w:gridSpan w:val="3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4.21</w:t>
            </w:r>
          </w:p>
        </w:tc>
        <w:tc>
          <w:tcPr>
            <w:tcW w:w="200" w:type="dxa"/>
            <w:vAlign w:val="bottom"/>
          </w:tcPr>
          <w:p>
            <w:pPr>
              <w:spacing w:after="0"/>
              <w:rPr>
                <w:sz w:val="22"/>
                <w:szCs w:val="22"/>
                <w:color w:val="auto"/>
              </w:rPr>
            </w:pPr>
          </w:p>
        </w:tc>
        <w:tc>
          <w:tcPr>
            <w:tcW w:w="5940" w:type="dxa"/>
            <w:vAlign w:val="bottom"/>
            <w:gridSpan w:val="44"/>
          </w:tcPr>
          <w:p>
            <w:pPr>
              <w:spacing w:after="0"/>
              <w:rPr>
                <w:rFonts w:ascii="Arial" w:cs="Arial" w:eastAsia="Arial" w:hAnsi="Arial"/>
                <w:sz w:val="18"/>
                <w:szCs w:val="18"/>
                <w:color w:val="0000EE"/>
              </w:rPr>
            </w:pPr>
            <w:hyperlink r:id="rId263">
              <w:r>
                <w:rPr>
                  <w:rFonts w:ascii="Arial" w:cs="Arial" w:eastAsia="Arial" w:hAnsi="Arial"/>
                  <w:sz w:val="18"/>
                  <w:szCs w:val="18"/>
                  <w:color w:val="0000EE"/>
                </w:rPr>
                <w:t>Form of Series D Common Stock Purchase Warrant.</w:t>
              </w:r>
            </w:hyperlink>
          </w:p>
        </w:tc>
        <w:tc>
          <w:tcPr>
            <w:tcW w:w="0" w:type="dxa"/>
            <w:vAlign w:val="bottom"/>
          </w:tcPr>
          <w:p>
            <w:pPr>
              <w:spacing w:after="0"/>
              <w:rPr>
                <w:sz w:val="1"/>
                <w:szCs w:val="1"/>
                <w:color w:val="auto"/>
              </w:rPr>
            </w:pPr>
          </w:p>
        </w:tc>
      </w:tr>
      <w:tr>
        <w:trPr>
          <w:trHeight w:val="264"/>
        </w:trPr>
        <w:tc>
          <w:tcPr>
            <w:tcW w:w="520" w:type="dxa"/>
            <w:vAlign w:val="bottom"/>
          </w:tcPr>
          <w:p>
            <w:pPr>
              <w:ind w:left="180"/>
              <w:spacing w:after="0"/>
              <w:rPr>
                <w:sz w:val="20"/>
                <w:szCs w:val="20"/>
                <w:color w:val="auto"/>
              </w:rPr>
            </w:pPr>
            <w:r>
              <w:rPr>
                <w:rFonts w:ascii="Arial" w:cs="Arial" w:eastAsia="Arial" w:hAnsi="Arial"/>
                <w:sz w:val="18"/>
                <w:szCs w:val="18"/>
                <w:color w:val="auto"/>
                <w:w w:val="91"/>
              </w:rPr>
              <w:t>4.22</w:t>
            </w:r>
          </w:p>
        </w:tc>
        <w:tc>
          <w:tcPr>
            <w:tcW w:w="200" w:type="dxa"/>
            <w:vAlign w:val="bottom"/>
          </w:tcPr>
          <w:p>
            <w:pPr>
              <w:spacing w:after="0"/>
              <w:rPr>
                <w:sz w:val="22"/>
                <w:szCs w:val="22"/>
                <w:color w:val="auto"/>
              </w:rPr>
            </w:pPr>
          </w:p>
        </w:tc>
        <w:tc>
          <w:tcPr>
            <w:tcW w:w="3760" w:type="dxa"/>
            <w:vAlign w:val="bottom"/>
            <w:tcBorders>
              <w:top w:val="single" w:sz="8" w:color="0000EE"/>
            </w:tcBorders>
            <w:gridSpan w:val="18"/>
          </w:tcPr>
          <w:p>
            <w:pPr>
              <w:spacing w:after="0"/>
              <w:rPr>
                <w:rFonts w:ascii="Arial" w:cs="Arial" w:eastAsia="Arial" w:hAnsi="Arial"/>
                <w:sz w:val="18"/>
                <w:szCs w:val="18"/>
                <w:color w:val="0000EE"/>
              </w:rPr>
            </w:pPr>
            <w:hyperlink r:id="rId264">
              <w:r>
                <w:rPr>
                  <w:rFonts w:ascii="Arial" w:cs="Arial" w:eastAsia="Arial" w:hAnsi="Arial"/>
                  <w:sz w:val="18"/>
                  <w:szCs w:val="18"/>
                  <w:color w:val="0000EE"/>
                </w:rPr>
                <w:t>Form of Placement Agent Warrant.</w:t>
              </w:r>
            </w:hyperlink>
          </w:p>
        </w:tc>
        <w:tc>
          <w:tcPr>
            <w:tcW w:w="2180" w:type="dxa"/>
            <w:vAlign w:val="bottom"/>
            <w:gridSpan w:val="26"/>
          </w:tcPr>
          <w:p>
            <w:pPr>
              <w:spacing w:after="0"/>
              <w:rPr>
                <w:sz w:val="22"/>
                <w:szCs w:val="22"/>
                <w:color w:val="auto"/>
              </w:rPr>
            </w:pPr>
          </w:p>
        </w:tc>
        <w:tc>
          <w:tcPr>
            <w:tcW w:w="0" w:type="dxa"/>
            <w:vAlign w:val="bottom"/>
          </w:tcPr>
          <w:p>
            <w:pPr>
              <w:spacing w:after="0"/>
              <w:rPr>
                <w:sz w:val="1"/>
                <w:szCs w:val="1"/>
                <w:color w:val="auto"/>
              </w:rPr>
            </w:pPr>
          </w:p>
        </w:tc>
      </w:tr>
      <w:tr>
        <w:trPr>
          <w:trHeight w:val="385"/>
        </w:trPr>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gridSpan w:val="19"/>
          </w:tcPr>
          <w:p>
            <w:pPr>
              <w:jc w:val="center"/>
              <w:ind w:right="640"/>
              <w:spacing w:after="0"/>
              <w:rPr>
                <w:sz w:val="20"/>
                <w:szCs w:val="20"/>
                <w:color w:val="auto"/>
              </w:rPr>
            </w:pPr>
            <w:r>
              <w:rPr>
                <w:rFonts w:ascii="Arial" w:cs="Arial" w:eastAsia="Arial" w:hAnsi="Arial"/>
                <w:sz w:val="18"/>
                <w:szCs w:val="18"/>
                <w:color w:val="auto"/>
                <w:w w:val="99"/>
              </w:rPr>
              <w:t>II-3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10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Registrant’s</w:t>
            </w:r>
          </w:p>
        </w:tc>
        <w:tc>
          <w:tcPr>
            <w:tcW w:w="1660" w:type="dxa"/>
            <w:vAlign w:val="bottom"/>
            <w:tcBorders>
              <w:top w:val="single" w:sz="8" w:color="auto"/>
            </w:tcBorders>
            <w:gridSpan w:val="2"/>
          </w:tcPr>
          <w:p>
            <w:pPr>
              <w:ind w:left="360"/>
              <w:spacing w:after="0" w:line="129" w:lineRule="exact"/>
              <w:rPr>
                <w:sz w:val="20"/>
                <w:szCs w:val="20"/>
                <w:color w:val="auto"/>
              </w:rPr>
            </w:pPr>
            <w:r>
              <w:rPr>
                <w:rFonts w:ascii="Arial" w:cs="Arial" w:eastAsia="Arial" w:hAnsi="Arial"/>
                <w:sz w:val="14"/>
                <w:szCs w:val="14"/>
                <w:b w:val="1"/>
                <w:bCs w:val="1"/>
                <w:color w:val="auto"/>
              </w:rPr>
              <w:t>Date Filed</w:t>
            </w:r>
          </w:p>
        </w:tc>
        <w:tc>
          <w:tcPr>
            <w:tcW w:w="1140" w:type="dxa"/>
            <w:vAlign w:val="bottom"/>
            <w:tcBorders>
              <w:top w:val="single" w:sz="8" w:color="auto"/>
            </w:tcBorders>
            <w:gridSpan w:val="2"/>
          </w:tcPr>
          <w:p>
            <w:pPr>
              <w:jc w:val="center"/>
              <w:ind w:right="620"/>
              <w:spacing w:after="0" w:line="129" w:lineRule="exact"/>
              <w:rPr>
                <w:sz w:val="20"/>
                <w:szCs w:val="20"/>
                <w:color w:val="auto"/>
              </w:rPr>
            </w:pPr>
            <w:r>
              <w:rPr>
                <w:rFonts w:ascii="Arial" w:cs="Arial" w:eastAsia="Arial" w:hAnsi="Arial"/>
                <w:sz w:val="14"/>
                <w:szCs w:val="14"/>
                <w:b w:val="1"/>
                <w:bCs w:val="1"/>
                <w:color w:val="auto"/>
                <w:w w:val="94"/>
              </w:rPr>
              <w:t>Exhibit</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76"/>
        </w:trPr>
        <w:tc>
          <w:tcPr>
            <w:tcW w:w="20" w:type="dxa"/>
            <w:vAlign w:val="bottom"/>
          </w:tcPr>
          <w:p>
            <w:pPr>
              <w:spacing w:after="0"/>
              <w:rPr>
                <w:sz w:val="15"/>
                <w:szCs w:val="15"/>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260"/>
              <w:spacing w:after="0"/>
              <w:rPr>
                <w:sz w:val="20"/>
                <w:szCs w:val="20"/>
                <w:color w:val="auto"/>
              </w:rPr>
            </w:pPr>
            <w:r>
              <w:rPr>
                <w:rFonts w:ascii="Arial" w:cs="Arial" w:eastAsia="Arial" w:hAnsi="Arial"/>
                <w:sz w:val="14"/>
                <w:szCs w:val="14"/>
                <w:b w:val="1"/>
                <w:bCs w:val="1"/>
                <w:color w:val="auto"/>
              </w:rPr>
              <w:t>with the SEC</w:t>
            </w: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8"/>
              </w:rPr>
              <w:t>Number</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8-K</w:t>
            </w:r>
          </w:p>
        </w:tc>
        <w:tc>
          <w:tcPr>
            <w:tcW w:w="320" w:type="dxa"/>
            <w:vAlign w:val="bottom"/>
          </w:tcPr>
          <w:p>
            <w:pPr>
              <w:spacing w:after="0"/>
              <w:rPr>
                <w:sz w:val="19"/>
                <w:szCs w:val="19"/>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July 24, 2017</w:t>
            </w:r>
          </w:p>
        </w:tc>
        <w:tc>
          <w:tcPr>
            <w:tcW w:w="300" w:type="dxa"/>
            <w:vAlign w:val="bottom"/>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r>
      <w:tr>
        <w:trPr>
          <w:trHeight w:val="701"/>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December 8, 2017</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2.1</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December 8, 2017</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December 8, 2017</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r>
      <w:tr>
        <w:trPr>
          <w:trHeight w:val="716"/>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7,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May 11, 2017</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October 6, 2017</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3.1</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r>
      <w:tr>
        <w:trPr>
          <w:trHeight w:val="716"/>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4.3</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4.5</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4.6</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4.7</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w:t>
            </w:r>
          </w:p>
        </w:tc>
        <w:tc>
          <w:tcPr>
            <w:tcW w:w="166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r>
      <w:tr>
        <w:trPr>
          <w:trHeight w:val="500"/>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August 5,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November 4,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S-1/A</w:t>
            </w:r>
          </w:p>
        </w:tc>
        <w:tc>
          <w:tcPr>
            <w:tcW w:w="166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S-4</w:t>
            </w:r>
          </w:p>
        </w:tc>
        <w:tc>
          <w:tcPr>
            <w:tcW w:w="166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S-4</w:t>
            </w:r>
          </w:p>
        </w:tc>
        <w:tc>
          <w:tcPr>
            <w:tcW w:w="1660" w:type="dxa"/>
            <w:vAlign w:val="bottom"/>
            <w:gridSpan w:val="2"/>
          </w:tcPr>
          <w:p>
            <w:pPr>
              <w:spacing w:after="0"/>
              <w:rPr>
                <w:sz w:val="20"/>
                <w:szCs w:val="20"/>
                <w:color w:val="auto"/>
              </w:rPr>
            </w:pPr>
            <w:r>
              <w:rPr>
                <w:rFonts w:ascii="Arial" w:cs="Arial" w:eastAsia="Arial" w:hAnsi="Arial"/>
                <w:sz w:val="18"/>
                <w:szCs w:val="18"/>
                <w:color w:val="auto"/>
              </w:rPr>
              <w:t>April 1, 2015</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r>
      <w:tr>
        <w:trPr>
          <w:trHeight w:val="284"/>
        </w:trPr>
        <w:tc>
          <w:tcPr>
            <w:tcW w:w="1080" w:type="dxa"/>
            <w:vAlign w:val="bottom"/>
            <w:gridSpan w:val="3"/>
          </w:tcPr>
          <w:p>
            <w:pPr>
              <w:spacing w:after="0"/>
              <w:rPr>
                <w:sz w:val="20"/>
                <w:szCs w:val="20"/>
                <w:color w:val="auto"/>
              </w:rPr>
            </w:pPr>
            <w:r>
              <w:rPr>
                <w:rFonts w:ascii="Arial" w:cs="Arial" w:eastAsia="Arial" w:hAnsi="Arial"/>
                <w:sz w:val="18"/>
                <w:szCs w:val="18"/>
                <w:color w:val="auto"/>
              </w:rPr>
              <w:t>8-K</w:t>
            </w:r>
          </w:p>
        </w:tc>
        <w:tc>
          <w:tcPr>
            <w:tcW w:w="166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1140" w:type="dxa"/>
            <w:vAlign w:val="bottom"/>
            <w:gridSpan w:val="2"/>
          </w:tcPr>
          <w:p>
            <w:pPr>
              <w:jc w:val="right"/>
              <w:ind w:right="62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r>
    </w:tbl>
    <w:p>
      <w:pPr>
        <w:sectPr>
          <w:pgSz w:w="11900" w:h="16838" w:orient="portrait"/>
          <w:cols w:equalWidth="0" w:num="2">
            <w:col w:w="6660" w:space="300"/>
            <w:col w:w="4460"/>
          </w:cols>
          <w:pgMar w:left="240" w:top="460" w:right="239" w:bottom="724"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gridSpan w:val="21"/>
            <w:vMerge w:val="restart"/>
          </w:tcPr>
          <w:p>
            <w:pPr>
              <w:ind w:left="48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500" w:type="dxa"/>
            <w:vAlign w:val="bottom"/>
            <w:gridSpan w:val="2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20" w:type="dxa"/>
            <w:vAlign w:val="bottom"/>
            <w:tcBorders>
              <w:top w:val="single" w:sz="8" w:color="auto"/>
            </w:tcBorders>
          </w:tcPr>
          <w:p>
            <w:pPr>
              <w:ind w:left="180"/>
              <w:spacing w:after="0" w:line="170" w:lineRule="exact"/>
              <w:rPr>
                <w:sz w:val="20"/>
                <w:szCs w:val="20"/>
                <w:color w:val="auto"/>
              </w:rPr>
            </w:pPr>
            <w:r>
              <w:rPr>
                <w:rFonts w:ascii="Arial" w:cs="Arial" w:eastAsia="Arial" w:hAnsi="Arial"/>
                <w:sz w:val="18"/>
                <w:szCs w:val="18"/>
                <w:color w:val="auto"/>
              </w:rPr>
              <w:t>4.23</w:t>
            </w:r>
          </w:p>
        </w:tc>
        <w:tc>
          <w:tcPr>
            <w:tcW w:w="100" w:type="dxa"/>
            <w:vAlign w:val="bottom"/>
          </w:tcPr>
          <w:p>
            <w:pPr>
              <w:spacing w:after="0"/>
              <w:rPr>
                <w:sz w:val="14"/>
                <w:szCs w:val="14"/>
                <w:color w:val="auto"/>
              </w:rPr>
            </w:pPr>
          </w:p>
        </w:tc>
        <w:tc>
          <w:tcPr>
            <w:tcW w:w="3820" w:type="dxa"/>
            <w:vAlign w:val="bottom"/>
            <w:tcBorders>
              <w:top w:val="single" w:sz="8" w:color="auto"/>
              <w:bottom w:val="single" w:sz="8" w:color="0000EE"/>
            </w:tcBorders>
            <w:gridSpan w:val="10"/>
          </w:tcPr>
          <w:p>
            <w:pPr>
              <w:spacing w:after="0" w:line="170" w:lineRule="exact"/>
              <w:rPr>
                <w:rFonts w:ascii="Arial" w:cs="Arial" w:eastAsia="Arial" w:hAnsi="Arial"/>
                <w:sz w:val="18"/>
                <w:szCs w:val="18"/>
                <w:color w:val="0000EE"/>
                <w:w w:val="91"/>
              </w:rPr>
            </w:pPr>
            <w:hyperlink r:id="rId266">
              <w:r>
                <w:rPr>
                  <w:rFonts w:ascii="Arial" w:cs="Arial" w:eastAsia="Arial" w:hAnsi="Arial"/>
                  <w:sz w:val="18"/>
                  <w:szCs w:val="18"/>
                  <w:color w:val="0000EE"/>
                  <w:w w:val="91"/>
                </w:rPr>
                <w:t>Form of Series D common stock Warrant Certificate.</w:t>
              </w:r>
            </w:hyperlink>
          </w:p>
        </w:tc>
        <w:tc>
          <w:tcPr>
            <w:tcW w:w="2680" w:type="dxa"/>
            <w:vAlign w:val="bottom"/>
            <w:tcBorders>
              <w:top w:val="single" w:sz="8" w:color="auto"/>
            </w:tcBorders>
            <w:gridSpan w:val="17"/>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2"/>
                <w:szCs w:val="22"/>
                <w:color w:val="auto"/>
              </w:rPr>
            </w:pPr>
          </w:p>
        </w:tc>
        <w:tc>
          <w:tcPr>
            <w:tcW w:w="4160" w:type="dxa"/>
            <w:vAlign w:val="bottom"/>
            <w:tcBorders>
              <w:bottom w:val="single" w:sz="8" w:color="0000EE"/>
            </w:tcBorders>
            <w:gridSpan w:val="12"/>
          </w:tcPr>
          <w:p>
            <w:pPr>
              <w:spacing w:after="0"/>
              <w:rPr>
                <w:rFonts w:ascii="Arial" w:cs="Arial" w:eastAsia="Arial" w:hAnsi="Arial"/>
                <w:sz w:val="18"/>
                <w:szCs w:val="18"/>
                <w:color w:val="0000EE"/>
                <w:w w:val="91"/>
              </w:rPr>
            </w:pPr>
            <w:hyperlink r:id="rId267">
              <w:r>
                <w:rPr>
                  <w:rFonts w:ascii="Arial" w:cs="Arial" w:eastAsia="Arial" w:hAnsi="Arial"/>
                  <w:sz w:val="18"/>
                  <w:szCs w:val="18"/>
                  <w:color w:val="0000EE"/>
                  <w:w w:val="91"/>
                </w:rPr>
                <w:t>Form of Series A Convertible Preferred Stock Certificate.</w:t>
              </w:r>
            </w:hyperlink>
          </w:p>
        </w:tc>
        <w:tc>
          <w:tcPr>
            <w:tcW w:w="2340" w:type="dxa"/>
            <w:vAlign w:val="bottom"/>
            <w:gridSpan w:val="15"/>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rPr>
            </w:pPr>
            <w:hyperlink r:id="rId268">
              <w:r>
                <w:rPr>
                  <w:rFonts w:ascii="Arial" w:cs="Arial" w:eastAsia="Arial" w:hAnsi="Arial"/>
                  <w:sz w:val="18"/>
                  <w:szCs w:val="18"/>
                  <w:color w:val="0000EE"/>
                </w:rPr>
                <w:t>Form of Placement Agent Warrant.</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rPr>
            </w:pPr>
            <w:hyperlink r:id="rId269">
              <w:r>
                <w:rPr>
                  <w:rFonts w:ascii="Arial" w:cs="Arial" w:eastAsia="Arial" w:hAnsi="Arial"/>
                  <w:sz w:val="18"/>
                  <w:szCs w:val="18"/>
                  <w:color w:val="0000EE"/>
                </w:rPr>
                <w:t>Form of Series B Convertible Preferred Stock Certificate.</w:t>
              </w:r>
            </w:hyperlink>
          </w:p>
        </w:tc>
        <w:tc>
          <w:tcPr>
            <w:tcW w:w="0" w:type="dxa"/>
            <w:vAlign w:val="bottom"/>
          </w:tcPr>
          <w:p>
            <w:pPr>
              <w:spacing w:after="0"/>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4.27</w:t>
            </w:r>
          </w:p>
        </w:tc>
        <w:tc>
          <w:tcPr>
            <w:tcW w:w="100" w:type="dxa"/>
            <w:vAlign w:val="bottom"/>
          </w:tcPr>
          <w:p>
            <w:pPr>
              <w:spacing w:after="0"/>
              <w:rPr>
                <w:sz w:val="22"/>
                <w:szCs w:val="22"/>
                <w:color w:val="auto"/>
              </w:rPr>
            </w:pPr>
          </w:p>
        </w:tc>
        <w:tc>
          <w:tcPr>
            <w:tcW w:w="4140" w:type="dxa"/>
            <w:vAlign w:val="bottom"/>
            <w:tcBorders>
              <w:top w:val="single" w:sz="8" w:color="0000EE"/>
            </w:tcBorders>
            <w:gridSpan w:val="11"/>
          </w:tcPr>
          <w:p>
            <w:pPr>
              <w:spacing w:after="0"/>
              <w:rPr>
                <w:rFonts w:ascii="Arial" w:cs="Arial" w:eastAsia="Arial" w:hAnsi="Arial"/>
                <w:sz w:val="18"/>
                <w:szCs w:val="18"/>
                <w:color w:val="0000EE"/>
              </w:rPr>
            </w:pPr>
            <w:hyperlink r:id="rId270">
              <w:r>
                <w:rPr>
                  <w:rFonts w:ascii="Arial" w:cs="Arial" w:eastAsia="Arial" w:hAnsi="Arial"/>
                  <w:sz w:val="18"/>
                  <w:szCs w:val="18"/>
                  <w:color w:val="0000EE"/>
                </w:rPr>
                <w:t>Form of Common Stock Purchase Warrant</w:t>
              </w:r>
            </w:hyperlink>
          </w:p>
        </w:tc>
        <w:tc>
          <w:tcPr>
            <w:tcW w:w="23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6500" w:type="dxa"/>
            <w:vAlign w:val="bottom"/>
            <w:gridSpan w:val="27"/>
          </w:tcPr>
          <w:p>
            <w:pPr>
              <w:spacing w:after="0"/>
              <w:rPr>
                <w:sz w:val="20"/>
                <w:szCs w:val="20"/>
                <w:color w:val="auto"/>
              </w:rPr>
            </w:pPr>
            <w:r>
              <w:rPr>
                <w:rFonts w:ascii="Arial" w:cs="Arial" w:eastAsia="Arial" w:hAnsi="Arial"/>
                <w:sz w:val="18"/>
                <w:szCs w:val="18"/>
                <w:color w:val="0000EE"/>
              </w:rPr>
              <w:t>Opinion of Wilson Sonsini Goodrich &amp; Rosati, Professional Corporation.</w:t>
            </w:r>
          </w:p>
        </w:tc>
        <w:tc>
          <w:tcPr>
            <w:tcW w:w="0" w:type="dxa"/>
            <w:vAlign w:val="bottom"/>
          </w:tcPr>
          <w:p>
            <w:pPr>
              <w:spacing w:after="0"/>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2"/>
                <w:szCs w:val="22"/>
                <w:color w:val="auto"/>
              </w:rPr>
            </w:pPr>
          </w:p>
        </w:tc>
        <w:tc>
          <w:tcPr>
            <w:tcW w:w="20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r:id="rId271">
              <w:r>
                <w:rPr>
                  <w:rFonts w:ascii="Arial" w:cs="Arial" w:eastAsia="Arial" w:hAnsi="Arial"/>
                  <w:sz w:val="18"/>
                  <w:szCs w:val="18"/>
                  <w:color w:val="0000EE"/>
                  <w:w w:val="91"/>
                </w:rPr>
                <w:t>Form of Voting Agreement.</w:t>
              </w:r>
            </w:hyperlink>
          </w:p>
        </w:tc>
        <w:tc>
          <w:tcPr>
            <w:tcW w:w="3280" w:type="dxa"/>
            <w:vAlign w:val="bottom"/>
            <w:tcBorders>
              <w:top w:val="single" w:sz="8" w:color="0000EE"/>
            </w:tcBorders>
            <w:gridSpan w:val="10"/>
          </w:tcPr>
          <w:p>
            <w:pPr>
              <w:spacing w:after="0"/>
              <w:rPr>
                <w:sz w:val="22"/>
                <w:szCs w:val="22"/>
                <w:color w:val="auto"/>
              </w:rPr>
            </w:pPr>
          </w:p>
        </w:tc>
        <w:tc>
          <w:tcPr>
            <w:tcW w:w="122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2"/>
                <w:szCs w:val="22"/>
                <w:color w:val="auto"/>
              </w:rPr>
            </w:pPr>
          </w:p>
        </w:tc>
        <w:tc>
          <w:tcPr>
            <w:tcW w:w="2000" w:type="dxa"/>
            <w:vAlign w:val="bottom"/>
            <w:tcBorders>
              <w:bottom w:val="single" w:sz="8" w:color="0000EE"/>
            </w:tcBorders>
            <w:gridSpan w:val="6"/>
          </w:tcPr>
          <w:p>
            <w:pPr>
              <w:spacing w:after="0"/>
              <w:rPr>
                <w:rFonts w:ascii="Arial" w:cs="Arial" w:eastAsia="Arial" w:hAnsi="Arial"/>
                <w:sz w:val="18"/>
                <w:szCs w:val="18"/>
                <w:color w:val="0000EE"/>
                <w:w w:val="91"/>
              </w:rPr>
            </w:pPr>
            <w:hyperlink r:id="rId272">
              <w:r>
                <w:rPr>
                  <w:rFonts w:ascii="Arial" w:cs="Arial" w:eastAsia="Arial" w:hAnsi="Arial"/>
                  <w:sz w:val="18"/>
                  <w:szCs w:val="18"/>
                  <w:color w:val="0000EE"/>
                  <w:w w:val="91"/>
                </w:rPr>
                <w:t>Form of Voting Agreement.</w:t>
              </w:r>
            </w:hyperlink>
          </w:p>
        </w:tc>
        <w:tc>
          <w:tcPr>
            <w:tcW w:w="450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80"/>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2"/>
                <w:szCs w:val="22"/>
                <w:color w:val="auto"/>
              </w:rPr>
            </w:pPr>
          </w:p>
        </w:tc>
        <w:tc>
          <w:tcPr>
            <w:tcW w:w="2000" w:type="dxa"/>
            <w:vAlign w:val="bottom"/>
            <w:tcBorders>
              <w:bottom w:val="single" w:sz="8" w:color="0000EE"/>
            </w:tcBorders>
            <w:gridSpan w:val="6"/>
          </w:tcPr>
          <w:p>
            <w:pPr>
              <w:spacing w:after="0"/>
              <w:rPr>
                <w:rFonts w:ascii="Arial" w:cs="Arial" w:eastAsia="Arial" w:hAnsi="Arial"/>
                <w:sz w:val="18"/>
                <w:szCs w:val="18"/>
                <w:color w:val="0000EE"/>
                <w:w w:val="91"/>
              </w:rPr>
            </w:pPr>
            <w:hyperlink r:id="rId273">
              <w:r>
                <w:rPr>
                  <w:rFonts w:ascii="Arial" w:cs="Arial" w:eastAsia="Arial" w:hAnsi="Arial"/>
                  <w:sz w:val="18"/>
                  <w:szCs w:val="18"/>
                  <w:color w:val="0000EE"/>
                  <w:w w:val="91"/>
                </w:rPr>
                <w:t>Form of Voting Agreement.</w:t>
              </w:r>
            </w:hyperlink>
          </w:p>
        </w:tc>
        <w:tc>
          <w:tcPr>
            <w:tcW w:w="4500" w:type="dxa"/>
            <w:vAlign w:val="bottom"/>
            <w:gridSpan w:val="21"/>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w w:val="92"/>
              </w:rPr>
            </w:pPr>
            <w:hyperlink r:id="rId274">
              <w:r>
                <w:rPr>
                  <w:rFonts w:ascii="Arial" w:cs="Arial" w:eastAsia="Arial" w:hAnsi="Arial"/>
                  <w:sz w:val="18"/>
                  <w:szCs w:val="18"/>
                  <w:color w:val="0000EE"/>
                  <w:w w:val="92"/>
                </w:rPr>
                <w:t>Form of Indemnification Agreement between the Registrant and each of its directors and</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74">
              <w:r>
                <w:rPr>
                  <w:rFonts w:ascii="Arial" w:cs="Arial" w:eastAsia="Arial" w:hAnsi="Arial"/>
                  <w:sz w:val="18"/>
                  <w:szCs w:val="18"/>
                  <w:color w:val="0000EE"/>
                </w:rPr>
                <w:t>executive officers.</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2"/>
                <w:szCs w:val="22"/>
                <w:color w:val="auto"/>
              </w:rPr>
            </w:pPr>
          </w:p>
        </w:tc>
        <w:tc>
          <w:tcPr>
            <w:tcW w:w="4580" w:type="dxa"/>
            <w:vAlign w:val="bottom"/>
            <w:tcBorders>
              <w:bottom w:val="single" w:sz="8" w:color="0000EE"/>
            </w:tcBorders>
            <w:gridSpan w:val="13"/>
          </w:tcPr>
          <w:p>
            <w:pPr>
              <w:spacing w:after="0"/>
              <w:rPr>
                <w:rFonts w:ascii="Arial" w:cs="Arial" w:eastAsia="Arial" w:hAnsi="Arial"/>
                <w:sz w:val="18"/>
                <w:szCs w:val="18"/>
                <w:color w:val="0000EE"/>
                <w:w w:val="89"/>
              </w:rPr>
            </w:pPr>
            <w:hyperlink r:id="rId275">
              <w:r>
                <w:rPr>
                  <w:rFonts w:ascii="Arial" w:cs="Arial" w:eastAsia="Arial" w:hAnsi="Arial"/>
                  <w:sz w:val="18"/>
                  <w:szCs w:val="18"/>
                  <w:color w:val="0000EE"/>
                  <w:w w:val="89"/>
                </w:rPr>
                <w:t>1999 Incentive Stock Plan and forms of agreements thereunder.</w:t>
              </w:r>
            </w:hyperlink>
          </w:p>
        </w:tc>
        <w:tc>
          <w:tcPr>
            <w:tcW w:w="1920" w:type="dxa"/>
            <w:vAlign w:val="bottom"/>
            <w:gridSpan w:val="14"/>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rPr>
            </w:pPr>
            <w:hyperlink r:id="rId276">
              <w:r>
                <w:rPr>
                  <w:rFonts w:ascii="Arial" w:cs="Arial" w:eastAsia="Arial" w:hAnsi="Arial"/>
                  <w:sz w:val="18"/>
                  <w:szCs w:val="18"/>
                  <w:color w:val="0000EE"/>
                </w:rPr>
                <w:t>2010 Equity Incentive Plan and forms of agreements thereunder.</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rPr>
            </w:pPr>
            <w:hyperlink r:id="rId277">
              <w:r>
                <w:rPr>
                  <w:rFonts w:ascii="Arial" w:cs="Arial" w:eastAsia="Arial" w:hAnsi="Arial"/>
                  <w:sz w:val="18"/>
                  <w:szCs w:val="18"/>
                  <w:color w:val="0000EE"/>
                </w:rPr>
                <w:t>2014 Equity Incentive Plan and forms of agreements thereunder.</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42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rPr>
            </w:pPr>
            <w:hyperlink r:id="rId278">
              <w:r>
                <w:rPr>
                  <w:rFonts w:ascii="Arial" w:cs="Arial" w:eastAsia="Arial" w:hAnsi="Arial"/>
                  <w:sz w:val="18"/>
                  <w:szCs w:val="18"/>
                  <w:color w:val="0000EE"/>
                </w:rPr>
                <w:t>2014 Employee Stock Purchase Plan and forms of agreements thereunder.</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660" w:type="dxa"/>
            <w:vAlign w:val="bottom"/>
            <w:gridSpan w:val="4"/>
            <w:shd w:val="clear" w:color="auto" w:fill="0000EE"/>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2"/>
                <w:szCs w:val="22"/>
                <w:color w:val="auto"/>
              </w:rPr>
            </w:pPr>
          </w:p>
        </w:tc>
        <w:tc>
          <w:tcPr>
            <w:tcW w:w="6300" w:type="dxa"/>
            <w:vAlign w:val="bottom"/>
            <w:tcBorders>
              <w:bottom w:val="single" w:sz="8" w:color="0000EE"/>
            </w:tcBorders>
            <w:gridSpan w:val="23"/>
          </w:tcPr>
          <w:p>
            <w:pPr>
              <w:spacing w:after="0"/>
              <w:rPr>
                <w:rFonts w:ascii="Arial" w:cs="Arial" w:eastAsia="Arial" w:hAnsi="Arial"/>
                <w:sz w:val="18"/>
                <w:szCs w:val="18"/>
                <w:color w:val="0000EE"/>
                <w:w w:val="89"/>
              </w:rPr>
            </w:pPr>
            <w:hyperlink r:id="rId279">
              <w:r>
                <w:rPr>
                  <w:rFonts w:ascii="Arial" w:cs="Arial" w:eastAsia="Arial" w:hAnsi="Arial"/>
                  <w:sz w:val="18"/>
                  <w:szCs w:val="18"/>
                  <w:color w:val="0000EE"/>
                  <w:w w:val="89"/>
                </w:rPr>
                <w:t>Offer Letter, dated June 22, 2007, by and between Soleno Therapeutics, Inc. and Ernest</w:t>
              </w:r>
            </w:hyperlink>
          </w:p>
        </w:tc>
        <w:tc>
          <w:tcPr>
            <w:tcW w:w="20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r:id="rId279">
              <w:r>
                <w:rPr>
                  <w:rFonts w:ascii="Arial" w:cs="Arial" w:eastAsia="Arial" w:hAnsi="Arial"/>
                  <w:sz w:val="18"/>
                  <w:szCs w:val="18"/>
                  <w:color w:val="0000EE"/>
                  <w:w w:val="91"/>
                </w:rPr>
                <w:t>Mario, Ph.D.</w:t>
              </w:r>
            </w:hyperlink>
          </w:p>
        </w:tc>
        <w:tc>
          <w:tcPr>
            <w:tcW w:w="556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w w:val="92"/>
              </w:rPr>
            </w:pPr>
            <w:hyperlink r:id="rId280">
              <w:r>
                <w:rPr>
                  <w:rFonts w:ascii="Arial" w:cs="Arial" w:eastAsia="Arial" w:hAnsi="Arial"/>
                  <w:sz w:val="18"/>
                  <w:szCs w:val="18"/>
                  <w:color w:val="0000EE"/>
                  <w:w w:val="92"/>
                </w:rPr>
                <w:t>Employment Agreement, dated April 6, 2010, by and between Soleno Therapeutics, Inc.</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r:id="rId280">
              <w:r>
                <w:rPr>
                  <w:rFonts w:ascii="Arial" w:cs="Arial" w:eastAsia="Arial" w:hAnsi="Arial"/>
                  <w:sz w:val="18"/>
                  <w:szCs w:val="18"/>
                  <w:color w:val="0000EE"/>
                  <w:w w:val="88"/>
                </w:rPr>
                <w:t>and Anish Bhatnagar.</w:t>
              </w:r>
            </w:hyperlink>
          </w:p>
        </w:tc>
        <w:tc>
          <w:tcPr>
            <w:tcW w:w="4800" w:type="dxa"/>
            <w:vAlign w:val="bottom"/>
            <w:tcBorders>
              <w:top w:val="single" w:sz="8" w:color="0000EE"/>
            </w:tcBorders>
            <w:gridSpan w:val="19"/>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2"/>
                <w:szCs w:val="22"/>
                <w:color w:val="auto"/>
              </w:rPr>
            </w:pPr>
          </w:p>
        </w:tc>
        <w:tc>
          <w:tcPr>
            <w:tcW w:w="5940" w:type="dxa"/>
            <w:vAlign w:val="bottom"/>
            <w:tcBorders>
              <w:bottom w:val="single" w:sz="8" w:color="0000EE"/>
            </w:tcBorders>
            <w:gridSpan w:val="18"/>
          </w:tcPr>
          <w:p>
            <w:pPr>
              <w:spacing w:after="0"/>
              <w:rPr>
                <w:rFonts w:ascii="Arial" w:cs="Arial" w:eastAsia="Arial" w:hAnsi="Arial"/>
                <w:sz w:val="18"/>
                <w:szCs w:val="18"/>
                <w:color w:val="0000EE"/>
                <w:w w:val="90"/>
              </w:rPr>
            </w:pPr>
            <w:hyperlink r:id="rId281">
              <w:r>
                <w:rPr>
                  <w:rFonts w:ascii="Arial" w:cs="Arial" w:eastAsia="Arial" w:hAnsi="Arial"/>
                  <w:sz w:val="18"/>
                  <w:szCs w:val="18"/>
                  <w:color w:val="0000EE"/>
                  <w:w w:val="90"/>
                </w:rPr>
                <w:t>Offer Letter, dated May 29, 2013, between Soleno Therapeutics, Inc. and Anthony</w:t>
              </w:r>
            </w:hyperlink>
          </w:p>
        </w:tc>
        <w:tc>
          <w:tcPr>
            <w:tcW w:w="56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81">
              <w:r>
                <w:rPr>
                  <w:rFonts w:ascii="Arial" w:cs="Arial" w:eastAsia="Arial" w:hAnsi="Arial"/>
                  <w:sz w:val="18"/>
                  <w:szCs w:val="18"/>
                  <w:color w:val="0000EE"/>
                  <w:w w:val="87"/>
                </w:rPr>
                <w:t>Wondka.</w:t>
              </w:r>
            </w:hyperlink>
          </w:p>
        </w:tc>
        <w:tc>
          <w:tcPr>
            <w:tcW w:w="58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2"/>
                <w:szCs w:val="22"/>
                <w:color w:val="auto"/>
              </w:rPr>
            </w:pPr>
          </w:p>
        </w:tc>
        <w:tc>
          <w:tcPr>
            <w:tcW w:w="6500" w:type="dxa"/>
            <w:vAlign w:val="bottom"/>
            <w:gridSpan w:val="27"/>
          </w:tcPr>
          <w:p>
            <w:pPr>
              <w:spacing w:after="0"/>
              <w:rPr>
                <w:rFonts w:ascii="Arial" w:cs="Arial" w:eastAsia="Arial" w:hAnsi="Arial"/>
                <w:sz w:val="18"/>
                <w:szCs w:val="18"/>
                <w:color w:val="0000EE"/>
                <w:w w:val="91"/>
              </w:rPr>
            </w:pPr>
            <w:hyperlink r:id="rId282">
              <w:r>
                <w:rPr>
                  <w:rFonts w:ascii="Arial" w:cs="Arial" w:eastAsia="Arial" w:hAnsi="Arial"/>
                  <w:sz w:val="18"/>
                  <w:szCs w:val="18"/>
                  <w:color w:val="0000EE"/>
                  <w:w w:val="91"/>
                </w:rPr>
                <w:t>Offer Letter, dated April 17, 2014, by and between Soleno Therapeutics, Inc. and Antoun</w:t>
              </w:r>
            </w:hyperlink>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282">
              <w:r>
                <w:rPr>
                  <w:rFonts w:ascii="Arial" w:cs="Arial" w:eastAsia="Arial" w:hAnsi="Arial"/>
                  <w:sz w:val="18"/>
                  <w:szCs w:val="18"/>
                  <w:color w:val="0000EE"/>
                </w:rPr>
                <w:t>Nabhan.</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20" w:type="dxa"/>
            <w:vAlign w:val="bottom"/>
            <w:gridSpan w:val="8"/>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22"/>
                <w:szCs w:val="22"/>
                <w:color w:val="auto"/>
              </w:rPr>
            </w:pPr>
          </w:p>
        </w:tc>
        <w:tc>
          <w:tcPr>
            <w:tcW w:w="6200" w:type="dxa"/>
            <w:vAlign w:val="bottom"/>
            <w:tcBorders>
              <w:bottom w:val="single" w:sz="8" w:color="0000EE"/>
            </w:tcBorders>
            <w:gridSpan w:val="20"/>
          </w:tcPr>
          <w:p>
            <w:pPr>
              <w:spacing w:after="0"/>
              <w:rPr>
                <w:rFonts w:ascii="Arial" w:cs="Arial" w:eastAsia="Arial" w:hAnsi="Arial"/>
                <w:sz w:val="18"/>
                <w:szCs w:val="18"/>
                <w:color w:val="0000EE"/>
                <w:w w:val="88"/>
              </w:rPr>
            </w:pPr>
            <w:hyperlink r:id="rId283">
              <w:r>
                <w:rPr>
                  <w:rFonts w:ascii="Arial" w:cs="Arial" w:eastAsia="Arial" w:hAnsi="Arial"/>
                  <w:sz w:val="18"/>
                  <w:szCs w:val="18"/>
                  <w:color w:val="0000EE"/>
                  <w:w w:val="88"/>
                </w:rPr>
                <w:t>Asset Purchase Agreement dated May 11, 2010, by and between Soleno Therapeutics,</w:t>
              </w:r>
            </w:hyperlink>
          </w:p>
        </w:tc>
        <w:tc>
          <w:tcPr>
            <w:tcW w:w="30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27"/>
          </w:tcPr>
          <w:p>
            <w:pPr>
              <w:spacing w:after="0" w:line="196" w:lineRule="exact"/>
              <w:rPr>
                <w:rFonts w:ascii="Arial" w:cs="Arial" w:eastAsia="Arial" w:hAnsi="Arial"/>
                <w:sz w:val="18"/>
                <w:szCs w:val="18"/>
                <w:color w:val="0000EE"/>
              </w:rPr>
            </w:pPr>
            <w:hyperlink r:id="rId283">
              <w:r>
                <w:rPr>
                  <w:rFonts w:ascii="Arial" w:cs="Arial" w:eastAsia="Arial" w:hAnsi="Arial"/>
                  <w:sz w:val="18"/>
                  <w:szCs w:val="18"/>
                  <w:color w:val="0000EE"/>
                </w:rPr>
                <w:t>Inc. and BioMedical Drug Development Inc.</w:t>
              </w:r>
            </w:hyperlink>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gridSpan w:val="9"/>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1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22"/>
                <w:szCs w:val="22"/>
                <w:color w:val="auto"/>
              </w:rPr>
            </w:pPr>
          </w:p>
        </w:tc>
        <w:tc>
          <w:tcPr>
            <w:tcW w:w="6180" w:type="dxa"/>
            <w:vAlign w:val="bottom"/>
            <w:tcBorders>
              <w:bottom w:val="single" w:sz="8" w:color="0000EE"/>
            </w:tcBorders>
            <w:gridSpan w:val="19"/>
          </w:tcPr>
          <w:p>
            <w:pPr>
              <w:spacing w:after="0"/>
              <w:rPr>
                <w:rFonts w:ascii="Arial" w:cs="Arial" w:eastAsia="Arial" w:hAnsi="Arial"/>
                <w:sz w:val="18"/>
                <w:szCs w:val="18"/>
                <w:color w:val="0000EE"/>
                <w:w w:val="90"/>
              </w:rPr>
            </w:pPr>
            <w:hyperlink r:id="rId284">
              <w:r>
                <w:rPr>
                  <w:rFonts w:ascii="Arial" w:cs="Arial" w:eastAsia="Arial" w:hAnsi="Arial"/>
                  <w:sz w:val="18"/>
                  <w:szCs w:val="18"/>
                  <w:color w:val="0000EE"/>
                  <w:w w:val="90"/>
                </w:rPr>
                <w:t>Convertible Note and Warrant Purchase Agreement, dated February 10, 2010, by and</w:t>
              </w:r>
            </w:hyperlink>
          </w:p>
        </w:tc>
        <w:tc>
          <w:tcPr>
            <w:tcW w:w="32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284">
              <w:r>
                <w:rPr>
                  <w:rFonts w:ascii="Arial" w:cs="Arial" w:eastAsia="Arial" w:hAnsi="Arial"/>
                  <w:sz w:val="18"/>
                  <w:szCs w:val="18"/>
                  <w:color w:val="0000EE"/>
                  <w:w w:val="89"/>
                </w:rPr>
                <w:t>among Soleno Therapeutics, Inc. and the investors named therein.</w:t>
              </w:r>
            </w:hyperlink>
          </w:p>
        </w:tc>
        <w:tc>
          <w:tcPr>
            <w:tcW w:w="17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20" w:type="dxa"/>
            <w:vAlign w:val="bottom"/>
          </w:tcPr>
          <w:p>
            <w:pPr>
              <w:ind w:left="100"/>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2"/>
                <w:szCs w:val="22"/>
                <w:color w:val="auto"/>
              </w:rPr>
            </w:pPr>
          </w:p>
        </w:tc>
        <w:tc>
          <w:tcPr>
            <w:tcW w:w="6260" w:type="dxa"/>
            <w:vAlign w:val="bottom"/>
            <w:tcBorders>
              <w:bottom w:val="single" w:sz="8" w:color="0000EE"/>
            </w:tcBorders>
            <w:gridSpan w:val="22"/>
          </w:tcPr>
          <w:p>
            <w:pPr>
              <w:spacing w:after="0"/>
              <w:rPr>
                <w:rFonts w:ascii="Arial" w:cs="Arial" w:eastAsia="Arial" w:hAnsi="Arial"/>
                <w:sz w:val="18"/>
                <w:szCs w:val="18"/>
                <w:color w:val="0000EE"/>
                <w:w w:val="91"/>
              </w:rPr>
            </w:pPr>
            <w:hyperlink r:id="rId285">
              <w:r>
                <w:rPr>
                  <w:rFonts w:ascii="Arial" w:cs="Arial" w:eastAsia="Arial" w:hAnsi="Arial"/>
                  <w:sz w:val="18"/>
                  <w:szCs w:val="18"/>
                  <w:color w:val="0000EE"/>
                  <w:w w:val="91"/>
                </w:rPr>
                <w:t>Amendment No. 1 to Convertible Note and Warrant Purchase Agreement, Convertible</w:t>
              </w:r>
            </w:hyperlink>
          </w:p>
        </w:tc>
        <w:tc>
          <w:tcPr>
            <w:tcW w:w="240" w:type="dxa"/>
            <w:vAlign w:val="bottom"/>
            <w:gridSpan w:val="5"/>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20" w:type="dxa"/>
            <w:vAlign w:val="bottom"/>
            <w:tcBorders>
              <w:bottom w:val="single" w:sz="8" w:color="0000EE"/>
            </w:tcBorders>
            <w:gridSpan w:val="21"/>
          </w:tcPr>
          <w:p>
            <w:pPr>
              <w:spacing w:after="0" w:line="196" w:lineRule="exact"/>
              <w:rPr>
                <w:rFonts w:ascii="Arial" w:cs="Arial" w:eastAsia="Arial" w:hAnsi="Arial"/>
                <w:sz w:val="18"/>
                <w:szCs w:val="18"/>
                <w:color w:val="0000EE"/>
                <w:w w:val="88"/>
              </w:rPr>
            </w:pPr>
            <w:hyperlink r:id="rId285">
              <w:r>
                <w:rPr>
                  <w:rFonts w:ascii="Arial" w:cs="Arial" w:eastAsia="Arial" w:hAnsi="Arial"/>
                  <w:sz w:val="18"/>
                  <w:szCs w:val="18"/>
                  <w:color w:val="0000EE"/>
                  <w:w w:val="88"/>
                </w:rPr>
                <w:t>Promissory Notes and Warrants to Purchase Shares, dated November 10, 2010, by and</w:t>
              </w:r>
            </w:hyperlink>
          </w:p>
        </w:tc>
        <w:tc>
          <w:tcPr>
            <w:tcW w:w="2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r:id="rId285">
              <w:r>
                <w:rPr>
                  <w:rFonts w:ascii="Arial" w:cs="Arial" w:eastAsia="Arial" w:hAnsi="Arial"/>
                  <w:sz w:val="18"/>
                  <w:szCs w:val="18"/>
                  <w:color w:val="0000EE"/>
                  <w:w w:val="89"/>
                </w:rPr>
                <w:t>among Soleno Therapeutics, Inc. and the investors named therein.</w:t>
              </w:r>
            </w:hyperlink>
          </w:p>
        </w:tc>
        <w:tc>
          <w:tcPr>
            <w:tcW w:w="17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8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Registrant’s</w:t>
            </w:r>
          </w:p>
        </w:tc>
        <w:tc>
          <w:tcPr>
            <w:tcW w:w="1540" w:type="dxa"/>
            <w:vAlign w:val="bottom"/>
            <w:tcBorders>
              <w:top w:val="single" w:sz="8" w:color="auto"/>
            </w:tcBorders>
            <w:gridSpan w:val="2"/>
          </w:tcPr>
          <w:p>
            <w:pPr>
              <w:ind w:left="400"/>
              <w:spacing w:after="0" w:line="129" w:lineRule="exact"/>
              <w:rPr>
                <w:sz w:val="20"/>
                <w:szCs w:val="20"/>
                <w:color w:val="auto"/>
              </w:rPr>
            </w:pPr>
            <w:r>
              <w:rPr>
                <w:rFonts w:ascii="Arial" w:cs="Arial" w:eastAsia="Arial" w:hAnsi="Arial"/>
                <w:sz w:val="14"/>
                <w:szCs w:val="14"/>
                <w:b w:val="1"/>
                <w:bCs w:val="1"/>
                <w:color w:val="auto"/>
              </w:rPr>
              <w:t>Date Filed</w:t>
            </w:r>
          </w:p>
        </w:tc>
        <w:tc>
          <w:tcPr>
            <w:tcW w:w="102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8"/>
              </w:rPr>
              <w:t>Exhibit</w:t>
            </w:r>
          </w:p>
        </w:tc>
        <w:tc>
          <w:tcPr>
            <w:tcW w:w="580" w:type="dxa"/>
            <w:vAlign w:val="bottom"/>
            <w:tcBorders>
              <w:top w:val="single" w:sz="8" w:color="auto"/>
            </w:tcBorders>
          </w:tcPr>
          <w:p>
            <w:pPr>
              <w:jc w:val="right"/>
              <w:ind w:right="62"/>
              <w:spacing w:after="0" w:line="129" w:lineRule="exact"/>
              <w:rPr>
                <w:sz w:val="20"/>
                <w:szCs w:val="20"/>
                <w:color w:val="auto"/>
              </w:rPr>
            </w:pPr>
            <w:r>
              <w:rPr>
                <w:rFonts w:ascii="Arial" w:cs="Arial" w:eastAsia="Arial" w:hAnsi="Arial"/>
                <w:sz w:val="14"/>
                <w:szCs w:val="14"/>
                <w:b w:val="1"/>
                <w:bCs w:val="1"/>
                <w:color w:val="auto"/>
              </w:rPr>
              <w:t>Filed</w:t>
            </w:r>
          </w:p>
        </w:tc>
        <w:tc>
          <w:tcPr>
            <w:tcW w:w="20" w:type="dxa"/>
            <w:vAlign w:val="bottom"/>
          </w:tcPr>
          <w:p>
            <w:pPr>
              <w:spacing w:after="0"/>
              <w:rPr>
                <w:sz w:val="11"/>
                <w:szCs w:val="11"/>
                <w:color w:val="auto"/>
              </w:rPr>
            </w:pPr>
          </w:p>
        </w:tc>
      </w:tr>
      <w:tr>
        <w:trPr>
          <w:trHeight w:val="176"/>
        </w:trPr>
        <w:tc>
          <w:tcPr>
            <w:tcW w:w="20" w:type="dxa"/>
            <w:vAlign w:val="bottom"/>
          </w:tcPr>
          <w:p>
            <w:pPr>
              <w:spacing w:after="0"/>
              <w:rPr>
                <w:sz w:val="15"/>
                <w:szCs w:val="15"/>
                <w:color w:val="auto"/>
              </w:rPr>
            </w:pPr>
          </w:p>
        </w:tc>
        <w:tc>
          <w:tcPr>
            <w:tcW w:w="840" w:type="dxa"/>
            <w:vAlign w:val="bottom"/>
            <w:gridSpan w:val="2"/>
          </w:tcPr>
          <w:p>
            <w:pPr>
              <w:ind w:left="180"/>
              <w:spacing w:after="0"/>
              <w:rPr>
                <w:sz w:val="20"/>
                <w:szCs w:val="20"/>
                <w:color w:val="auto"/>
              </w:rPr>
            </w:pPr>
            <w:r>
              <w:rPr>
                <w:rFonts w:ascii="Arial" w:cs="Arial" w:eastAsia="Arial" w:hAnsi="Arial"/>
                <w:sz w:val="14"/>
                <w:szCs w:val="14"/>
                <w:b w:val="1"/>
                <w:bCs w:val="1"/>
                <w:color w:val="auto"/>
              </w:rPr>
              <w:t>Form</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with the SEC</w:t>
            </w: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Number</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Herewith</w:t>
            </w:r>
          </w:p>
        </w:tc>
      </w:tr>
      <w:tr>
        <w:trPr>
          <w:trHeight w:val="224"/>
        </w:trPr>
        <w:tc>
          <w:tcPr>
            <w:tcW w:w="20" w:type="dxa"/>
            <w:vAlign w:val="bottom"/>
          </w:tcPr>
          <w:p>
            <w:pPr>
              <w:spacing w:after="0"/>
              <w:rPr>
                <w:sz w:val="19"/>
                <w:szCs w:val="19"/>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8-K</w:t>
            </w: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October 15, 2015</w:t>
            </w:r>
          </w:p>
        </w:tc>
        <w:tc>
          <w:tcPr>
            <w:tcW w:w="1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69"/>
        </w:trPr>
        <w:tc>
          <w:tcPr>
            <w:tcW w:w="860" w:type="dxa"/>
            <w:vAlign w:val="bottom"/>
            <w:gridSpan w:val="3"/>
          </w:tcPr>
          <w:p>
            <w:pP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4.4</w:t>
            </w: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December 13, 2017</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X</w:t>
            </w: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December 27, 2016</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S-1/A</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860" w:type="dxa"/>
            <w:vAlign w:val="bottom"/>
            <w:gridSpan w:val="3"/>
          </w:tcPr>
          <w:p>
            <w:pPr>
              <w:spacing w:after="0"/>
              <w:rPr>
                <w:sz w:val="20"/>
                <w:szCs w:val="20"/>
                <w:color w:val="auto"/>
              </w:rPr>
            </w:pPr>
            <w:r>
              <w:rPr>
                <w:rFonts w:ascii="Arial" w:cs="Arial" w:eastAsia="Arial" w:hAnsi="Arial"/>
                <w:sz w:val="18"/>
                <w:szCs w:val="18"/>
                <w:color w:val="auto"/>
              </w:rPr>
              <w:t>S-1/A</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S-1/A</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10.3</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S-1/A</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S-1/A</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1,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4"/>
        </w:trPr>
        <w:tc>
          <w:tcPr>
            <w:tcW w:w="860" w:type="dxa"/>
            <w:vAlign w:val="bottom"/>
            <w:gridSpan w:val="3"/>
          </w:tcPr>
          <w:p>
            <w:pPr>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10.6</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860" w:type="dxa"/>
            <w:vAlign w:val="bottom"/>
            <w:gridSpan w:val="3"/>
          </w:tcPr>
          <w:p>
            <w:pPr>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10.7</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860" w:type="dxa"/>
            <w:vAlign w:val="bottom"/>
            <w:gridSpan w:val="3"/>
          </w:tcPr>
          <w:p>
            <w:pPr>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10.8</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860" w:type="dxa"/>
            <w:vAlign w:val="bottom"/>
            <w:gridSpan w:val="3"/>
          </w:tcPr>
          <w:p>
            <w:pPr>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10.9</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860" w:type="dxa"/>
            <w:vAlign w:val="bottom"/>
            <w:gridSpan w:val="3"/>
          </w:tcPr>
          <w:p>
            <w:pPr>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10.10</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860" w:type="dxa"/>
            <w:vAlign w:val="bottom"/>
            <w:gridSpan w:val="3"/>
          </w:tcPr>
          <w:p>
            <w:pPr>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10.11</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860" w:type="dxa"/>
            <w:vAlign w:val="bottom"/>
            <w:gridSpan w:val="3"/>
          </w:tcPr>
          <w:p>
            <w:pPr>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10.12</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2">
            <w:col w:w="7320" w:space="100"/>
            <w:col w:w="4000"/>
          </w:cols>
          <w:pgMar w:left="240" w:top="460" w:right="239" w:bottom="1440" w:gutter="0" w:footer="0" w:header="0"/>
        </w:sectPr>
      </w:pPr>
    </w:p>
    <w:bookmarkStart w:id="196" w:name="page197"/>
    <w:bookmarkEnd w:id="19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ind w:left="120"/>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20" w:type="dxa"/>
            <w:vAlign w:val="bottom"/>
            <w:gridSpan w:val="19"/>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00" w:type="dxa"/>
            <w:vAlign w:val="bottom"/>
          </w:tcPr>
          <w:p>
            <w:pPr>
              <w:ind w:left="100"/>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9"/>
                <w:szCs w:val="19"/>
                <w:color w:val="auto"/>
              </w:rPr>
            </w:pPr>
          </w:p>
        </w:tc>
        <w:tc>
          <w:tcPr>
            <w:tcW w:w="6500" w:type="dxa"/>
            <w:vAlign w:val="bottom"/>
            <w:gridSpan w:val="24"/>
          </w:tcPr>
          <w:p>
            <w:pPr>
              <w:spacing w:after="0"/>
              <w:rPr>
                <w:rFonts w:ascii="Arial" w:cs="Arial" w:eastAsia="Arial" w:hAnsi="Arial"/>
                <w:sz w:val="18"/>
                <w:szCs w:val="18"/>
                <w:color w:val="0000EE"/>
                <w:w w:val="94"/>
              </w:rPr>
            </w:pPr>
            <w:hyperlink r:id="rId287">
              <w:r>
                <w:rPr>
                  <w:rFonts w:ascii="Arial" w:cs="Arial" w:eastAsia="Arial" w:hAnsi="Arial"/>
                  <w:sz w:val="18"/>
                  <w:szCs w:val="18"/>
                  <w:color w:val="0000EE"/>
                  <w:w w:val="94"/>
                </w:rPr>
                <w:t>Amendment No. 2 to Convertible Note and Warrant Purchase Agreement, Convertible</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60" w:type="dxa"/>
            <w:vAlign w:val="bottom"/>
            <w:tcBorders>
              <w:top w:val="single" w:sz="8" w:color="0000EE"/>
            </w:tcBorders>
            <w:gridSpan w:val="16"/>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Promissory Notes and Warrants to Purchase Shares, dated January 17, 2012, by and</w:t>
              </w:r>
            </w:hyperlink>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287">
              <w:r>
                <w:rPr>
                  <w:rFonts w:ascii="Arial" w:cs="Arial" w:eastAsia="Arial" w:hAnsi="Arial"/>
                  <w:sz w:val="18"/>
                  <w:szCs w:val="18"/>
                  <w:color w:val="0000EE"/>
                  <w:w w:val="89"/>
                </w:rPr>
                <w:t>among Soleno Therapeutics, Inc. and the investors named therein.</w:t>
              </w:r>
            </w:hyperlink>
          </w:p>
        </w:tc>
        <w:tc>
          <w:tcPr>
            <w:tcW w:w="1260" w:type="dxa"/>
            <w:vAlign w:val="bottom"/>
            <w:tcBorders>
              <w:top w:val="single" w:sz="8" w:color="0000EE"/>
            </w:tcBorders>
          </w:tcPr>
          <w:p>
            <w:pPr>
              <w:spacing w:after="0"/>
              <w:rPr>
                <w:sz w:val="17"/>
                <w:szCs w:val="17"/>
                <w:color w:val="auto"/>
              </w:rPr>
            </w:pPr>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2"/>
                <w:szCs w:val="22"/>
                <w:color w:val="auto"/>
              </w:rPr>
            </w:pPr>
          </w:p>
        </w:tc>
        <w:tc>
          <w:tcPr>
            <w:tcW w:w="6100" w:type="dxa"/>
            <w:vAlign w:val="bottom"/>
            <w:tcBorders>
              <w:bottom w:val="single" w:sz="8" w:color="0000EE"/>
            </w:tcBorders>
            <w:gridSpan w:val="13"/>
          </w:tcPr>
          <w:p>
            <w:pPr>
              <w:spacing w:after="0"/>
              <w:rPr>
                <w:rFonts w:ascii="Arial" w:cs="Arial" w:eastAsia="Arial" w:hAnsi="Arial"/>
                <w:sz w:val="18"/>
                <w:szCs w:val="18"/>
                <w:color w:val="0000EE"/>
                <w:w w:val="90"/>
              </w:rPr>
            </w:pPr>
            <w:hyperlink r:id="rId288">
              <w:r>
                <w:rPr>
                  <w:rFonts w:ascii="Arial" w:cs="Arial" w:eastAsia="Arial" w:hAnsi="Arial"/>
                  <w:sz w:val="18"/>
                  <w:szCs w:val="18"/>
                  <w:color w:val="0000EE"/>
                  <w:w w:val="90"/>
                </w:rPr>
                <w:t>Convertible Note and Warrant Purchase Agreement, dated January 16, 2012, by and</w:t>
              </w:r>
            </w:hyperlink>
          </w:p>
        </w:tc>
        <w:tc>
          <w:tcPr>
            <w:tcW w:w="400" w:type="dxa"/>
            <w:vAlign w:val="bottom"/>
            <w:gridSpan w:val="11"/>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7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r:id="rId288">
              <w:r>
                <w:rPr>
                  <w:rFonts w:ascii="Arial" w:cs="Arial" w:eastAsia="Arial" w:hAnsi="Arial"/>
                  <w:sz w:val="18"/>
                  <w:szCs w:val="18"/>
                  <w:color w:val="0000EE"/>
                  <w:w w:val="89"/>
                </w:rPr>
                <w:t>among Soleno Therapeutics, Inc. and the investors named therein.</w:t>
              </w:r>
            </w:hyperlink>
          </w:p>
        </w:tc>
        <w:tc>
          <w:tcPr>
            <w:tcW w:w="17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2"/>
                <w:szCs w:val="22"/>
                <w:color w:val="auto"/>
              </w:rPr>
            </w:pPr>
          </w:p>
        </w:tc>
        <w:tc>
          <w:tcPr>
            <w:tcW w:w="6480" w:type="dxa"/>
            <w:vAlign w:val="bottom"/>
            <w:tcBorders>
              <w:bottom w:val="single" w:sz="8" w:color="0000EE"/>
            </w:tcBorders>
            <w:gridSpan w:val="23"/>
          </w:tcPr>
          <w:p>
            <w:pPr>
              <w:spacing w:after="0"/>
              <w:rPr>
                <w:rFonts w:ascii="Arial" w:cs="Arial" w:eastAsia="Arial" w:hAnsi="Arial"/>
                <w:sz w:val="18"/>
                <w:szCs w:val="18"/>
                <w:color w:val="0000EE"/>
                <w:w w:val="90"/>
              </w:rPr>
            </w:pPr>
            <w:hyperlink r:id="rId289">
              <w:r>
                <w:rPr>
                  <w:rFonts w:ascii="Arial" w:cs="Arial" w:eastAsia="Arial" w:hAnsi="Arial"/>
                  <w:sz w:val="18"/>
                  <w:szCs w:val="18"/>
                  <w:color w:val="0000EE"/>
                  <w:w w:val="90"/>
                </w:rPr>
                <w:t>Omnibus Amendment to Convertible Note and Warrant Purchase Agreement, Convertible</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0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289">
              <w:r>
                <w:rPr>
                  <w:rFonts w:ascii="Arial" w:cs="Arial" w:eastAsia="Arial" w:hAnsi="Arial"/>
                  <w:sz w:val="18"/>
                  <w:szCs w:val="18"/>
                  <w:color w:val="0000EE"/>
                  <w:w w:val="88"/>
                </w:rPr>
                <w:t>Promissory Notes and Warrants to Purchase Shares, dated July 31, 2012, by and among</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24"/>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Soleno Therapeutics, Inc. and the investors named therein.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2"/>
                <w:szCs w:val="22"/>
                <w:color w:val="auto"/>
              </w:rPr>
            </w:pPr>
          </w:p>
        </w:tc>
        <w:tc>
          <w:tcPr>
            <w:tcW w:w="6460" w:type="dxa"/>
            <w:vAlign w:val="bottom"/>
            <w:tcBorders>
              <w:bottom w:val="single" w:sz="8" w:color="0000EE"/>
            </w:tcBorders>
            <w:gridSpan w:val="22"/>
          </w:tcPr>
          <w:p>
            <w:pPr>
              <w:spacing w:after="0"/>
              <w:rPr>
                <w:rFonts w:ascii="Arial" w:cs="Arial" w:eastAsia="Arial" w:hAnsi="Arial"/>
                <w:sz w:val="18"/>
                <w:szCs w:val="18"/>
                <w:color w:val="0000EE"/>
                <w:w w:val="89"/>
              </w:rPr>
            </w:pPr>
            <w:hyperlink r:id="rId290">
              <w:r>
                <w:rPr>
                  <w:rFonts w:ascii="Arial" w:cs="Arial" w:eastAsia="Arial" w:hAnsi="Arial"/>
                  <w:sz w:val="18"/>
                  <w:szCs w:val="18"/>
                  <w:color w:val="0000EE"/>
                  <w:w w:val="89"/>
                </w:rPr>
                <w:t>Omnibus Amendment to Convertible Promissory Notes and Warrants to Purchase Shares,</w:t>
              </w:r>
            </w:hyperlink>
          </w:p>
        </w:tc>
        <w:tc>
          <w:tcPr>
            <w:tcW w:w="4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24"/>
          </w:tcPr>
          <w:p>
            <w:pPr>
              <w:spacing w:after="0" w:line="196" w:lineRule="exact"/>
              <w:rPr>
                <w:rFonts w:ascii="Arial" w:cs="Arial" w:eastAsia="Arial" w:hAnsi="Arial"/>
                <w:sz w:val="18"/>
                <w:szCs w:val="18"/>
                <w:color w:val="0000EE"/>
                <w:w w:val="93"/>
              </w:rPr>
            </w:pPr>
            <w:hyperlink r:id="rId290">
              <w:r>
                <w:rPr>
                  <w:rFonts w:ascii="Arial" w:cs="Arial" w:eastAsia="Arial" w:hAnsi="Arial"/>
                  <w:sz w:val="18"/>
                  <w:szCs w:val="18"/>
                  <w:color w:val="0000EE"/>
                  <w:w w:val="93"/>
                </w:rPr>
                <w:t>dated April 28, 2014, by and among Soleno Therapeutics, Inc. and the investors named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290">
              <w:r>
                <w:rPr>
                  <w:rFonts w:ascii="Arial" w:cs="Arial" w:eastAsia="Arial" w:hAnsi="Arial"/>
                  <w:sz w:val="18"/>
                  <w:szCs w:val="18"/>
                  <w:color w:val="0000EE"/>
                </w:rPr>
                <w:t>therein.</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22"/>
                <w:szCs w:val="22"/>
                <w:color w:val="auto"/>
              </w:rPr>
            </w:pPr>
          </w:p>
        </w:tc>
        <w:tc>
          <w:tcPr>
            <w:tcW w:w="6500" w:type="dxa"/>
            <w:vAlign w:val="bottom"/>
            <w:gridSpan w:val="24"/>
          </w:tcPr>
          <w:p>
            <w:pPr>
              <w:spacing w:after="0"/>
              <w:rPr>
                <w:rFonts w:ascii="Arial" w:cs="Arial" w:eastAsia="Arial" w:hAnsi="Arial"/>
                <w:sz w:val="18"/>
                <w:szCs w:val="18"/>
                <w:color w:val="0000EE"/>
                <w:w w:val="91"/>
              </w:rPr>
            </w:pPr>
            <w:hyperlink r:id="rId291">
              <w:r>
                <w:rPr>
                  <w:rFonts w:ascii="Arial" w:cs="Arial" w:eastAsia="Arial" w:hAnsi="Arial"/>
                  <w:sz w:val="18"/>
                  <w:szCs w:val="18"/>
                  <w:color w:val="0000EE"/>
                  <w:w w:val="91"/>
                </w:rPr>
                <w:t>Convertible Note and Warrant Purchase Agreement, dated April 28, 2014, by and among</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Soleno Therapeutics, Inc. and the investors named therein.</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10.18</w:t>
            </w:r>
          </w:p>
        </w:tc>
        <w:tc>
          <w:tcPr>
            <w:tcW w:w="100" w:type="dxa"/>
            <w:vAlign w:val="bottom"/>
          </w:tcPr>
          <w:p>
            <w:pPr>
              <w:spacing w:after="0"/>
              <w:rPr>
                <w:sz w:val="22"/>
                <w:szCs w:val="22"/>
                <w:color w:val="auto"/>
              </w:rPr>
            </w:pPr>
          </w:p>
        </w:tc>
        <w:tc>
          <w:tcPr>
            <w:tcW w:w="6480" w:type="dxa"/>
            <w:vAlign w:val="bottom"/>
            <w:tcBorders>
              <w:bottom w:val="single" w:sz="8" w:color="0000EE"/>
            </w:tcBorders>
            <w:gridSpan w:val="23"/>
          </w:tcPr>
          <w:p>
            <w:pPr>
              <w:spacing w:after="0"/>
              <w:rPr>
                <w:rFonts w:ascii="Arial" w:cs="Arial" w:eastAsia="Arial" w:hAnsi="Arial"/>
                <w:sz w:val="18"/>
                <w:szCs w:val="18"/>
                <w:color w:val="0000EE"/>
                <w:w w:val="90"/>
              </w:rPr>
            </w:pPr>
            <w:hyperlink r:id="rId292">
              <w:r>
                <w:rPr>
                  <w:rFonts w:ascii="Arial" w:cs="Arial" w:eastAsia="Arial" w:hAnsi="Arial"/>
                  <w:sz w:val="18"/>
                  <w:szCs w:val="18"/>
                  <w:color w:val="0000EE"/>
                  <w:w w:val="90"/>
                </w:rPr>
                <w:t>Omnibus Amendment to Convertible Note and Warrant Purchase Agreement, Convertible</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4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r:id="rId292">
              <w:r>
                <w:rPr>
                  <w:rFonts w:ascii="Arial" w:cs="Arial" w:eastAsia="Arial" w:hAnsi="Arial"/>
                  <w:sz w:val="18"/>
                  <w:szCs w:val="18"/>
                  <w:color w:val="0000EE"/>
                  <w:w w:val="88"/>
                </w:rPr>
                <w:t>Promissory Notes and Warrants to Purchase Shares, dated May 5, 2014, by and among</w:t>
              </w:r>
            </w:hyperlink>
          </w:p>
        </w:tc>
        <w:tc>
          <w:tcPr>
            <w:tcW w:w="2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24"/>
          </w:tcPr>
          <w:p>
            <w:pPr>
              <w:spacing w:after="0" w:line="196" w:lineRule="exact"/>
              <w:rPr>
                <w:rFonts w:ascii="Arial" w:cs="Arial" w:eastAsia="Arial" w:hAnsi="Arial"/>
                <w:sz w:val="18"/>
                <w:szCs w:val="18"/>
                <w:color w:val="0000EE"/>
              </w:rPr>
            </w:pPr>
            <w:hyperlink r:id="rId292">
              <w:r>
                <w:rPr>
                  <w:rFonts w:ascii="Arial" w:cs="Arial" w:eastAsia="Arial" w:hAnsi="Arial"/>
                  <w:sz w:val="18"/>
                  <w:szCs w:val="18"/>
                  <w:color w:val="0000EE"/>
                </w:rPr>
                <w:t>Soleno Therapeutics, Inc. and the investors named therein.</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22"/>
                <w:szCs w:val="22"/>
                <w:color w:val="auto"/>
              </w:rPr>
            </w:pPr>
          </w:p>
        </w:tc>
        <w:tc>
          <w:tcPr>
            <w:tcW w:w="6500" w:type="dxa"/>
            <w:vAlign w:val="bottom"/>
            <w:gridSpan w:val="24"/>
          </w:tcPr>
          <w:p>
            <w:pPr>
              <w:spacing w:after="0"/>
              <w:rPr>
                <w:rFonts w:ascii="Arial" w:cs="Arial" w:eastAsia="Arial" w:hAnsi="Arial"/>
                <w:sz w:val="18"/>
                <w:szCs w:val="18"/>
                <w:color w:val="0000EE"/>
                <w:w w:val="96"/>
              </w:rPr>
            </w:pPr>
            <w:hyperlink r:id="rId293">
              <w:r>
                <w:rPr>
                  <w:rFonts w:ascii="Arial" w:cs="Arial" w:eastAsia="Arial" w:hAnsi="Arial"/>
                  <w:sz w:val="18"/>
                  <w:szCs w:val="18"/>
                  <w:color w:val="0000EE"/>
                  <w:w w:val="96"/>
                </w:rPr>
                <w:t>Sublease, dated May 20, 2014, by and among Soleno Therapeutics, Inc. and Silicon</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Valley Finance Group.</w:t>
              </w:r>
            </w:hyperlink>
          </w:p>
        </w:tc>
        <w:tc>
          <w:tcPr>
            <w:tcW w:w="48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22"/>
                <w:szCs w:val="22"/>
                <w:color w:val="auto"/>
              </w:rPr>
            </w:pPr>
          </w:p>
        </w:tc>
        <w:tc>
          <w:tcPr>
            <w:tcW w:w="6500" w:type="dxa"/>
            <w:vAlign w:val="bottom"/>
            <w:gridSpan w:val="24"/>
          </w:tcPr>
          <w:p>
            <w:pPr>
              <w:spacing w:after="0"/>
              <w:rPr>
                <w:rFonts w:ascii="Arial" w:cs="Arial" w:eastAsia="Arial" w:hAnsi="Arial"/>
                <w:sz w:val="18"/>
                <w:szCs w:val="18"/>
                <w:color w:val="0000EE"/>
                <w:w w:val="92"/>
              </w:rPr>
            </w:pPr>
            <w:hyperlink r:id="rId294">
              <w:r>
                <w:rPr>
                  <w:rFonts w:ascii="Arial" w:cs="Arial" w:eastAsia="Arial" w:hAnsi="Arial"/>
                  <w:sz w:val="18"/>
                  <w:szCs w:val="18"/>
                  <w:color w:val="0000EE"/>
                  <w:w w:val="92"/>
                </w:rPr>
                <w:t>Offer Letter, dated June 24, 2014, by and between Soleno Therapeutics, Inc. and David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294">
              <w:r>
                <w:rPr>
                  <w:rFonts w:ascii="Arial" w:cs="Arial" w:eastAsia="Arial" w:hAnsi="Arial"/>
                  <w:sz w:val="18"/>
                  <w:szCs w:val="18"/>
                  <w:color w:val="0000EE"/>
                </w:rPr>
                <w:t>D. O’Toole.</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22"/>
                <w:szCs w:val="22"/>
                <w:color w:val="auto"/>
              </w:rPr>
            </w:pPr>
          </w:p>
        </w:tc>
        <w:tc>
          <w:tcPr>
            <w:tcW w:w="6500" w:type="dxa"/>
            <w:vAlign w:val="bottom"/>
            <w:gridSpan w:val="24"/>
          </w:tcPr>
          <w:p>
            <w:pPr>
              <w:spacing w:after="0"/>
              <w:rPr>
                <w:rFonts w:ascii="Arial" w:cs="Arial" w:eastAsia="Arial" w:hAnsi="Arial"/>
                <w:sz w:val="18"/>
                <w:szCs w:val="18"/>
                <w:color w:val="0000EE"/>
                <w:w w:val="95"/>
              </w:rPr>
            </w:pPr>
            <w:hyperlink r:id="rId295">
              <w:r>
                <w:rPr>
                  <w:rFonts w:ascii="Arial" w:cs="Arial" w:eastAsia="Arial" w:hAnsi="Arial"/>
                  <w:sz w:val="18"/>
                  <w:szCs w:val="18"/>
                  <w:color w:val="0000EE"/>
                  <w:w w:val="95"/>
                </w:rPr>
                <w:t>Loan Agreement by and between Soleno Therapeutics, Inc. and the investors named</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r:id="rId295">
              <w:r>
                <w:rPr>
                  <w:rFonts w:ascii="Arial" w:cs="Arial" w:eastAsia="Arial" w:hAnsi="Arial"/>
                  <w:sz w:val="18"/>
                  <w:szCs w:val="18"/>
                  <w:color w:val="0000EE"/>
                  <w:w w:val="88"/>
                </w:rPr>
                <w:t>therein, dated September 29, 2014.</w:t>
              </w:r>
            </w:hyperlink>
          </w:p>
        </w:tc>
        <w:tc>
          <w:tcPr>
            <w:tcW w:w="3540" w:type="dxa"/>
            <w:vAlign w:val="bottom"/>
            <w:tcBorders>
              <w:top w:val="single" w:sz="8" w:color="0000EE"/>
            </w:tcBorders>
            <w:gridSpan w:val="6"/>
          </w:tcPr>
          <w:p>
            <w:pPr>
              <w:spacing w:after="0"/>
              <w:rPr>
                <w:sz w:val="17"/>
                <w:szCs w:val="17"/>
                <w:color w:val="auto"/>
              </w:rPr>
            </w:pPr>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22"/>
                <w:szCs w:val="22"/>
                <w:color w:val="auto"/>
              </w:rPr>
            </w:pPr>
          </w:p>
        </w:tc>
        <w:tc>
          <w:tcPr>
            <w:tcW w:w="6500" w:type="dxa"/>
            <w:vAlign w:val="bottom"/>
            <w:gridSpan w:val="24"/>
          </w:tcPr>
          <w:p>
            <w:pPr>
              <w:spacing w:after="0"/>
              <w:rPr>
                <w:rFonts w:ascii="Arial" w:cs="Arial" w:eastAsia="Arial" w:hAnsi="Arial"/>
                <w:sz w:val="18"/>
                <w:szCs w:val="18"/>
                <w:color w:val="0000EE"/>
                <w:w w:val="92"/>
              </w:rPr>
            </w:pPr>
            <w:hyperlink r:id="rId296">
              <w:r>
                <w:rPr>
                  <w:rFonts w:ascii="Arial" w:cs="Arial" w:eastAsia="Arial" w:hAnsi="Arial"/>
                  <w:sz w:val="18"/>
                  <w:szCs w:val="18"/>
                  <w:color w:val="0000EE"/>
                  <w:w w:val="92"/>
                </w:rPr>
                <w:t>Revised Second Tranche Closing Notice and Letter Amendment dated August 18, 2014</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3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296">
              <w:r>
                <w:rPr>
                  <w:rFonts w:ascii="Arial" w:cs="Arial" w:eastAsia="Arial" w:hAnsi="Arial"/>
                  <w:sz w:val="18"/>
                  <w:szCs w:val="18"/>
                  <w:color w:val="0000EE"/>
                </w:rPr>
                <w:t>relating to the August 2014 Notes.</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2"/>
                <w:szCs w:val="22"/>
                <w:color w:val="auto"/>
              </w:rPr>
            </w:pPr>
          </w:p>
        </w:tc>
        <w:tc>
          <w:tcPr>
            <w:tcW w:w="6220" w:type="dxa"/>
            <w:vAlign w:val="bottom"/>
            <w:tcBorders>
              <w:bottom w:val="single" w:sz="8" w:color="0000EE"/>
            </w:tcBorders>
            <w:gridSpan w:val="14"/>
          </w:tcPr>
          <w:p>
            <w:pPr>
              <w:spacing w:after="0"/>
              <w:rPr>
                <w:rFonts w:ascii="Arial" w:cs="Arial" w:eastAsia="Arial" w:hAnsi="Arial"/>
                <w:sz w:val="18"/>
                <w:szCs w:val="18"/>
                <w:color w:val="0000EE"/>
                <w:w w:val="89"/>
              </w:rPr>
            </w:pPr>
            <w:hyperlink r:id="rId297">
              <w:r>
                <w:rPr>
                  <w:rFonts w:ascii="Arial" w:cs="Arial" w:eastAsia="Arial" w:hAnsi="Arial"/>
                  <w:sz w:val="18"/>
                  <w:szCs w:val="18"/>
                  <w:color w:val="0000EE"/>
                  <w:w w:val="89"/>
                </w:rPr>
                <w:t>Second Tranche Subsequent Closing Notice and Letter Amendment dated October 22,</w:t>
              </w:r>
            </w:hyperlink>
          </w:p>
        </w:tc>
        <w:tc>
          <w:tcPr>
            <w:tcW w:w="2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24"/>
          </w:tcPr>
          <w:p>
            <w:pPr>
              <w:spacing w:after="0" w:line="196" w:lineRule="exact"/>
              <w:rPr>
                <w:rFonts w:ascii="Arial" w:cs="Arial" w:eastAsia="Arial" w:hAnsi="Arial"/>
                <w:sz w:val="18"/>
                <w:szCs w:val="18"/>
                <w:color w:val="0000EE"/>
              </w:rPr>
            </w:pPr>
            <w:hyperlink r:id="rId297">
              <w:r>
                <w:rPr>
                  <w:rFonts w:ascii="Arial" w:cs="Arial" w:eastAsia="Arial" w:hAnsi="Arial"/>
                  <w:sz w:val="18"/>
                  <w:szCs w:val="18"/>
                  <w:color w:val="0000EE"/>
                </w:rPr>
                <w:t>2014 relating to the October 2014 Notes.</w:t>
              </w:r>
            </w:hyperlink>
          </w:p>
        </w:tc>
        <w:tc>
          <w:tcPr>
            <w:tcW w:w="0" w:type="dxa"/>
            <w:vAlign w:val="bottom"/>
          </w:tcPr>
          <w:p>
            <w:pPr>
              <w:spacing w:after="0"/>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22"/>
                <w:szCs w:val="22"/>
                <w:color w:val="auto"/>
              </w:rPr>
            </w:pPr>
          </w:p>
        </w:tc>
        <w:tc>
          <w:tcPr>
            <w:tcW w:w="2940" w:type="dxa"/>
            <w:vAlign w:val="bottom"/>
            <w:tcBorders>
              <w:top w:val="single" w:sz="8" w:color="0000EE"/>
            </w:tcBorders>
            <w:gridSpan w:val="8"/>
          </w:tcPr>
          <w:p>
            <w:pPr>
              <w:spacing w:after="0"/>
              <w:rPr>
                <w:rFonts w:ascii="Arial" w:cs="Arial" w:eastAsia="Arial" w:hAnsi="Arial"/>
                <w:sz w:val="18"/>
                <w:szCs w:val="18"/>
                <w:color w:val="0000EE"/>
                <w:w w:val="96"/>
              </w:rPr>
            </w:pPr>
            <w:hyperlink r:id="rId298">
              <w:r>
                <w:rPr>
                  <w:rFonts w:ascii="Arial" w:cs="Arial" w:eastAsia="Arial" w:hAnsi="Arial"/>
                  <w:sz w:val="18"/>
                  <w:szCs w:val="18"/>
                  <w:color w:val="0000EE"/>
                  <w:w w:val="96"/>
                </w:rPr>
                <w:t>Form of Warrant Exercise Agreement.</w:t>
              </w:r>
            </w:hyperlink>
          </w:p>
        </w:tc>
        <w:tc>
          <w:tcPr>
            <w:tcW w:w="3560" w:type="dxa"/>
            <w:vAlign w:val="bottom"/>
            <w:gridSpan w:val="16"/>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gridSpan w:val="3"/>
            <w:shd w:val="clear" w:color="auto" w:fill="0000EE"/>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3620" w:type="dxa"/>
            <w:vAlign w:val="bottom"/>
            <w:gridSpan w:val="13"/>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00" w:type="dxa"/>
            <w:vAlign w:val="bottom"/>
          </w:tcPr>
          <w:p>
            <w:pPr>
              <w:ind w:left="100"/>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2"/>
                <w:szCs w:val="22"/>
                <w:color w:val="auto"/>
              </w:rPr>
            </w:pPr>
          </w:p>
        </w:tc>
        <w:tc>
          <w:tcPr>
            <w:tcW w:w="6500" w:type="dxa"/>
            <w:vAlign w:val="bottom"/>
            <w:gridSpan w:val="24"/>
          </w:tcPr>
          <w:p>
            <w:pPr>
              <w:spacing w:after="0"/>
              <w:rPr>
                <w:rFonts w:ascii="Arial" w:cs="Arial" w:eastAsia="Arial" w:hAnsi="Arial"/>
                <w:sz w:val="18"/>
                <w:szCs w:val="18"/>
                <w:color w:val="0000EE"/>
                <w:w w:val="93"/>
              </w:rPr>
            </w:pPr>
            <w:hyperlink r:id="rId299">
              <w:r>
                <w:rPr>
                  <w:rFonts w:ascii="Arial" w:cs="Arial" w:eastAsia="Arial" w:hAnsi="Arial"/>
                  <w:sz w:val="18"/>
                  <w:szCs w:val="18"/>
                  <w:color w:val="0000EE"/>
                  <w:w w:val="93"/>
                </w:rPr>
                <w:t>Advisory Agreement by and between Soleno Therapeutics, Inc. and Maxim Group LLC,</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299">
              <w:r>
                <w:rPr>
                  <w:rFonts w:ascii="Arial" w:cs="Arial" w:eastAsia="Arial" w:hAnsi="Arial"/>
                  <w:sz w:val="18"/>
                  <w:szCs w:val="18"/>
                  <w:color w:val="0000EE"/>
                  <w:w w:val="89"/>
                </w:rPr>
                <w:t>dated March 4, 2015.</w:t>
              </w:r>
            </w:hyperlink>
          </w:p>
        </w:tc>
        <w:tc>
          <w:tcPr>
            <w:tcW w:w="4840" w:type="dxa"/>
            <w:vAlign w:val="bottom"/>
            <w:tcBorders>
              <w:top w:val="single" w:sz="8" w:color="0000EE"/>
            </w:tcBorders>
            <w:gridSpan w:val="17"/>
          </w:tcPr>
          <w:p>
            <w:pPr>
              <w:spacing w:after="0"/>
              <w:rPr>
                <w:sz w:val="17"/>
                <w:szCs w:val="17"/>
                <w:color w:val="auto"/>
              </w:rPr>
            </w:pPr>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Incorporated by Reference from</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7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88"/>
              </w:rPr>
              <w:t>Registrant’s</w:t>
            </w:r>
          </w:p>
        </w:tc>
        <w:tc>
          <w:tcPr>
            <w:tcW w:w="120" w:type="dxa"/>
            <w:vAlign w:val="bottom"/>
            <w:tcBorders>
              <w:top w:val="single" w:sz="8" w:color="auto"/>
            </w:tcBorders>
          </w:tcPr>
          <w:p>
            <w:pPr>
              <w:spacing w:after="0"/>
              <w:rPr>
                <w:sz w:val="11"/>
                <w:szCs w:val="11"/>
                <w:color w:val="auto"/>
              </w:rPr>
            </w:pPr>
          </w:p>
        </w:tc>
        <w:tc>
          <w:tcPr>
            <w:tcW w:w="15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5"/>
              </w:rPr>
              <w:t>Date Filed</w:t>
            </w:r>
          </w:p>
        </w:tc>
        <w:tc>
          <w:tcPr>
            <w:tcW w:w="1020" w:type="dxa"/>
            <w:vAlign w:val="bottom"/>
            <w:tcBorders>
              <w:top w:val="single" w:sz="8" w:color="auto"/>
            </w:tcBorders>
            <w:gridSpan w:val="2"/>
          </w:tcPr>
          <w:p>
            <w:pPr>
              <w:ind w:left="120"/>
              <w:spacing w:after="0" w:line="129" w:lineRule="exact"/>
              <w:rPr>
                <w:sz w:val="20"/>
                <w:szCs w:val="20"/>
                <w:color w:val="auto"/>
              </w:rPr>
            </w:pPr>
            <w:r>
              <w:rPr>
                <w:rFonts w:ascii="Arial" w:cs="Arial" w:eastAsia="Arial" w:hAnsi="Arial"/>
                <w:sz w:val="14"/>
                <w:szCs w:val="14"/>
                <w:b w:val="1"/>
                <w:bCs w:val="1"/>
                <w:color w:val="auto"/>
              </w:rPr>
              <w:t>Exhibit</w:t>
            </w:r>
          </w:p>
        </w:tc>
        <w:tc>
          <w:tcPr>
            <w:tcW w:w="5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Filed</w:t>
            </w:r>
          </w:p>
        </w:tc>
      </w:tr>
      <w:tr>
        <w:trPr>
          <w:trHeight w:val="176"/>
        </w:trPr>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with the SEC</w:t>
            </w: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264"/>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10.13</w:t>
            </w:r>
          </w:p>
        </w:tc>
        <w:tc>
          <w:tcPr>
            <w:tcW w:w="580" w:type="dxa"/>
            <w:vAlign w:val="bottom"/>
          </w:tcPr>
          <w:p>
            <w:pPr>
              <w:spacing w:after="0"/>
              <w:rPr>
                <w:sz w:val="22"/>
                <w:szCs w:val="22"/>
                <w:color w:val="auto"/>
              </w:rPr>
            </w:pPr>
          </w:p>
        </w:tc>
      </w:tr>
      <w:tr>
        <w:trPr>
          <w:trHeight w:val="716"/>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10.14</w:t>
            </w:r>
          </w:p>
        </w:tc>
        <w:tc>
          <w:tcPr>
            <w:tcW w:w="58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10.15</w:t>
            </w:r>
          </w:p>
        </w:tc>
        <w:tc>
          <w:tcPr>
            <w:tcW w:w="580" w:type="dxa"/>
            <w:vAlign w:val="bottom"/>
          </w:tcPr>
          <w:p>
            <w:pPr>
              <w:spacing w:after="0"/>
              <w:rPr>
                <w:sz w:val="24"/>
                <w:szCs w:val="24"/>
                <w:color w:val="auto"/>
              </w:rPr>
            </w:pPr>
          </w:p>
        </w:tc>
      </w:tr>
      <w:tr>
        <w:trPr>
          <w:trHeight w:val="716"/>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10.16</w:t>
            </w:r>
          </w:p>
        </w:tc>
        <w:tc>
          <w:tcPr>
            <w:tcW w:w="580" w:type="dxa"/>
            <w:vAlign w:val="bottom"/>
          </w:tcPr>
          <w:p>
            <w:pPr>
              <w:spacing w:after="0"/>
              <w:rPr>
                <w:sz w:val="24"/>
                <w:szCs w:val="24"/>
                <w:color w:val="auto"/>
              </w:rPr>
            </w:pPr>
          </w:p>
        </w:tc>
      </w:tr>
      <w:tr>
        <w:trPr>
          <w:trHeight w:val="716"/>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10.17</w:t>
            </w:r>
          </w:p>
        </w:tc>
        <w:tc>
          <w:tcPr>
            <w:tcW w:w="58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S-1</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June 10,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10.18</w:t>
            </w:r>
          </w:p>
        </w:tc>
        <w:tc>
          <w:tcPr>
            <w:tcW w:w="580" w:type="dxa"/>
            <w:vAlign w:val="bottom"/>
          </w:tcPr>
          <w:p>
            <w:pPr>
              <w:spacing w:after="0"/>
              <w:rPr>
                <w:sz w:val="24"/>
                <w:szCs w:val="24"/>
                <w:color w:val="auto"/>
              </w:rPr>
            </w:pPr>
          </w:p>
        </w:tc>
      </w:tr>
      <w:tr>
        <w:trPr>
          <w:trHeight w:val="716"/>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July 1,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10.19</w:t>
            </w:r>
          </w:p>
        </w:tc>
        <w:tc>
          <w:tcPr>
            <w:tcW w:w="58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July 22,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10.20</w:t>
            </w:r>
          </w:p>
        </w:tc>
        <w:tc>
          <w:tcPr>
            <w:tcW w:w="58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w w:val="93"/>
              </w:rPr>
              <w:t>September 29,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10.21</w:t>
            </w:r>
          </w:p>
        </w:tc>
        <w:tc>
          <w:tcPr>
            <w:tcW w:w="58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November 4,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10.22</w:t>
            </w:r>
          </w:p>
        </w:tc>
        <w:tc>
          <w:tcPr>
            <w:tcW w:w="58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S-1/A</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November 4, 2014</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10.23</w:t>
            </w:r>
          </w:p>
        </w:tc>
        <w:tc>
          <w:tcPr>
            <w:tcW w:w="580" w:type="dxa"/>
            <w:vAlign w:val="bottom"/>
          </w:tcPr>
          <w:p>
            <w:pPr>
              <w:spacing w:after="0"/>
              <w:rPr>
                <w:sz w:val="24"/>
                <w:szCs w:val="24"/>
                <w:color w:val="auto"/>
              </w:rPr>
            </w:pPr>
          </w:p>
        </w:tc>
      </w:tr>
      <w:tr>
        <w:trPr>
          <w:trHeight w:val="500"/>
        </w:trPr>
        <w:tc>
          <w:tcPr>
            <w:tcW w:w="760" w:type="dxa"/>
            <w:vAlign w:val="bottom"/>
          </w:tcPr>
          <w:p>
            <w:pPr>
              <w:spacing w:after="0"/>
              <w:rPr>
                <w:sz w:val="20"/>
                <w:szCs w:val="20"/>
                <w:color w:val="auto"/>
              </w:rPr>
            </w:pPr>
            <w:r>
              <w:rPr>
                <w:rFonts w:ascii="Arial" w:cs="Arial" w:eastAsia="Arial" w:hAnsi="Arial"/>
                <w:sz w:val="18"/>
                <w:szCs w:val="18"/>
                <w:color w:val="auto"/>
              </w:rPr>
              <w:t>8-K</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March 5, 2015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r>
      <w:tr>
        <w:trPr>
          <w:trHeight w:val="284"/>
        </w:trPr>
        <w:tc>
          <w:tcPr>
            <w:tcW w:w="760" w:type="dxa"/>
            <w:vAlign w:val="bottom"/>
          </w:tcPr>
          <w:p>
            <w:pPr>
              <w:spacing w:after="0"/>
              <w:rPr>
                <w:sz w:val="20"/>
                <w:szCs w:val="20"/>
                <w:color w:val="auto"/>
              </w:rPr>
            </w:pPr>
            <w:r>
              <w:rPr>
                <w:rFonts w:ascii="Arial" w:cs="Arial" w:eastAsia="Arial" w:hAnsi="Arial"/>
                <w:sz w:val="18"/>
                <w:szCs w:val="18"/>
                <w:color w:val="auto"/>
              </w:rPr>
              <w:t>S-4</w:t>
            </w:r>
          </w:p>
        </w:tc>
        <w:tc>
          <w:tcPr>
            <w:tcW w:w="1660" w:type="dxa"/>
            <w:vAlign w:val="bottom"/>
            <w:gridSpan w:val="3"/>
          </w:tcPr>
          <w:p>
            <w:pPr>
              <w:ind w:left="120"/>
              <w:spacing w:after="0"/>
              <w:rPr>
                <w:sz w:val="20"/>
                <w:szCs w:val="20"/>
                <w:color w:val="auto"/>
              </w:rPr>
            </w:pPr>
            <w:r>
              <w:rPr>
                <w:rFonts w:ascii="Arial" w:cs="Arial" w:eastAsia="Arial" w:hAnsi="Arial"/>
                <w:sz w:val="18"/>
                <w:szCs w:val="18"/>
                <w:color w:val="auto"/>
              </w:rPr>
              <w:t>April 1, 2015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10.25</w:t>
            </w:r>
          </w:p>
        </w:tc>
        <w:tc>
          <w:tcPr>
            <w:tcW w:w="580" w:type="dxa"/>
            <w:vAlign w:val="bottom"/>
          </w:tcPr>
          <w:p>
            <w:pPr>
              <w:spacing w:after="0"/>
              <w:rPr>
                <w:sz w:val="24"/>
                <w:szCs w:val="24"/>
                <w:color w:val="auto"/>
              </w:rPr>
            </w:pPr>
          </w:p>
        </w:tc>
      </w:tr>
    </w:tbl>
    <w:p>
      <w:pPr>
        <w:sectPr>
          <w:pgSz w:w="11900" w:h="16838" w:orient="portrait"/>
          <w:cols w:equalWidth="0" w:num="2">
            <w:col w:w="7300" w:space="100"/>
            <w:col w:w="4020"/>
          </w:cols>
          <w:pgMar w:left="240" w:top="459" w:right="23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Incorporated by Reference from</w:t>
            </w:r>
          </w:p>
        </w:tc>
        <w:tc>
          <w:tcPr>
            <w:tcW w:w="1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8"/>
              </w:rPr>
              <w:t>Exhibit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20" w:type="dxa"/>
            <w:vAlign w:val="bottom"/>
            <w:gridSpan w:val="21"/>
            <w:vMerge w:val="restart"/>
          </w:tcPr>
          <w:p>
            <w:pPr>
              <w:ind w:left="260"/>
              <w:spacing w:after="0"/>
              <w:rPr>
                <w:sz w:val="20"/>
                <w:szCs w:val="20"/>
                <w:color w:val="auto"/>
              </w:rPr>
            </w:pPr>
            <w:r>
              <w:rPr>
                <w:rFonts w:ascii="Arial" w:cs="Arial" w:eastAsia="Arial" w:hAnsi="Arial"/>
                <w:sz w:val="14"/>
                <w:szCs w:val="14"/>
                <w:b w:val="1"/>
                <w:bCs w:val="1"/>
                <w:color w:val="auto"/>
              </w:rPr>
              <w:t>Description of Document</w:t>
            </w:r>
          </w:p>
        </w:tc>
        <w:tc>
          <w:tcPr>
            <w:tcW w:w="1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Registrant’s</w:t>
            </w:r>
          </w:p>
        </w:tc>
        <w:tc>
          <w:tcPr>
            <w:tcW w:w="1540" w:type="dxa"/>
            <w:vAlign w:val="bottom"/>
            <w:gridSpan w:val="2"/>
          </w:tcPr>
          <w:p>
            <w:pPr>
              <w:ind w:left="400"/>
              <w:spacing w:after="0" w:line="129" w:lineRule="exact"/>
              <w:rPr>
                <w:sz w:val="20"/>
                <w:szCs w:val="20"/>
                <w:color w:val="auto"/>
              </w:rPr>
            </w:pPr>
            <w:r>
              <w:rPr>
                <w:rFonts w:ascii="Arial" w:cs="Arial" w:eastAsia="Arial" w:hAnsi="Arial"/>
                <w:sz w:val="14"/>
                <w:szCs w:val="14"/>
                <w:b w:val="1"/>
                <w:bCs w:val="1"/>
                <w:color w:val="auto"/>
              </w:rPr>
              <w:t>Date Filed</w:t>
            </w:r>
          </w:p>
        </w:tc>
        <w:tc>
          <w:tcPr>
            <w:tcW w:w="82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20" w:type="dxa"/>
            <w:vAlign w:val="bottom"/>
            <w:gridSpan w:val="21"/>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ind w:left="220"/>
              <w:spacing w:after="0"/>
              <w:rPr>
                <w:sz w:val="20"/>
                <w:szCs w:val="20"/>
                <w:color w:val="auto"/>
              </w:rPr>
            </w:pPr>
            <w:r>
              <w:rPr>
                <w:rFonts w:ascii="Arial" w:cs="Arial" w:eastAsia="Arial" w:hAnsi="Arial"/>
                <w:sz w:val="14"/>
                <w:szCs w:val="14"/>
                <w:b w:val="1"/>
                <w:bCs w:val="1"/>
                <w:color w:val="auto"/>
              </w:rPr>
              <w:t>Form</w:t>
            </w:r>
          </w:p>
        </w:tc>
        <w:tc>
          <w:tcPr>
            <w:tcW w:w="1540" w:type="dxa"/>
            <w:vAlign w:val="bottom"/>
            <w:gridSpan w:val="2"/>
          </w:tcPr>
          <w:p>
            <w:pPr>
              <w:ind w:left="300"/>
              <w:spacing w:after="0"/>
              <w:rPr>
                <w:sz w:val="20"/>
                <w:szCs w:val="20"/>
                <w:color w:val="auto"/>
              </w:rPr>
            </w:pPr>
            <w:r>
              <w:rPr>
                <w:rFonts w:ascii="Arial" w:cs="Arial" w:eastAsia="Arial" w:hAnsi="Arial"/>
                <w:sz w:val="14"/>
                <w:szCs w:val="14"/>
                <w:b w:val="1"/>
                <w:bCs w:val="1"/>
                <w:color w:val="auto"/>
              </w:rPr>
              <w:t>with the SEC</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ind w:left="80"/>
              <w:spacing w:after="0" w:line="170" w:lineRule="exact"/>
              <w:rPr>
                <w:sz w:val="20"/>
                <w:szCs w:val="20"/>
                <w:color w:val="auto"/>
              </w:rPr>
            </w:pPr>
            <w:r>
              <w:rPr>
                <w:rFonts w:ascii="Arial" w:cs="Arial" w:eastAsia="Arial" w:hAnsi="Arial"/>
                <w:sz w:val="18"/>
                <w:szCs w:val="18"/>
                <w:color w:val="auto"/>
              </w:rPr>
              <w:t>10.26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360" w:type="dxa"/>
            <w:vAlign w:val="bottom"/>
            <w:tcBorders>
              <w:top w:val="single" w:sz="8" w:color="auto"/>
            </w:tcBorders>
            <w:gridSpan w:val="32"/>
          </w:tcPr>
          <w:p>
            <w:pPr>
              <w:spacing w:after="0" w:line="170" w:lineRule="exact"/>
              <w:rPr>
                <w:rFonts w:ascii="Arial" w:cs="Arial" w:eastAsia="Arial" w:hAnsi="Arial"/>
                <w:sz w:val="18"/>
                <w:szCs w:val="18"/>
                <w:color w:val="0000EE"/>
                <w:w w:val="90"/>
              </w:rPr>
            </w:pPr>
            <w:hyperlink r:id="rId301">
              <w:r>
                <w:rPr>
                  <w:rFonts w:ascii="Arial" w:cs="Arial" w:eastAsia="Arial" w:hAnsi="Arial"/>
                  <w:sz w:val="18"/>
                  <w:szCs w:val="18"/>
                  <w:color w:val="0000EE"/>
                  <w:w w:val="90"/>
                </w:rPr>
                <w:t>Agreement and First Amendment to Asset Purchase Agreement between the Company,</w:t>
              </w:r>
            </w:hyperlink>
          </w:p>
        </w:tc>
        <w:tc>
          <w:tcPr>
            <w:tcW w:w="100" w:type="dxa"/>
            <w:vAlign w:val="bottom"/>
          </w:tcPr>
          <w:p>
            <w:pPr>
              <w:spacing w:after="0"/>
              <w:rPr>
                <w:sz w:val="14"/>
                <w:szCs w:val="14"/>
                <w:color w:val="auto"/>
              </w:rPr>
            </w:pPr>
          </w:p>
        </w:tc>
        <w:tc>
          <w:tcPr>
            <w:tcW w:w="7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8-K</w:t>
            </w:r>
          </w:p>
        </w:tc>
        <w:tc>
          <w:tcPr>
            <w:tcW w:w="120" w:type="dxa"/>
            <w:vAlign w:val="bottom"/>
          </w:tcPr>
          <w:p>
            <w:pPr>
              <w:spacing w:after="0"/>
              <w:rPr>
                <w:sz w:val="14"/>
                <w:szCs w:val="14"/>
                <w:color w:val="auto"/>
              </w:rPr>
            </w:pPr>
          </w:p>
        </w:tc>
        <w:tc>
          <w:tcPr>
            <w:tcW w:w="144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July 7, 2015</w:t>
            </w:r>
          </w:p>
        </w:tc>
        <w:tc>
          <w:tcPr>
            <w:tcW w:w="100" w:type="dxa"/>
            <w:vAlign w:val="bottom"/>
          </w:tcPr>
          <w:p>
            <w:pPr>
              <w:spacing w:after="0"/>
              <w:rPr>
                <w:sz w:val="14"/>
                <w:szCs w:val="14"/>
                <w:color w:val="auto"/>
              </w:rPr>
            </w:pPr>
          </w:p>
        </w:tc>
        <w:tc>
          <w:tcPr>
            <w:tcW w:w="66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10.1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BDDI and affiliate of BDDI, dated June 30, 2015</w:t>
              </w:r>
              <w:r>
                <w:rPr>
                  <w:rFonts w:ascii="Arial" w:cs="Arial" w:eastAsia="Arial" w:hAnsi="Arial"/>
                  <w:sz w:val="18"/>
                  <w:szCs w:val="18"/>
                  <w:color w:val="000000"/>
                </w:rPr>
                <w:t>.</w:t>
              </w:r>
            </w:hyperlink>
          </w:p>
        </w:tc>
        <w:tc>
          <w:tcPr>
            <w:tcW w:w="1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10.27</w:t>
            </w:r>
          </w:p>
        </w:tc>
        <w:tc>
          <w:tcPr>
            <w:tcW w:w="120" w:type="dxa"/>
            <w:vAlign w:val="bottom"/>
          </w:tcPr>
          <w:p>
            <w:pPr>
              <w:spacing w:after="0"/>
              <w:rPr>
                <w:sz w:val="22"/>
                <w:szCs w:val="22"/>
                <w:color w:val="auto"/>
              </w:rPr>
            </w:pPr>
          </w:p>
        </w:tc>
        <w:tc>
          <w:tcPr>
            <w:tcW w:w="6160" w:type="dxa"/>
            <w:vAlign w:val="bottom"/>
            <w:tcBorders>
              <w:bottom w:val="single" w:sz="8" w:color="0000EE"/>
            </w:tcBorders>
            <w:gridSpan w:val="28"/>
          </w:tcPr>
          <w:p>
            <w:pPr>
              <w:spacing w:after="0"/>
              <w:rPr>
                <w:rFonts w:ascii="Arial" w:cs="Arial" w:eastAsia="Arial" w:hAnsi="Arial"/>
                <w:sz w:val="18"/>
                <w:szCs w:val="18"/>
                <w:color w:val="0000EE"/>
                <w:w w:val="90"/>
              </w:rPr>
            </w:pPr>
            <w:hyperlink r:id="rId302">
              <w:r>
                <w:rPr>
                  <w:rFonts w:ascii="Arial" w:cs="Arial" w:eastAsia="Arial" w:hAnsi="Arial"/>
                  <w:sz w:val="18"/>
                  <w:szCs w:val="18"/>
                  <w:color w:val="0000EE"/>
                  <w:w w:val="90"/>
                </w:rPr>
                <w:t>Common Stock Purchase Agreement between the Company and an affiliate of BDDI,</w:t>
              </w:r>
            </w:hyperlink>
          </w:p>
        </w:tc>
        <w:tc>
          <w:tcPr>
            <w:tcW w:w="220" w:type="dxa"/>
            <w:vAlign w:val="bottom"/>
            <w:gridSpan w:val="5"/>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7,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86"/>
              </w:rPr>
            </w:pPr>
            <w:hyperlink r:id="rId302">
              <w:r>
                <w:rPr>
                  <w:rFonts w:ascii="Arial" w:cs="Arial" w:eastAsia="Arial" w:hAnsi="Arial"/>
                  <w:sz w:val="18"/>
                  <w:szCs w:val="18"/>
                  <w:color w:val="0000EE"/>
                  <w:w w:val="86"/>
                </w:rPr>
                <w:t>dated June 30, 2015.</w:t>
              </w:r>
            </w:hyperlink>
          </w:p>
        </w:tc>
        <w:tc>
          <w:tcPr>
            <w:tcW w:w="4900" w:type="dxa"/>
            <w:vAlign w:val="bottom"/>
            <w:gridSpan w:val="27"/>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10.28</w:t>
            </w:r>
          </w:p>
        </w:tc>
        <w:tc>
          <w:tcPr>
            <w:tcW w:w="120" w:type="dxa"/>
            <w:vAlign w:val="bottom"/>
          </w:tcPr>
          <w:p>
            <w:pPr>
              <w:spacing w:after="0"/>
              <w:rPr>
                <w:sz w:val="22"/>
                <w:szCs w:val="22"/>
                <w:color w:val="auto"/>
              </w:rPr>
            </w:pPr>
          </w:p>
        </w:tc>
        <w:tc>
          <w:tcPr>
            <w:tcW w:w="6180" w:type="dxa"/>
            <w:vAlign w:val="bottom"/>
            <w:tcBorders>
              <w:bottom w:val="single" w:sz="8" w:color="0000EE"/>
            </w:tcBorders>
            <w:gridSpan w:val="29"/>
          </w:tcPr>
          <w:p>
            <w:pPr>
              <w:spacing w:after="0"/>
              <w:rPr>
                <w:rFonts w:ascii="Arial" w:cs="Arial" w:eastAsia="Arial" w:hAnsi="Arial"/>
                <w:sz w:val="18"/>
                <w:szCs w:val="18"/>
                <w:color w:val="0000EE"/>
                <w:w w:val="91"/>
              </w:rPr>
            </w:pPr>
            <w:hyperlink r:id="rId303">
              <w:r>
                <w:rPr>
                  <w:rFonts w:ascii="Arial" w:cs="Arial" w:eastAsia="Arial" w:hAnsi="Arial"/>
                  <w:sz w:val="18"/>
                  <w:szCs w:val="18"/>
                  <w:color w:val="0000EE"/>
                  <w:w w:val="91"/>
                </w:rPr>
                <w:t>Registration Rights Agreement between the Company and Aspire Capital Fund, LLC,</w:t>
              </w:r>
            </w:hyperlink>
          </w:p>
        </w:tc>
        <w:tc>
          <w:tcPr>
            <w:tcW w:w="200" w:type="dxa"/>
            <w:vAlign w:val="bottom"/>
            <w:gridSpan w:val="4"/>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27,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33"/>
          </w:tcPr>
          <w:p>
            <w:pPr>
              <w:spacing w:after="0" w:line="196" w:lineRule="exact"/>
              <w:rPr>
                <w:rFonts w:ascii="Arial" w:cs="Arial" w:eastAsia="Arial" w:hAnsi="Arial"/>
                <w:sz w:val="18"/>
                <w:szCs w:val="18"/>
                <w:color w:val="0000EE"/>
              </w:rPr>
            </w:pPr>
            <w:hyperlink r:id="rId303">
              <w:r>
                <w:rPr>
                  <w:rFonts w:ascii="Arial" w:cs="Arial" w:eastAsia="Arial" w:hAnsi="Arial"/>
                  <w:sz w:val="18"/>
                  <w:szCs w:val="18"/>
                  <w:color w:val="0000EE"/>
                </w:rPr>
                <w:t>dated July 24, 2015.</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10.29</w:t>
            </w:r>
          </w:p>
        </w:tc>
        <w:tc>
          <w:tcPr>
            <w:tcW w:w="120" w:type="dxa"/>
            <w:vAlign w:val="bottom"/>
          </w:tcPr>
          <w:p>
            <w:pPr>
              <w:spacing w:after="0"/>
              <w:rPr>
                <w:sz w:val="22"/>
                <w:szCs w:val="22"/>
                <w:color w:val="auto"/>
              </w:rPr>
            </w:pPr>
          </w:p>
        </w:tc>
        <w:tc>
          <w:tcPr>
            <w:tcW w:w="6380" w:type="dxa"/>
            <w:vAlign w:val="bottom"/>
            <w:gridSpan w:val="33"/>
          </w:tcPr>
          <w:p>
            <w:pPr>
              <w:spacing w:after="0"/>
              <w:rPr>
                <w:rFonts w:ascii="Arial" w:cs="Arial" w:eastAsia="Arial" w:hAnsi="Arial"/>
                <w:sz w:val="18"/>
                <w:szCs w:val="18"/>
                <w:color w:val="0000EE"/>
                <w:w w:val="92"/>
              </w:rPr>
            </w:pPr>
            <w:hyperlink r:id="rId304">
              <w:r>
                <w:rPr>
                  <w:rFonts w:ascii="Arial" w:cs="Arial" w:eastAsia="Arial" w:hAnsi="Arial"/>
                  <w:sz w:val="18"/>
                  <w:szCs w:val="18"/>
                  <w:color w:val="0000EE"/>
                  <w:w w:val="92"/>
                </w:rPr>
                <w:t>Common Stock Purchase Agreement between the Company and Aspire Capital Fund,</w:t>
              </w:r>
            </w:hyperlink>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27,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r:id="rId304">
              <w:r>
                <w:rPr>
                  <w:rFonts w:ascii="Arial" w:cs="Arial" w:eastAsia="Arial" w:hAnsi="Arial"/>
                  <w:sz w:val="18"/>
                  <w:szCs w:val="18"/>
                  <w:color w:val="0000EE"/>
                  <w:w w:val="90"/>
                </w:rPr>
                <w:t>LLC, dated July 24, 2015.</w:t>
              </w:r>
            </w:hyperlink>
          </w:p>
        </w:tc>
        <w:tc>
          <w:tcPr>
            <w:tcW w:w="4280" w:type="dxa"/>
            <w:vAlign w:val="bottom"/>
            <w:tcBorders>
              <w:top w:val="single" w:sz="8" w:color="0000EE"/>
            </w:tcBorders>
            <w:gridSpan w:val="17"/>
          </w:tcPr>
          <w:p>
            <w:pPr>
              <w:spacing w:after="0"/>
              <w:rPr>
                <w:sz w:val="17"/>
                <w:szCs w:val="17"/>
                <w:color w:val="auto"/>
              </w:rPr>
            </w:pPr>
          </w:p>
        </w:tc>
        <w:tc>
          <w:tcPr>
            <w:tcW w:w="2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2"/>
                <w:szCs w:val="22"/>
                <w:color w:val="auto"/>
              </w:rPr>
            </w:pPr>
          </w:p>
        </w:tc>
        <w:tc>
          <w:tcPr>
            <w:tcW w:w="6180" w:type="dxa"/>
            <w:vAlign w:val="bottom"/>
            <w:tcBorders>
              <w:bottom w:val="single" w:sz="8" w:color="0000EE"/>
            </w:tcBorders>
            <w:gridSpan w:val="29"/>
          </w:tcPr>
          <w:p>
            <w:pPr>
              <w:spacing w:after="0"/>
              <w:rPr>
                <w:rFonts w:ascii="Arial" w:cs="Arial" w:eastAsia="Arial" w:hAnsi="Arial"/>
                <w:sz w:val="18"/>
                <w:szCs w:val="18"/>
                <w:color w:val="0000EE"/>
                <w:w w:val="88"/>
              </w:rPr>
            </w:pPr>
            <w:hyperlink r:id="rId305">
              <w:r>
                <w:rPr>
                  <w:rFonts w:ascii="Arial" w:cs="Arial" w:eastAsia="Arial" w:hAnsi="Arial"/>
                  <w:sz w:val="18"/>
                  <w:szCs w:val="18"/>
                  <w:color w:val="0000EE"/>
                  <w:w w:val="88"/>
                </w:rPr>
                <w:t>Engagement Letter dated September 17, 2015, between Soleno Therapeutics, Inc. and</w:t>
              </w:r>
            </w:hyperlink>
          </w:p>
        </w:tc>
        <w:tc>
          <w:tcPr>
            <w:tcW w:w="200" w:type="dxa"/>
            <w:vAlign w:val="bottom"/>
            <w:gridSpan w:val="4"/>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r:id="rId305">
              <w:r>
                <w:rPr>
                  <w:rFonts w:ascii="Arial" w:cs="Arial" w:eastAsia="Arial" w:hAnsi="Arial"/>
                  <w:sz w:val="18"/>
                  <w:szCs w:val="18"/>
                  <w:color w:val="0000EE"/>
                  <w:w w:val="94"/>
                </w:rPr>
                <w:t>Maxim Group, LLC.</w:t>
              </w:r>
            </w:hyperlink>
          </w:p>
        </w:tc>
        <w:tc>
          <w:tcPr>
            <w:tcW w:w="4880" w:type="dxa"/>
            <w:vAlign w:val="bottom"/>
            <w:gridSpan w:val="26"/>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10.31</w:t>
            </w:r>
          </w:p>
        </w:tc>
        <w:tc>
          <w:tcPr>
            <w:tcW w:w="120" w:type="dxa"/>
            <w:vAlign w:val="bottom"/>
          </w:tcPr>
          <w:p>
            <w:pPr>
              <w:spacing w:after="0"/>
              <w:rPr>
                <w:sz w:val="22"/>
                <w:szCs w:val="22"/>
                <w:color w:val="auto"/>
              </w:rPr>
            </w:pPr>
          </w:p>
        </w:tc>
        <w:tc>
          <w:tcPr>
            <w:tcW w:w="6380" w:type="dxa"/>
            <w:vAlign w:val="bottom"/>
            <w:gridSpan w:val="33"/>
          </w:tcPr>
          <w:p>
            <w:pPr>
              <w:spacing w:after="0"/>
              <w:rPr>
                <w:rFonts w:ascii="Arial" w:cs="Arial" w:eastAsia="Arial" w:hAnsi="Arial"/>
                <w:sz w:val="18"/>
                <w:szCs w:val="18"/>
                <w:color w:val="0000EE"/>
              </w:rPr>
            </w:pPr>
            <w:hyperlink r:id="rId306">
              <w:r>
                <w:rPr>
                  <w:rFonts w:ascii="Arial" w:cs="Arial" w:eastAsia="Arial" w:hAnsi="Arial"/>
                  <w:sz w:val="18"/>
                  <w:szCs w:val="18"/>
                  <w:color w:val="0000EE"/>
                </w:rPr>
                <w:t>Securities Purchase Agreement dated October 12, 2015.</w:t>
              </w:r>
            </w:hyperlink>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10.32</w:t>
            </w:r>
          </w:p>
        </w:tc>
        <w:tc>
          <w:tcPr>
            <w:tcW w:w="120" w:type="dxa"/>
            <w:vAlign w:val="bottom"/>
          </w:tcPr>
          <w:p>
            <w:pPr>
              <w:spacing w:after="0"/>
              <w:rPr>
                <w:sz w:val="22"/>
                <w:szCs w:val="22"/>
                <w:color w:val="auto"/>
              </w:rPr>
            </w:pPr>
          </w:p>
        </w:tc>
        <w:tc>
          <w:tcPr>
            <w:tcW w:w="4020" w:type="dxa"/>
            <w:vAlign w:val="bottom"/>
            <w:tcBorders>
              <w:top w:val="single" w:sz="8" w:color="0000EE"/>
            </w:tcBorders>
            <w:gridSpan w:val="17"/>
          </w:tcPr>
          <w:p>
            <w:pPr>
              <w:spacing w:after="0"/>
              <w:rPr>
                <w:rFonts w:ascii="Arial" w:cs="Arial" w:eastAsia="Arial" w:hAnsi="Arial"/>
                <w:sz w:val="18"/>
                <w:szCs w:val="18"/>
                <w:color w:val="0000EE"/>
              </w:rPr>
            </w:pPr>
            <w:hyperlink r:id="rId307">
              <w:r>
                <w:rPr>
                  <w:rFonts w:ascii="Arial" w:cs="Arial" w:eastAsia="Arial" w:hAnsi="Arial"/>
                  <w:sz w:val="18"/>
                  <w:szCs w:val="18"/>
                  <w:color w:val="0000EE"/>
                </w:rPr>
                <w:t>Form of Registration Rights Agreement.</w:t>
              </w:r>
            </w:hyperlink>
          </w:p>
        </w:tc>
        <w:tc>
          <w:tcPr>
            <w:tcW w:w="2360" w:type="dxa"/>
            <w:vAlign w:val="bottom"/>
            <w:gridSpan w:val="16"/>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22"/>
                <w:szCs w:val="22"/>
                <w:color w:val="auto"/>
              </w:rPr>
            </w:pPr>
          </w:p>
        </w:tc>
        <w:tc>
          <w:tcPr>
            <w:tcW w:w="2900" w:type="dxa"/>
            <w:vAlign w:val="bottom"/>
            <w:tcBorders>
              <w:top w:val="single" w:sz="8" w:color="0000EE"/>
            </w:tcBorders>
            <w:gridSpan w:val="13"/>
          </w:tcPr>
          <w:p>
            <w:pPr>
              <w:spacing w:after="0"/>
              <w:rPr>
                <w:rFonts w:ascii="Arial" w:cs="Arial" w:eastAsia="Arial" w:hAnsi="Arial"/>
                <w:sz w:val="18"/>
                <w:szCs w:val="18"/>
                <w:color w:val="0000EE"/>
              </w:rPr>
            </w:pPr>
            <w:hyperlink r:id="rId308">
              <w:r>
                <w:rPr>
                  <w:rFonts w:ascii="Arial" w:cs="Arial" w:eastAsia="Arial" w:hAnsi="Arial"/>
                  <w:sz w:val="18"/>
                  <w:szCs w:val="18"/>
                  <w:color w:val="0000EE"/>
                </w:rPr>
                <w:t>Form of Lock-Up Agreement.</w:t>
              </w:r>
            </w:hyperlink>
          </w:p>
        </w:tc>
        <w:tc>
          <w:tcPr>
            <w:tcW w:w="3480" w:type="dxa"/>
            <w:vAlign w:val="bottom"/>
            <w:gridSpan w:val="20"/>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October 15,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22"/>
                <w:szCs w:val="22"/>
                <w:color w:val="auto"/>
              </w:rPr>
            </w:pPr>
          </w:p>
        </w:tc>
        <w:tc>
          <w:tcPr>
            <w:tcW w:w="6380" w:type="dxa"/>
            <w:vAlign w:val="bottom"/>
            <w:gridSpan w:val="33"/>
          </w:tcPr>
          <w:p>
            <w:pPr>
              <w:spacing w:after="0"/>
              <w:rPr>
                <w:rFonts w:ascii="Arial" w:cs="Arial" w:eastAsia="Arial" w:hAnsi="Arial"/>
                <w:sz w:val="18"/>
                <w:szCs w:val="18"/>
                <w:color w:val="0000EE"/>
              </w:rPr>
            </w:pPr>
            <w:hyperlink r:id="rId309">
              <w:r>
                <w:rPr>
                  <w:rFonts w:ascii="Arial" w:cs="Arial" w:eastAsia="Arial" w:hAnsi="Arial"/>
                  <w:sz w:val="18"/>
                  <w:szCs w:val="18"/>
                  <w:color w:val="0000EE"/>
                </w:rPr>
                <w:t>Amendment No. 1 to Securities Purchase Agreement dated October 29, 2015.</w:t>
              </w:r>
            </w:hyperlink>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S-1/A</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December 22, 2015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10.33</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2"/>
                <w:szCs w:val="22"/>
                <w:color w:val="auto"/>
              </w:rPr>
            </w:pPr>
          </w:p>
        </w:tc>
        <w:tc>
          <w:tcPr>
            <w:tcW w:w="550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90"/>
              </w:rPr>
            </w:pPr>
            <w:hyperlink r:id="rId310">
              <w:r>
                <w:rPr>
                  <w:rFonts w:ascii="Arial" w:cs="Arial" w:eastAsia="Arial" w:hAnsi="Arial"/>
                  <w:sz w:val="18"/>
                  <w:szCs w:val="18"/>
                  <w:color w:val="0000EE"/>
                  <w:w w:val="90"/>
                </w:rPr>
                <w:t>Transfer and Distribution Agreement: United States: by and between Soleno</w:t>
              </w:r>
            </w:hyperlink>
          </w:p>
        </w:tc>
        <w:tc>
          <w:tcPr>
            <w:tcW w:w="80" w:type="dxa"/>
            <w:vAlign w:val="bottom"/>
            <w:tcBorders>
              <w:top w:val="single" w:sz="8" w:color="0000EE"/>
            </w:tcBorders>
          </w:tcPr>
          <w:p>
            <w:pPr>
              <w:spacing w:after="0"/>
              <w:rPr>
                <w:sz w:val="22"/>
                <w:szCs w:val="22"/>
                <w:color w:val="auto"/>
              </w:rPr>
            </w:pPr>
          </w:p>
        </w:tc>
        <w:tc>
          <w:tcPr>
            <w:tcW w:w="800" w:type="dxa"/>
            <w:vAlign w:val="bottom"/>
            <w:gridSpan w:val="10"/>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January 28, 2016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4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r:id="rId310">
              <w:r>
                <w:rPr>
                  <w:rFonts w:ascii="Arial" w:cs="Arial" w:eastAsia="Arial" w:hAnsi="Arial"/>
                  <w:sz w:val="18"/>
                  <w:szCs w:val="18"/>
                  <w:color w:val="0000EE"/>
                  <w:w w:val="89"/>
                </w:rPr>
                <w:t>Therapeutics, Inc. and Bemes, Inc. signed January 26, 2016.</w:t>
              </w:r>
            </w:hyperlink>
          </w:p>
        </w:tc>
        <w:tc>
          <w:tcPr>
            <w:tcW w:w="2040" w:type="dxa"/>
            <w:vAlign w:val="bottom"/>
            <w:gridSpan w:val="15"/>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10.36</w:t>
            </w:r>
          </w:p>
        </w:tc>
        <w:tc>
          <w:tcPr>
            <w:tcW w:w="120" w:type="dxa"/>
            <w:vAlign w:val="bottom"/>
          </w:tcPr>
          <w:p>
            <w:pPr>
              <w:spacing w:after="0"/>
              <w:rPr>
                <w:sz w:val="22"/>
                <w:szCs w:val="22"/>
                <w:color w:val="auto"/>
              </w:rPr>
            </w:pPr>
          </w:p>
        </w:tc>
        <w:tc>
          <w:tcPr>
            <w:tcW w:w="6300" w:type="dxa"/>
            <w:vAlign w:val="bottom"/>
            <w:tcBorders>
              <w:bottom w:val="single" w:sz="8" w:color="0000EE"/>
            </w:tcBorders>
            <w:gridSpan w:val="31"/>
          </w:tcPr>
          <w:p>
            <w:pPr>
              <w:spacing w:after="0"/>
              <w:rPr>
                <w:rFonts w:ascii="Arial" w:cs="Arial" w:eastAsia="Arial" w:hAnsi="Arial"/>
                <w:sz w:val="18"/>
                <w:szCs w:val="18"/>
                <w:color w:val="0000EE"/>
                <w:w w:val="89"/>
              </w:rPr>
            </w:pPr>
            <w:hyperlink r:id="rId311">
              <w:r>
                <w:rPr>
                  <w:rFonts w:ascii="Arial" w:cs="Arial" w:eastAsia="Arial" w:hAnsi="Arial"/>
                  <w:sz w:val="18"/>
                  <w:szCs w:val="18"/>
                  <w:color w:val="0000EE"/>
                  <w:w w:val="89"/>
                </w:rPr>
                <w:t>Engagement Letter dated June 26, 2016, between Soleno Therapeutics, Inc. and Maxim</w:t>
              </w:r>
            </w:hyperlink>
          </w:p>
        </w:tc>
        <w:tc>
          <w:tcPr>
            <w:tcW w:w="80" w:type="dxa"/>
            <w:vAlign w:val="bottom"/>
            <w:gridSpan w:val="2"/>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33"/>
          </w:tcPr>
          <w:p>
            <w:pPr>
              <w:spacing w:after="0" w:line="196" w:lineRule="exact"/>
              <w:rPr>
                <w:rFonts w:ascii="Arial" w:cs="Arial" w:eastAsia="Arial" w:hAnsi="Arial"/>
                <w:sz w:val="18"/>
                <w:szCs w:val="18"/>
                <w:color w:val="0000EE"/>
              </w:rPr>
            </w:pPr>
            <w:hyperlink r:id="rId311">
              <w:r>
                <w:rPr>
                  <w:rFonts w:ascii="Arial" w:cs="Arial" w:eastAsia="Arial" w:hAnsi="Arial"/>
                  <w:sz w:val="18"/>
                  <w:szCs w:val="18"/>
                  <w:color w:val="0000EE"/>
                </w:rPr>
                <w:t>Group, LLC.</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22"/>
                <w:szCs w:val="22"/>
                <w:color w:val="auto"/>
              </w:rPr>
            </w:pPr>
          </w:p>
        </w:tc>
        <w:tc>
          <w:tcPr>
            <w:tcW w:w="3780" w:type="dxa"/>
            <w:vAlign w:val="bottom"/>
            <w:tcBorders>
              <w:bottom w:val="single" w:sz="8" w:color="0000EE"/>
            </w:tcBorders>
            <w:gridSpan w:val="16"/>
          </w:tcPr>
          <w:p>
            <w:pPr>
              <w:spacing w:after="0"/>
              <w:rPr>
                <w:rFonts w:ascii="Arial" w:cs="Arial" w:eastAsia="Arial" w:hAnsi="Arial"/>
                <w:sz w:val="18"/>
                <w:szCs w:val="18"/>
                <w:color w:val="0000EE"/>
                <w:w w:val="87"/>
              </w:rPr>
            </w:pPr>
            <w:hyperlink r:id="rId312">
              <w:r>
                <w:rPr>
                  <w:rFonts w:ascii="Arial" w:cs="Arial" w:eastAsia="Arial" w:hAnsi="Arial"/>
                  <w:sz w:val="18"/>
                  <w:szCs w:val="18"/>
                  <w:color w:val="0000EE"/>
                  <w:w w:val="87"/>
                </w:rPr>
                <w:t>Securities Purchase Agreement dated June 29, 2016.</w:t>
              </w:r>
            </w:hyperlink>
          </w:p>
        </w:tc>
        <w:tc>
          <w:tcPr>
            <w:tcW w:w="2600" w:type="dxa"/>
            <w:vAlign w:val="bottom"/>
            <w:gridSpan w:val="17"/>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2"/>
                <w:szCs w:val="22"/>
                <w:color w:val="auto"/>
              </w:rPr>
            </w:pPr>
          </w:p>
        </w:tc>
        <w:tc>
          <w:tcPr>
            <w:tcW w:w="4400" w:type="dxa"/>
            <w:vAlign w:val="bottom"/>
            <w:tcBorders>
              <w:bottom w:val="single" w:sz="8" w:color="0000EE"/>
            </w:tcBorders>
            <w:gridSpan w:val="19"/>
          </w:tcPr>
          <w:p>
            <w:pPr>
              <w:spacing w:after="0"/>
              <w:rPr>
                <w:rFonts w:ascii="Arial" w:cs="Arial" w:eastAsia="Arial" w:hAnsi="Arial"/>
                <w:sz w:val="18"/>
                <w:szCs w:val="18"/>
                <w:color w:val="0000EE"/>
                <w:w w:val="90"/>
              </w:rPr>
            </w:pPr>
            <w:hyperlink r:id="rId313">
              <w:r>
                <w:rPr>
                  <w:rFonts w:ascii="Arial" w:cs="Arial" w:eastAsia="Arial" w:hAnsi="Arial"/>
                  <w:sz w:val="18"/>
                  <w:szCs w:val="18"/>
                  <w:color w:val="0000EE"/>
                  <w:w w:val="90"/>
                </w:rPr>
                <w:t>Form of Registration Rights Agreement dated June 29, 2016.</w:t>
              </w:r>
            </w:hyperlink>
          </w:p>
        </w:tc>
        <w:tc>
          <w:tcPr>
            <w:tcW w:w="1980" w:type="dxa"/>
            <w:vAlign w:val="bottom"/>
            <w:gridSpan w:val="14"/>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6, 2016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10.2</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22"/>
                <w:szCs w:val="22"/>
                <w:color w:val="auto"/>
              </w:rPr>
            </w:pPr>
          </w:p>
        </w:tc>
        <w:tc>
          <w:tcPr>
            <w:tcW w:w="5780" w:type="dxa"/>
            <w:vAlign w:val="bottom"/>
            <w:tcBorders>
              <w:bottom w:val="single" w:sz="8" w:color="0000EE"/>
            </w:tcBorders>
            <w:gridSpan w:val="25"/>
          </w:tcPr>
          <w:p>
            <w:pPr>
              <w:spacing w:after="0"/>
              <w:rPr>
                <w:rFonts w:ascii="Arial" w:cs="Arial" w:eastAsia="Arial" w:hAnsi="Arial"/>
                <w:sz w:val="18"/>
                <w:szCs w:val="18"/>
                <w:color w:val="0000EE"/>
                <w:w w:val="89"/>
              </w:rPr>
            </w:pPr>
            <w:hyperlink r:id="rId314">
              <w:r>
                <w:rPr>
                  <w:rFonts w:ascii="Arial" w:cs="Arial" w:eastAsia="Arial" w:hAnsi="Arial"/>
                  <w:sz w:val="18"/>
                  <w:szCs w:val="18"/>
                  <w:color w:val="0000EE"/>
                  <w:w w:val="89"/>
                </w:rPr>
                <w:t>Amendment No. 1 to Securities Purchase Agreement dated September 20, 2016.</w:t>
              </w:r>
            </w:hyperlink>
          </w:p>
        </w:tc>
        <w:tc>
          <w:tcPr>
            <w:tcW w:w="600" w:type="dxa"/>
            <w:vAlign w:val="bottom"/>
            <w:gridSpan w:val="8"/>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S-1/A</w:t>
            </w:r>
          </w:p>
        </w:tc>
        <w:tc>
          <w:tcPr>
            <w:tcW w:w="1540" w:type="dxa"/>
            <w:vAlign w:val="bottom"/>
            <w:gridSpan w:val="2"/>
          </w:tcPr>
          <w:p>
            <w:pPr>
              <w:spacing w:after="0"/>
              <w:rPr>
                <w:sz w:val="20"/>
                <w:szCs w:val="20"/>
                <w:color w:val="auto"/>
              </w:rPr>
            </w:pPr>
            <w:r>
              <w:rPr>
                <w:rFonts w:ascii="Arial" w:cs="Arial" w:eastAsia="Arial" w:hAnsi="Arial"/>
                <w:sz w:val="18"/>
                <w:szCs w:val="18"/>
                <w:color w:val="auto"/>
                <w:w w:val="93"/>
              </w:rPr>
              <w:t>September 20, 2016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10.40</w:t>
            </w:r>
          </w:p>
        </w:tc>
        <w:tc>
          <w:tcPr>
            <w:tcW w:w="120" w:type="dxa"/>
            <w:vAlign w:val="bottom"/>
          </w:tcPr>
          <w:p>
            <w:pPr>
              <w:spacing w:after="0"/>
              <w:rPr>
                <w:sz w:val="22"/>
                <w:szCs w:val="22"/>
                <w:color w:val="auto"/>
              </w:rPr>
            </w:pPr>
          </w:p>
        </w:tc>
        <w:tc>
          <w:tcPr>
            <w:tcW w:w="6320" w:type="dxa"/>
            <w:vAlign w:val="bottom"/>
            <w:tcBorders>
              <w:bottom w:val="single" w:sz="8" w:color="0000EE"/>
            </w:tcBorders>
            <w:gridSpan w:val="32"/>
          </w:tcPr>
          <w:p>
            <w:pPr>
              <w:spacing w:after="0"/>
              <w:rPr>
                <w:rFonts w:ascii="Arial" w:cs="Arial" w:eastAsia="Arial" w:hAnsi="Arial"/>
                <w:sz w:val="18"/>
                <w:szCs w:val="18"/>
                <w:color w:val="0000EE"/>
                <w:w w:val="90"/>
              </w:rPr>
            </w:pPr>
            <w:hyperlink r:id="rId315">
              <w:r>
                <w:rPr>
                  <w:rFonts w:ascii="Arial" w:cs="Arial" w:eastAsia="Arial" w:hAnsi="Arial"/>
                  <w:sz w:val="18"/>
                  <w:szCs w:val="18"/>
                  <w:color w:val="0000EE"/>
                  <w:w w:val="90"/>
                </w:rPr>
                <w:t>Agreement and Plan of Merger and Reorganization, dated as of December 22, 2016, by</w:t>
              </w:r>
            </w:hyperlink>
          </w:p>
        </w:tc>
        <w:tc>
          <w:tcPr>
            <w:tcW w:w="60" w:type="dxa"/>
            <w:vAlign w:val="bottom"/>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December 27, 2016</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33"/>
          </w:tcPr>
          <w:p>
            <w:pPr>
              <w:spacing w:after="0" w:line="196" w:lineRule="exact"/>
              <w:rPr>
                <w:rFonts w:ascii="Arial" w:cs="Arial" w:eastAsia="Arial" w:hAnsi="Arial"/>
                <w:sz w:val="18"/>
                <w:szCs w:val="18"/>
                <w:color w:val="0000EE"/>
                <w:w w:val="97"/>
              </w:rPr>
            </w:pPr>
            <w:hyperlink r:id="rId315">
              <w:r>
                <w:rPr>
                  <w:rFonts w:ascii="Arial" w:cs="Arial" w:eastAsia="Arial" w:hAnsi="Arial"/>
                  <w:sz w:val="18"/>
                  <w:szCs w:val="18"/>
                  <w:color w:val="0000EE"/>
                  <w:w w:val="97"/>
                </w:rPr>
                <w:t>and among Soleno Therapeutics, Inc., a Delaware corporation, Essentialis, Inc., a</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110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315">
              <w:r>
                <w:rPr>
                  <w:rFonts w:ascii="Arial" w:cs="Arial" w:eastAsia="Arial" w:hAnsi="Arial"/>
                  <w:sz w:val="18"/>
                  <w:szCs w:val="18"/>
                  <w:color w:val="0000EE"/>
                  <w:w w:val="91"/>
                </w:rPr>
                <w:t>Delaware corporation, Company E Merger Sub, Inc., a Delaware corporation and a</w:t>
              </w:r>
            </w:hyperlink>
          </w:p>
        </w:tc>
        <w:tc>
          <w:tcPr>
            <w:tcW w:w="360" w:type="dxa"/>
            <w:vAlign w:val="bottom"/>
            <w:gridSpan w:val="6"/>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33"/>
          </w:tcPr>
          <w:p>
            <w:pPr>
              <w:spacing w:after="0" w:line="196" w:lineRule="exact"/>
              <w:rPr>
                <w:rFonts w:ascii="Arial" w:cs="Arial" w:eastAsia="Arial" w:hAnsi="Arial"/>
                <w:sz w:val="18"/>
                <w:szCs w:val="18"/>
                <w:color w:val="0000EE"/>
                <w:w w:val="92"/>
              </w:rPr>
            </w:pPr>
            <w:hyperlink r:id="rId315">
              <w:r>
                <w:rPr>
                  <w:rFonts w:ascii="Arial" w:cs="Arial" w:eastAsia="Arial" w:hAnsi="Arial"/>
                  <w:sz w:val="18"/>
                  <w:szCs w:val="18"/>
                  <w:color w:val="0000EE"/>
                  <w:w w:val="92"/>
                </w:rPr>
                <w:t>wholly-owned subsidiary of Soleno Therapeutics, and Neil Cowen as the stockholders’</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r:id="rId315">
              <w:r>
                <w:rPr>
                  <w:rFonts w:ascii="Arial" w:cs="Arial" w:eastAsia="Arial" w:hAnsi="Arial"/>
                  <w:sz w:val="18"/>
                  <w:szCs w:val="18"/>
                  <w:color w:val="0000EE"/>
                </w:rPr>
                <w:t>representative.</w:t>
              </w:r>
            </w:hyperlink>
          </w:p>
        </w:tc>
        <w:tc>
          <w:tcPr>
            <w:tcW w:w="12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10.41</w:t>
            </w:r>
          </w:p>
        </w:tc>
        <w:tc>
          <w:tcPr>
            <w:tcW w:w="120" w:type="dxa"/>
            <w:vAlign w:val="bottom"/>
          </w:tcPr>
          <w:p>
            <w:pPr>
              <w:spacing w:after="0"/>
              <w:rPr>
                <w:sz w:val="22"/>
                <w:szCs w:val="22"/>
                <w:color w:val="auto"/>
              </w:rPr>
            </w:pPr>
          </w:p>
        </w:tc>
        <w:tc>
          <w:tcPr>
            <w:tcW w:w="6180" w:type="dxa"/>
            <w:vAlign w:val="bottom"/>
            <w:tcBorders>
              <w:bottom w:val="single" w:sz="8" w:color="0000EE"/>
            </w:tcBorders>
            <w:gridSpan w:val="29"/>
          </w:tcPr>
          <w:p>
            <w:pPr>
              <w:spacing w:after="0"/>
              <w:rPr>
                <w:rFonts w:ascii="Arial" w:cs="Arial" w:eastAsia="Arial" w:hAnsi="Arial"/>
                <w:sz w:val="18"/>
                <w:szCs w:val="18"/>
                <w:color w:val="0000EE"/>
                <w:w w:val="91"/>
              </w:rPr>
            </w:pPr>
            <w:hyperlink r:id="rId316">
              <w:r>
                <w:rPr>
                  <w:rFonts w:ascii="Arial" w:cs="Arial" w:eastAsia="Arial" w:hAnsi="Arial"/>
                  <w:sz w:val="18"/>
                  <w:szCs w:val="18"/>
                  <w:color w:val="0000EE"/>
                  <w:w w:val="91"/>
                </w:rPr>
                <w:t>Registration Rights Agreement between the Company and Aspire Capital Fund, LLC,</w:t>
              </w:r>
            </w:hyperlink>
          </w:p>
        </w:tc>
        <w:tc>
          <w:tcPr>
            <w:tcW w:w="200" w:type="dxa"/>
            <w:vAlign w:val="bottom"/>
            <w:gridSpan w:val="4"/>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February 1, 2017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10.51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33"/>
          </w:tcPr>
          <w:p>
            <w:pPr>
              <w:spacing w:after="0" w:line="196" w:lineRule="exact"/>
              <w:rPr>
                <w:rFonts w:ascii="Arial" w:cs="Arial" w:eastAsia="Arial" w:hAnsi="Arial"/>
                <w:sz w:val="18"/>
                <w:szCs w:val="18"/>
                <w:color w:val="0000EE"/>
              </w:rPr>
            </w:pPr>
            <w:hyperlink r:id="rId316">
              <w:r>
                <w:rPr>
                  <w:rFonts w:ascii="Arial" w:cs="Arial" w:eastAsia="Arial" w:hAnsi="Arial"/>
                  <w:sz w:val="18"/>
                  <w:szCs w:val="18"/>
                  <w:color w:val="0000EE"/>
                </w:rPr>
                <w:t>dated January 27, 2017.</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10.42</w:t>
            </w:r>
          </w:p>
        </w:tc>
        <w:tc>
          <w:tcPr>
            <w:tcW w:w="120" w:type="dxa"/>
            <w:vAlign w:val="bottom"/>
          </w:tcPr>
          <w:p>
            <w:pPr>
              <w:spacing w:after="0"/>
              <w:rPr>
                <w:sz w:val="22"/>
                <w:szCs w:val="22"/>
                <w:color w:val="auto"/>
              </w:rPr>
            </w:pPr>
          </w:p>
        </w:tc>
        <w:tc>
          <w:tcPr>
            <w:tcW w:w="6380" w:type="dxa"/>
            <w:vAlign w:val="bottom"/>
            <w:gridSpan w:val="33"/>
          </w:tcPr>
          <w:p>
            <w:pPr>
              <w:spacing w:after="0"/>
              <w:rPr>
                <w:rFonts w:ascii="Arial" w:cs="Arial" w:eastAsia="Arial" w:hAnsi="Arial"/>
                <w:sz w:val="18"/>
                <w:szCs w:val="18"/>
                <w:color w:val="0000EE"/>
                <w:w w:val="92"/>
              </w:rPr>
            </w:pPr>
            <w:hyperlink r:id="rId317">
              <w:r>
                <w:rPr>
                  <w:rFonts w:ascii="Arial" w:cs="Arial" w:eastAsia="Arial" w:hAnsi="Arial"/>
                  <w:sz w:val="18"/>
                  <w:szCs w:val="18"/>
                  <w:color w:val="0000EE"/>
                  <w:w w:val="92"/>
                </w:rPr>
                <w:t>Common Stock Purchase Agreement between the Company and Aspire Capital Fund,</w:t>
              </w:r>
            </w:hyperlink>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S-1</w:t>
            </w:r>
          </w:p>
        </w:tc>
        <w:tc>
          <w:tcPr>
            <w:tcW w:w="1540" w:type="dxa"/>
            <w:vAlign w:val="bottom"/>
            <w:gridSpan w:val="2"/>
          </w:tcPr>
          <w:p>
            <w:pPr>
              <w:spacing w:after="0"/>
              <w:rPr>
                <w:sz w:val="20"/>
                <w:szCs w:val="20"/>
                <w:color w:val="auto"/>
              </w:rPr>
            </w:pPr>
            <w:r>
              <w:rPr>
                <w:rFonts w:ascii="Arial" w:cs="Arial" w:eastAsia="Arial" w:hAnsi="Arial"/>
                <w:sz w:val="18"/>
                <w:szCs w:val="18"/>
                <w:color w:val="auto"/>
              </w:rPr>
              <w:t>February 1, 2017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10.52</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317">
              <w:r>
                <w:rPr>
                  <w:rFonts w:ascii="Arial" w:cs="Arial" w:eastAsia="Arial" w:hAnsi="Arial"/>
                  <w:sz w:val="18"/>
                  <w:szCs w:val="18"/>
                  <w:color w:val="0000EE"/>
                  <w:w w:val="89"/>
                </w:rPr>
                <w:t>LLC, dated January 27, 2017.</w:t>
              </w:r>
            </w:hyperlink>
          </w:p>
        </w:tc>
        <w:tc>
          <w:tcPr>
            <w:tcW w:w="4000" w:type="dxa"/>
            <w:vAlign w:val="bottom"/>
            <w:tcBorders>
              <w:top w:val="single" w:sz="8" w:color="0000EE"/>
            </w:tcBorders>
            <w:gridSpan w:val="16"/>
          </w:tcPr>
          <w:p>
            <w:pPr>
              <w:spacing w:after="0"/>
              <w:rPr>
                <w:sz w:val="17"/>
                <w:szCs w:val="17"/>
                <w:color w:val="auto"/>
              </w:rPr>
            </w:pPr>
          </w:p>
        </w:tc>
        <w:tc>
          <w:tcPr>
            <w:tcW w:w="22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2"/>
                <w:szCs w:val="22"/>
                <w:color w:val="auto"/>
              </w:rPr>
            </w:pPr>
          </w:p>
        </w:tc>
        <w:tc>
          <w:tcPr>
            <w:tcW w:w="6380" w:type="dxa"/>
            <w:vAlign w:val="bottom"/>
            <w:tcBorders>
              <w:bottom w:val="single" w:sz="8" w:color="0000EE"/>
            </w:tcBorders>
            <w:gridSpan w:val="33"/>
          </w:tcPr>
          <w:p>
            <w:pPr>
              <w:spacing w:after="0"/>
              <w:rPr>
                <w:rFonts w:ascii="Arial" w:cs="Arial" w:eastAsia="Arial" w:hAnsi="Arial"/>
                <w:sz w:val="18"/>
                <w:szCs w:val="18"/>
                <w:color w:val="0000EE"/>
                <w:w w:val="89"/>
              </w:rPr>
            </w:pPr>
            <w:hyperlink r:id="rId233">
              <w:r>
                <w:rPr>
                  <w:rFonts w:ascii="Arial" w:cs="Arial" w:eastAsia="Arial" w:hAnsi="Arial"/>
                  <w:sz w:val="18"/>
                  <w:szCs w:val="18"/>
                  <w:color w:val="0000EE"/>
                  <w:w w:val="89"/>
                </w:rPr>
                <w:t>Stock Purchase Agreement made by and between the Company and NeoForce Holdings,</w:t>
              </w:r>
            </w:hyperlink>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July 24, 2017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r:id="rId233">
              <w:r>
                <w:rPr>
                  <w:rFonts w:ascii="Arial" w:cs="Arial" w:eastAsia="Arial" w:hAnsi="Arial"/>
                  <w:sz w:val="18"/>
                  <w:szCs w:val="18"/>
                  <w:color w:val="0000EE"/>
                  <w:w w:val="89"/>
                </w:rPr>
                <w:t>Inc. a Delaware corporation dated July 18, 2017</w:t>
              </w:r>
            </w:hyperlink>
          </w:p>
        </w:tc>
        <w:tc>
          <w:tcPr>
            <w:tcW w:w="2920" w:type="dxa"/>
            <w:vAlign w:val="bottom"/>
            <w:gridSpan w:val="19"/>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10.44</w:t>
            </w:r>
          </w:p>
        </w:tc>
        <w:tc>
          <w:tcPr>
            <w:tcW w:w="120" w:type="dxa"/>
            <w:vAlign w:val="bottom"/>
          </w:tcPr>
          <w:p>
            <w:pPr>
              <w:spacing w:after="0"/>
              <w:rPr>
                <w:sz w:val="22"/>
                <w:szCs w:val="22"/>
                <w:color w:val="auto"/>
              </w:rPr>
            </w:pPr>
          </w:p>
        </w:tc>
        <w:tc>
          <w:tcPr>
            <w:tcW w:w="5600" w:type="dxa"/>
            <w:vAlign w:val="bottom"/>
            <w:tcBorders>
              <w:bottom w:val="single" w:sz="8" w:color="0000EE"/>
            </w:tcBorders>
            <w:gridSpan w:val="24"/>
          </w:tcPr>
          <w:p>
            <w:pPr>
              <w:spacing w:after="0"/>
              <w:rPr>
                <w:rFonts w:ascii="Arial" w:cs="Arial" w:eastAsia="Arial" w:hAnsi="Arial"/>
                <w:sz w:val="18"/>
                <w:szCs w:val="18"/>
                <w:color w:val="0000EE"/>
                <w:w w:val="89"/>
              </w:rPr>
            </w:pPr>
            <w:hyperlink r:id="rId234">
              <w:r>
                <w:rPr>
                  <w:rFonts w:ascii="Arial" w:cs="Arial" w:eastAsia="Arial" w:hAnsi="Arial"/>
                  <w:sz w:val="18"/>
                  <w:szCs w:val="18"/>
                  <w:color w:val="0000EE"/>
                  <w:w w:val="89"/>
                </w:rPr>
                <w:t>Joint Venture Agreement dated as of December 4, 2017 by and among Soleno</w:t>
              </w:r>
            </w:hyperlink>
          </w:p>
        </w:tc>
        <w:tc>
          <w:tcPr>
            <w:tcW w:w="780" w:type="dxa"/>
            <w:vAlign w:val="bottom"/>
            <w:gridSpan w:val="9"/>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rPr>
              <w:t>December 8, 2017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380" w:type="dxa"/>
            <w:vAlign w:val="bottom"/>
            <w:gridSpan w:val="33"/>
          </w:tcPr>
          <w:p>
            <w:pPr>
              <w:spacing w:after="0" w:line="196" w:lineRule="exact"/>
              <w:rPr>
                <w:rFonts w:ascii="Arial" w:cs="Arial" w:eastAsia="Arial" w:hAnsi="Arial"/>
                <w:sz w:val="18"/>
                <w:szCs w:val="18"/>
                <w:color w:val="0000EE"/>
              </w:rPr>
            </w:pPr>
            <w:hyperlink r:id="rId234">
              <w:r>
                <w:rPr>
                  <w:rFonts w:ascii="Arial" w:cs="Arial" w:eastAsia="Arial" w:hAnsi="Arial"/>
                  <w:sz w:val="18"/>
                  <w:szCs w:val="18"/>
                  <w:color w:val="0000EE"/>
                </w:rPr>
                <w:t>Therapeutics, Inc., Capnia, Inc., and OptAsia Healthcare Limited</w:t>
              </w:r>
            </w:hyperlink>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10.45</w:t>
            </w:r>
          </w:p>
        </w:tc>
        <w:tc>
          <w:tcPr>
            <w:tcW w:w="120" w:type="dxa"/>
            <w:vAlign w:val="bottom"/>
          </w:tcPr>
          <w:p>
            <w:pPr>
              <w:spacing w:after="0"/>
              <w:rPr>
                <w:sz w:val="22"/>
                <w:szCs w:val="22"/>
                <w:color w:val="auto"/>
              </w:rPr>
            </w:pPr>
          </w:p>
        </w:tc>
        <w:tc>
          <w:tcPr>
            <w:tcW w:w="4680" w:type="dxa"/>
            <w:vAlign w:val="bottom"/>
            <w:tcBorders>
              <w:top w:val="single" w:sz="8" w:color="0000EE"/>
            </w:tcBorders>
            <w:gridSpan w:val="21"/>
          </w:tcPr>
          <w:p>
            <w:pPr>
              <w:spacing w:after="0"/>
              <w:rPr>
                <w:rFonts w:ascii="Arial" w:cs="Arial" w:eastAsia="Arial" w:hAnsi="Arial"/>
                <w:sz w:val="18"/>
                <w:szCs w:val="18"/>
                <w:color w:val="0000EE"/>
                <w:w w:val="90"/>
              </w:rPr>
            </w:pPr>
            <w:hyperlink r:id="rId318">
              <w:r>
                <w:rPr>
                  <w:rFonts w:ascii="Arial" w:cs="Arial" w:eastAsia="Arial" w:hAnsi="Arial"/>
                  <w:sz w:val="18"/>
                  <w:szCs w:val="18"/>
                  <w:color w:val="0000EE"/>
                  <w:w w:val="90"/>
                </w:rPr>
                <w:t>Securities Purchase Agreement, dated as of December 11, 2017</w:t>
              </w:r>
            </w:hyperlink>
          </w:p>
        </w:tc>
        <w:tc>
          <w:tcPr>
            <w:tcW w:w="1700" w:type="dxa"/>
            <w:vAlign w:val="bottom"/>
            <w:gridSpan w:val="12"/>
          </w:tcPr>
          <w:p>
            <w:pPr>
              <w:spacing w:after="0"/>
              <w:rPr>
                <w:sz w:val="22"/>
                <w:szCs w:val="22"/>
                <w:color w:val="auto"/>
              </w:rPr>
            </w:pPr>
          </w:p>
        </w:tc>
        <w:tc>
          <w:tcPr>
            <w:tcW w:w="980" w:type="dxa"/>
            <w:vAlign w:val="bottom"/>
            <w:gridSpan w:val="3"/>
          </w:tcPr>
          <w:p>
            <w:pPr>
              <w:ind w:left="100"/>
              <w:spacing w:after="0"/>
              <w:rPr>
                <w:sz w:val="20"/>
                <w:szCs w:val="20"/>
                <w:color w:val="auto"/>
              </w:rPr>
            </w:pPr>
            <w:r>
              <w:rPr>
                <w:rFonts w:ascii="Arial" w:cs="Arial" w:eastAsia="Arial" w:hAnsi="Arial"/>
                <w:sz w:val="18"/>
                <w:szCs w:val="18"/>
                <w:color w:val="auto"/>
              </w:rPr>
              <w:t>8-K</w:t>
            </w:r>
          </w:p>
        </w:tc>
        <w:tc>
          <w:tcPr>
            <w:tcW w:w="1540" w:type="dxa"/>
            <w:vAlign w:val="bottom"/>
            <w:gridSpan w:val="2"/>
          </w:tcPr>
          <w:p>
            <w:pPr>
              <w:spacing w:after="0"/>
              <w:rPr>
                <w:sz w:val="20"/>
                <w:szCs w:val="20"/>
                <w:color w:val="auto"/>
              </w:rPr>
            </w:pPr>
            <w:r>
              <w:rPr>
                <w:rFonts w:ascii="Arial" w:cs="Arial" w:eastAsia="Arial" w:hAnsi="Arial"/>
                <w:sz w:val="18"/>
                <w:szCs w:val="18"/>
                <w:color w:val="auto"/>
                <w:w w:val="96"/>
              </w:rPr>
              <w:t>December 13, 2017</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9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89"/>
              </w:rPr>
              <w:t>Subsidiaries</w:t>
            </w:r>
          </w:p>
        </w:tc>
        <w:tc>
          <w:tcPr>
            <w:tcW w:w="3640" w:type="dxa"/>
            <w:vAlign w:val="bottom"/>
            <w:tcBorders>
              <w:top w:val="single" w:sz="8" w:color="0000EE"/>
            </w:tcBorders>
            <w:gridSpan w:val="17"/>
          </w:tcPr>
          <w:p>
            <w:pPr>
              <w:spacing w:after="0"/>
              <w:rPr>
                <w:sz w:val="22"/>
                <w:szCs w:val="22"/>
                <w:color w:val="auto"/>
              </w:rPr>
            </w:pPr>
          </w:p>
        </w:tc>
        <w:tc>
          <w:tcPr>
            <w:tcW w:w="1820" w:type="dxa"/>
            <w:vAlign w:val="bottom"/>
            <w:gridSpan w:val="13"/>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2"/>
                <w:szCs w:val="22"/>
                <w:color w:val="auto"/>
              </w:rPr>
            </w:pPr>
          </w:p>
        </w:tc>
        <w:tc>
          <w:tcPr>
            <w:tcW w:w="18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1"/>
              </w:rPr>
              <w:t>Consent of Marcum LLP</w:t>
            </w:r>
          </w:p>
        </w:tc>
        <w:tc>
          <w:tcPr>
            <w:tcW w:w="4580" w:type="dxa"/>
            <w:vAlign w:val="bottom"/>
            <w:gridSpan w:val="23"/>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2"/>
                <w:szCs w:val="22"/>
                <w:color w:val="auto"/>
              </w:rPr>
            </w:pPr>
          </w:p>
        </w:tc>
        <w:tc>
          <w:tcPr>
            <w:tcW w:w="15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1"/>
              </w:rPr>
              <w:t>Consent of PFK LLP</w:t>
            </w:r>
          </w:p>
        </w:tc>
        <w:tc>
          <w:tcPr>
            <w:tcW w:w="4860" w:type="dxa"/>
            <w:vAlign w:val="bottom"/>
            <w:gridSpan w:val="25"/>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2"/>
                <w:szCs w:val="22"/>
                <w:color w:val="auto"/>
              </w:rPr>
            </w:pPr>
          </w:p>
        </w:tc>
        <w:tc>
          <w:tcPr>
            <w:tcW w:w="6380" w:type="dxa"/>
            <w:vAlign w:val="bottom"/>
            <w:gridSpan w:val="33"/>
          </w:tcPr>
          <w:p>
            <w:pPr>
              <w:spacing w:after="0"/>
              <w:rPr>
                <w:rFonts w:ascii="Arial" w:cs="Arial" w:eastAsia="Arial" w:hAnsi="Arial"/>
                <w:sz w:val="18"/>
                <w:szCs w:val="18"/>
                <w:color w:val="0000EE"/>
                <w:w w:val="93"/>
              </w:rPr>
            </w:pPr>
            <w:hyperlink w:anchor="page201">
              <w:r>
                <w:rPr>
                  <w:rFonts w:ascii="Arial" w:cs="Arial" w:eastAsia="Arial" w:hAnsi="Arial"/>
                  <w:sz w:val="18"/>
                  <w:szCs w:val="18"/>
                  <w:color w:val="0000EE"/>
                  <w:w w:val="93"/>
                </w:rPr>
                <w:t>Power of Attorney (incorporated by reference to the signature page to this registration</w:t>
              </w:r>
            </w:hyperlink>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18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statement)</w:t>
              </w:r>
            </w:hyperlink>
          </w:p>
        </w:tc>
        <w:tc>
          <w:tcPr>
            <w:tcW w:w="200" w:type="dxa"/>
            <w:vAlign w:val="bottom"/>
            <w:gridSpan w:val="4"/>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40" w:type="dxa"/>
            <w:vAlign w:val="bottom"/>
            <w:gridSpan w:val="31"/>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6380" w:type="dxa"/>
            <w:vAlign w:val="bottom"/>
            <w:gridSpan w:val="33"/>
          </w:tcPr>
          <w:p>
            <w:pPr>
              <w:spacing w:after="0"/>
              <w:rPr>
                <w:sz w:val="20"/>
                <w:szCs w:val="20"/>
                <w:color w:val="auto"/>
              </w:rPr>
            </w:pPr>
            <w:r>
              <w:rPr>
                <w:rFonts w:ascii="Arial" w:cs="Arial" w:eastAsia="Arial" w:hAnsi="Arial"/>
                <w:sz w:val="18"/>
                <w:szCs w:val="18"/>
                <w:color w:val="auto"/>
              </w:rPr>
              <w:t>XBRL Instance Document.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ind w:left="1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24"/>
                <w:szCs w:val="24"/>
                <w:color w:val="auto"/>
              </w:rPr>
            </w:pPr>
          </w:p>
        </w:tc>
        <w:tc>
          <w:tcPr>
            <w:tcW w:w="6380" w:type="dxa"/>
            <w:vAlign w:val="bottom"/>
            <w:gridSpan w:val="33"/>
          </w:tcPr>
          <w:p>
            <w:pPr>
              <w:spacing w:after="0"/>
              <w:rPr>
                <w:sz w:val="20"/>
                <w:szCs w:val="20"/>
                <w:color w:val="auto"/>
              </w:rPr>
            </w:pPr>
            <w:r>
              <w:rPr>
                <w:rFonts w:ascii="Arial" w:cs="Arial" w:eastAsia="Arial" w:hAnsi="Arial"/>
                <w:sz w:val="18"/>
                <w:szCs w:val="18"/>
                <w:color w:val="auto"/>
              </w:rPr>
              <w:t>XBRL Taxonomy Extension Schema Document.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24"/>
                <w:szCs w:val="24"/>
                <w:color w:val="auto"/>
              </w:rPr>
            </w:pPr>
          </w:p>
        </w:tc>
        <w:tc>
          <w:tcPr>
            <w:tcW w:w="6380" w:type="dxa"/>
            <w:vAlign w:val="bottom"/>
            <w:gridSpan w:val="33"/>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4"/>
                <w:szCs w:val="24"/>
                <w:color w:val="auto"/>
              </w:rPr>
            </w:pPr>
          </w:p>
        </w:tc>
        <w:tc>
          <w:tcPr>
            <w:tcW w:w="6380" w:type="dxa"/>
            <w:vAlign w:val="bottom"/>
            <w:gridSpan w:val="33"/>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24"/>
                <w:szCs w:val="24"/>
                <w:color w:val="auto"/>
              </w:rPr>
            </w:pPr>
          </w:p>
        </w:tc>
        <w:tc>
          <w:tcPr>
            <w:tcW w:w="6380" w:type="dxa"/>
            <w:vAlign w:val="bottom"/>
            <w:gridSpan w:val="33"/>
          </w:tcPr>
          <w:p>
            <w:pPr>
              <w:spacing w:after="0"/>
              <w:rPr>
                <w:sz w:val="20"/>
                <w:szCs w:val="20"/>
                <w:color w:val="auto"/>
              </w:rPr>
            </w:pPr>
            <w:r>
              <w:rPr>
                <w:rFonts w:ascii="Arial" w:cs="Arial" w:eastAsia="Arial" w:hAnsi="Arial"/>
                <w:sz w:val="18"/>
                <w:szCs w:val="18"/>
                <w:color w:val="auto"/>
              </w:rPr>
              <w:t>XBRL Taxonomy Extension Label Linkbase Document.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24"/>
                <w:szCs w:val="24"/>
                <w:color w:val="auto"/>
              </w:rPr>
            </w:pPr>
          </w:p>
        </w:tc>
        <w:tc>
          <w:tcPr>
            <w:tcW w:w="6380" w:type="dxa"/>
            <w:vAlign w:val="bottom"/>
            <w:gridSpan w:val="33"/>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gridSpan w:val="13"/>
          </w:tcPr>
          <w:p>
            <w:pPr>
              <w:ind w:left="60"/>
              <w:spacing w:after="0"/>
              <w:rPr>
                <w:sz w:val="20"/>
                <w:szCs w:val="20"/>
                <w:color w:val="auto"/>
              </w:rPr>
            </w:pPr>
            <w:r>
              <w:rPr>
                <w:rFonts w:ascii="Arial" w:cs="Arial" w:eastAsia="Arial" w:hAnsi="Arial"/>
                <w:sz w:val="18"/>
                <w:szCs w:val="18"/>
                <w:color w:val="auto"/>
              </w:rPr>
              <w:t>II-6</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200" w:firstLine="464"/>
        <w:spacing w:after="0" w:line="277" w:lineRule="auto"/>
        <w:tabs>
          <w:tab w:leader="none" w:pos="6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17" w:lineRule="exact"/>
        <w:rPr>
          <w:rFonts w:ascii="Arial" w:cs="Arial" w:eastAsia="Arial" w:hAnsi="Arial"/>
          <w:sz w:val="18"/>
          <w:szCs w:val="18"/>
          <w:color w:val="auto"/>
        </w:rPr>
      </w:pPr>
    </w:p>
    <w:p>
      <w:pPr>
        <w:ind w:left="460" w:right="120" w:firstLine="443"/>
        <w:spacing w:after="0" w:line="293" w:lineRule="auto"/>
        <w:tabs>
          <w:tab w:leader="none" w:pos="1163" w:val="left"/>
        </w:tabs>
        <w:numPr>
          <w:ilvl w:val="1"/>
          <w:numId w:val="91"/>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56" w:lineRule="exact"/>
        <w:rPr>
          <w:rFonts w:ascii="Arial" w:cs="Arial" w:eastAsia="Arial" w:hAnsi="Arial"/>
          <w:sz w:val="16"/>
          <w:szCs w:val="16"/>
          <w:color w:val="auto"/>
        </w:rPr>
      </w:pPr>
    </w:p>
    <w:p>
      <w:pPr>
        <w:ind w:left="460" w:right="460" w:firstLine="443"/>
        <w:spacing w:after="0" w:line="277" w:lineRule="auto"/>
        <w:tabs>
          <w:tab w:leader="none" w:pos="1213" w:val="left"/>
        </w:tabs>
        <w:numPr>
          <w:ilvl w:val="1"/>
          <w:numId w:val="9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Provided, however, that paragraphs (B)(1)(i) and (B)(1)(ii) of this section do not apply if the registration statement is on Form S-3, Form S-8 or Form F-3, and the information required to be included in a post-effective amendment by those paragraphs is contained in periodic reports filed with or furnished to the Commission by the Registrant pursuant to Section 13 or Section 15(d) of the Exchange Act that are incorporated by reference in the registration statement.</w:t>
      </w:r>
    </w:p>
    <w:p>
      <w:pPr>
        <w:spacing w:after="0" w:line="39" w:lineRule="exact"/>
        <w:rPr>
          <w:sz w:val="20"/>
          <w:szCs w:val="20"/>
          <w:color w:val="auto"/>
        </w:rPr>
      </w:pPr>
    </w:p>
    <w:p>
      <w:pPr>
        <w:ind w:right="80" w:firstLine="464"/>
        <w:spacing w:after="0" w:line="264" w:lineRule="auto"/>
        <w:tabs>
          <w:tab w:leader="none" w:pos="6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73" w:lineRule="exact"/>
        <w:rPr>
          <w:rFonts w:ascii="Arial" w:cs="Arial" w:eastAsia="Arial" w:hAnsi="Arial"/>
          <w:sz w:val="18"/>
          <w:szCs w:val="18"/>
          <w:color w:val="auto"/>
        </w:rPr>
      </w:pPr>
    </w:p>
    <w:p>
      <w:pPr>
        <w:ind w:right="560" w:firstLine="464"/>
        <w:spacing w:after="0" w:line="277" w:lineRule="auto"/>
        <w:tabs>
          <w:tab w:leader="none" w:pos="636"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undersigned registrant hereby undertakes to remove from registration by means of a post-effective amendment any of the securities being registered that remain unsold at the termination of the offering.</w:t>
      </w:r>
    </w:p>
    <w:p>
      <w:pPr>
        <w:spacing w:after="0" w:line="62" w:lineRule="exact"/>
        <w:rPr>
          <w:rFonts w:ascii="Arial" w:cs="Arial" w:eastAsia="Arial" w:hAnsi="Arial"/>
          <w:sz w:val="18"/>
          <w:szCs w:val="18"/>
          <w:color w:val="auto"/>
        </w:rPr>
      </w:pPr>
    </w:p>
    <w:p>
      <w:pPr>
        <w:ind w:left="640" w:hanging="176"/>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the purposes of determining liability to any purchaser:</w:t>
      </w:r>
    </w:p>
    <w:p>
      <w:pPr>
        <w:spacing w:after="0" w:line="11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1" w:lineRule="exact"/>
        <w:rPr>
          <w:sz w:val="20"/>
          <w:szCs w:val="20"/>
          <w:color w:val="auto"/>
        </w:rPr>
      </w:pPr>
    </w:p>
    <w:p>
      <w:pPr>
        <w:ind w:right="20" w:firstLine="464"/>
        <w:spacing w:after="0" w:line="271" w:lineRule="auto"/>
        <w:tabs>
          <w:tab w:leader="none" w:pos="636"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undersigned registrant according the foregoing provisions, or otherwise, the undersigned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Redwood City, State of California, on this 29th day of January, 2018.</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SOLENO THERAPEUTICS,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Anish Bhatnagar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2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Anish Bhatnagar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1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100" w:type="dxa"/>
            <w:vAlign w:val="bottom"/>
          </w:tcPr>
          <w:p>
            <w:pPr>
              <w:spacing w:after="0"/>
              <w:rPr>
                <w:sz w:val="14"/>
                <w:szCs w:val="14"/>
                <w:color w:val="auto"/>
              </w:rPr>
            </w:pPr>
          </w:p>
        </w:tc>
        <w:tc>
          <w:tcPr>
            <w:tcW w:w="28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21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8"/>
        </w:trPr>
        <w:tc>
          <w:tcPr>
            <w:tcW w:w="600" w:type="dxa"/>
            <w:vAlign w:val="bottom"/>
            <w:tcBorders>
              <w:bottom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3100" w:type="dxa"/>
            <w:vAlign w:val="bottom"/>
            <w:vMerge w:val="restart"/>
          </w:tcPr>
          <w:p>
            <w:pPr>
              <w:ind w:left="240"/>
              <w:spacing w:after="0"/>
              <w:rPr>
                <w:sz w:val="20"/>
                <w:szCs w:val="20"/>
                <w:color w:val="auto"/>
              </w:rPr>
            </w:pPr>
            <w:r>
              <w:rPr>
                <w:rFonts w:ascii="Arial" w:cs="Arial" w:eastAsia="Arial" w:hAnsi="Arial"/>
                <w:sz w:val="18"/>
                <w:szCs w:val="18"/>
                <w:color w:val="auto"/>
                <w:w w:val="93"/>
              </w:rPr>
              <w:t>President, Chief Executive Officer and</w:t>
            </w:r>
          </w:p>
        </w:tc>
        <w:tc>
          <w:tcPr>
            <w:tcW w:w="300" w:type="dxa"/>
            <w:vAlign w:val="bottom"/>
            <w:tcBorders>
              <w:bottom w:val="single" w:sz="8" w:color="auto"/>
            </w:tcBorders>
          </w:tcPr>
          <w:p>
            <w:pPr>
              <w:spacing w:after="0"/>
              <w:rPr>
                <w:sz w:val="2"/>
                <w:szCs w:val="2"/>
                <w:color w:val="auto"/>
              </w:rPr>
            </w:pPr>
          </w:p>
        </w:tc>
        <w:tc>
          <w:tcPr>
            <w:tcW w:w="2520" w:type="dxa"/>
            <w:vAlign w:val="bottom"/>
          </w:tcPr>
          <w:p>
            <w:pPr>
              <w:spacing w:after="0"/>
              <w:rPr>
                <w:sz w:val="2"/>
                <w:szCs w:val="2"/>
                <w:color w:val="auto"/>
              </w:rPr>
            </w:pPr>
          </w:p>
        </w:tc>
        <w:tc>
          <w:tcPr>
            <w:tcW w:w="1340" w:type="dxa"/>
            <w:vAlign w:val="bottom"/>
            <w:vMerge w:val="restart"/>
          </w:tcPr>
          <w:p>
            <w:pPr>
              <w:ind w:left="880"/>
              <w:spacing w:after="0"/>
              <w:rPr>
                <w:sz w:val="20"/>
                <w:szCs w:val="20"/>
                <w:color w:val="auto"/>
              </w:rPr>
            </w:pPr>
            <w:r>
              <w:rPr>
                <w:rFonts w:ascii="Arial" w:cs="Arial" w:eastAsia="Arial" w:hAnsi="Arial"/>
                <w:sz w:val="17"/>
                <w:szCs w:val="17"/>
                <w:color w:val="auto"/>
                <w:w w:val="72"/>
              </w:rPr>
              <w:t>January</w:t>
            </w:r>
          </w:p>
        </w:tc>
        <w:tc>
          <w:tcPr>
            <w:tcW w:w="3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100" w:type="dxa"/>
            <w:vAlign w:val="bottom"/>
            <w:gridSpan w:val="2"/>
            <w:vMerge w:val="restart"/>
          </w:tcPr>
          <w:p>
            <w:pPr>
              <w:spacing w:after="0"/>
              <w:rPr>
                <w:sz w:val="20"/>
                <w:szCs w:val="20"/>
                <w:color w:val="auto"/>
              </w:rPr>
            </w:pPr>
            <w:r>
              <w:rPr>
                <w:rFonts w:ascii="Arial" w:cs="Arial" w:eastAsia="Arial" w:hAnsi="Arial"/>
                <w:sz w:val="18"/>
                <w:szCs w:val="18"/>
                <w:color w:val="auto"/>
              </w:rPr>
              <w:t>/s/ Anish Bhatnagar</w:t>
            </w:r>
          </w:p>
        </w:tc>
        <w:tc>
          <w:tcPr>
            <w:tcW w:w="3100" w:type="dxa"/>
            <w:vAlign w:val="bottom"/>
            <w:vMerge w:val="continue"/>
          </w:tcPr>
          <w:p>
            <w:pPr>
              <w:spacing w:after="0"/>
              <w:rPr>
                <w:sz w:val="14"/>
                <w:szCs w:val="14"/>
                <w:color w:val="auto"/>
              </w:rPr>
            </w:pPr>
          </w:p>
        </w:tc>
        <w:tc>
          <w:tcPr>
            <w:tcW w:w="2820" w:type="dxa"/>
            <w:vAlign w:val="bottom"/>
            <w:gridSpan w:val="2"/>
          </w:tcPr>
          <w:p>
            <w:pPr>
              <w:spacing w:after="0" w:line="169" w:lineRule="exact"/>
              <w:rPr>
                <w:sz w:val="20"/>
                <w:szCs w:val="20"/>
                <w:color w:val="auto"/>
              </w:rPr>
            </w:pPr>
            <w:r>
              <w:rPr>
                <w:rFonts w:ascii="Arial" w:cs="Arial" w:eastAsia="Arial" w:hAnsi="Arial"/>
                <w:sz w:val="18"/>
                <w:szCs w:val="18"/>
                <w:color w:val="auto"/>
              </w:rPr>
              <w:t>Director (Principal</w:t>
            </w:r>
          </w:p>
        </w:tc>
        <w:tc>
          <w:tcPr>
            <w:tcW w:w="1340" w:type="dxa"/>
            <w:vAlign w:val="bottom"/>
            <w:vMerge w:val="continue"/>
          </w:tcPr>
          <w:p>
            <w:pPr>
              <w:spacing w:after="0"/>
              <w:rPr>
                <w:sz w:val="14"/>
                <w:szCs w:val="14"/>
                <w:color w:val="auto"/>
              </w:rPr>
            </w:pPr>
          </w:p>
        </w:tc>
        <w:tc>
          <w:tcPr>
            <w:tcW w:w="760" w:type="dxa"/>
            <w:vAlign w:val="bottom"/>
            <w:gridSpan w:val="2"/>
          </w:tcPr>
          <w:p>
            <w:pPr>
              <w:jc w:val="right"/>
              <w:spacing w:after="0" w:line="169" w:lineRule="exact"/>
              <w:rPr>
                <w:sz w:val="20"/>
                <w:szCs w:val="20"/>
                <w:color w:val="auto"/>
              </w:rPr>
            </w:pPr>
            <w:r>
              <w:rPr>
                <w:rFonts w:ascii="Arial" w:cs="Arial" w:eastAsia="Arial" w:hAnsi="Arial"/>
                <w:sz w:val="18"/>
                <w:szCs w:val="18"/>
                <w:color w:val="auto"/>
              </w:rPr>
              <w:t>29, 2018</w:t>
            </w:r>
          </w:p>
        </w:tc>
        <w:tc>
          <w:tcPr>
            <w:tcW w:w="0" w:type="dxa"/>
            <w:vAlign w:val="bottom"/>
          </w:tcPr>
          <w:p>
            <w:pPr>
              <w:spacing w:after="0"/>
              <w:rPr>
                <w:sz w:val="1"/>
                <w:szCs w:val="1"/>
                <w:color w:val="auto"/>
              </w:rPr>
            </w:pPr>
          </w:p>
        </w:tc>
      </w:tr>
      <w:tr>
        <w:trPr>
          <w:trHeight w:val="208"/>
        </w:trPr>
        <w:tc>
          <w:tcPr>
            <w:tcW w:w="3100" w:type="dxa"/>
            <w:vAlign w:val="bottom"/>
            <w:tcBorders>
              <w:bottom w:val="single" w:sz="8" w:color="auto"/>
            </w:tcBorders>
            <w:gridSpan w:val="2"/>
            <w:vMerge w:val="continue"/>
          </w:tcPr>
          <w:p>
            <w:pPr>
              <w:spacing w:after="0"/>
              <w:rPr>
                <w:sz w:val="17"/>
                <w:szCs w:val="17"/>
                <w:color w:val="auto"/>
              </w:rPr>
            </w:pPr>
          </w:p>
        </w:tc>
        <w:tc>
          <w:tcPr>
            <w:tcW w:w="592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Executive Officer and Principal Financial and Accounting Officer)</w:t>
            </w: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1"/>
              </w:rPr>
              <w:t>Anish Bhatnagar</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Ernest Mario</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Chairman</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January 29, 2018</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2"/>
              </w:rPr>
              <w:t>Ernest Mario</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Rajen Dalal</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January 29, 2018</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2"/>
              </w:rPr>
              <w:t>Rajen Dalal</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G. Harris</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January 29, 2018</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6"/>
              </w:rPr>
              <w:t>William G. Harris</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Mahendra Shah</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January 29, 2018</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88"/>
              </w:rPr>
              <w:t>Mahendra Shah</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Collinson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January 29, 2018</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2"/>
              </w:rPr>
              <w:t>Stuart Collinson</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Jim Glasheen</w:t>
            </w:r>
          </w:p>
        </w:tc>
        <w:tc>
          <w:tcPr>
            <w:tcW w:w="59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100" w:type="dxa"/>
            <w:vAlign w:val="bottom"/>
            <w:gridSpan w:val="3"/>
          </w:tcPr>
          <w:p>
            <w:pPr>
              <w:jc w:val="right"/>
              <w:spacing w:after="0"/>
              <w:rPr>
                <w:sz w:val="20"/>
                <w:szCs w:val="20"/>
                <w:color w:val="auto"/>
              </w:rPr>
            </w:pPr>
            <w:r>
              <w:rPr>
                <w:rFonts w:ascii="Arial" w:cs="Arial" w:eastAsia="Arial" w:hAnsi="Arial"/>
                <w:sz w:val="18"/>
                <w:szCs w:val="18"/>
                <w:color w:val="auto"/>
              </w:rPr>
              <w:t>January 29, 2018</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89"/>
              </w:rPr>
              <w:t>Jim Glasheen</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920" w:type="dxa"/>
            <w:vAlign w:val="bottom"/>
            <w:gridSpan w:val="3"/>
          </w:tcPr>
          <w:p>
            <w:pPr>
              <w:ind w:left="2480"/>
              <w:spacing w:after="0"/>
              <w:rPr>
                <w:sz w:val="20"/>
                <w:szCs w:val="20"/>
                <w:color w:val="auto"/>
              </w:rPr>
            </w:pPr>
            <w:r>
              <w:rPr>
                <w:rFonts w:ascii="Arial" w:cs="Arial" w:eastAsia="Arial" w:hAnsi="Arial"/>
                <w:sz w:val="18"/>
                <w:szCs w:val="18"/>
                <w:color w:val="auto"/>
              </w:rPr>
              <w:t>II-8</w:t>
            </w: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KNOW ALL MEN BY THESE PRESENTS, that each person whose signature appears below, hereby constitutes and appoints Anish Bhatnagar his true and lawful attorneys-in-fact and agents, with full power of substitution and resubstitution, for him and in his name, place and stead, in any and all capacities, to sign any and all amendments to the registration statement, including post-effective amendments, and registration statements filed pursuant to Rule 462 under the Securities Act of 1933, and to file the same, with all exhibits thereto,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foregoing,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92"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3100" w:type="dxa"/>
            <w:vAlign w:val="bottom"/>
          </w:tcPr>
          <w:p>
            <w:pPr>
              <w:spacing w:after="0"/>
              <w:rPr>
                <w:sz w:val="16"/>
                <w:szCs w:val="16"/>
                <w:color w:val="auto"/>
              </w:rPr>
            </w:pPr>
          </w:p>
        </w:tc>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c>
          <w:tcPr>
            <w:tcW w:w="2800" w:type="dxa"/>
            <w:vAlign w:val="bottom"/>
            <w:gridSpan w:val="3"/>
          </w:tcPr>
          <w:p>
            <w:pPr>
              <w:jc w:val="center"/>
              <w:ind w:left="1492"/>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99"/>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Anish Bhatnagar</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 and Director</w:t>
            </w:r>
          </w:p>
        </w:tc>
        <w:tc>
          <w:tcPr>
            <w:tcW w:w="2800" w:type="dxa"/>
            <w:vAlign w:val="bottom"/>
            <w:gridSpan w:val="3"/>
          </w:tcPr>
          <w:p>
            <w:pPr>
              <w:jc w:val="center"/>
              <w:ind w:left="1492"/>
              <w:spacing w:after="0"/>
              <w:rPr>
                <w:sz w:val="20"/>
                <w:szCs w:val="20"/>
                <w:color w:val="auto"/>
              </w:rPr>
            </w:pPr>
            <w:r>
              <w:rPr>
                <w:rFonts w:ascii="Arial" w:cs="Arial" w:eastAsia="Arial" w:hAnsi="Arial"/>
                <w:sz w:val="18"/>
                <w:szCs w:val="18"/>
                <w:color w:val="auto"/>
                <w:w w:val="87"/>
              </w:rPr>
              <w:t>January 29, 2018</w:t>
            </w: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1"/>
              </w:rPr>
              <w:t>Anish Bhatnagar</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Ernest Mario</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Chairman</w:t>
            </w:r>
          </w:p>
        </w:tc>
        <w:tc>
          <w:tcPr>
            <w:tcW w:w="2800" w:type="dxa"/>
            <w:vAlign w:val="bottom"/>
            <w:gridSpan w:val="3"/>
          </w:tcPr>
          <w:p>
            <w:pPr>
              <w:jc w:val="center"/>
              <w:ind w:left="1492"/>
              <w:spacing w:after="0"/>
              <w:rPr>
                <w:sz w:val="20"/>
                <w:szCs w:val="20"/>
                <w:color w:val="auto"/>
              </w:rPr>
            </w:pPr>
            <w:r>
              <w:rPr>
                <w:rFonts w:ascii="Arial" w:cs="Arial" w:eastAsia="Arial" w:hAnsi="Arial"/>
                <w:sz w:val="18"/>
                <w:szCs w:val="18"/>
                <w:color w:val="auto"/>
                <w:w w:val="87"/>
              </w:rPr>
              <w:t>January 29, 2018</w:t>
            </w: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2"/>
              </w:rPr>
              <w:t>Ernest Mario</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Rajen Dalal</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492"/>
              <w:spacing w:after="0"/>
              <w:rPr>
                <w:sz w:val="20"/>
                <w:szCs w:val="20"/>
                <w:color w:val="auto"/>
              </w:rPr>
            </w:pPr>
            <w:r>
              <w:rPr>
                <w:rFonts w:ascii="Arial" w:cs="Arial" w:eastAsia="Arial" w:hAnsi="Arial"/>
                <w:sz w:val="18"/>
                <w:szCs w:val="18"/>
                <w:color w:val="auto"/>
                <w:w w:val="87"/>
              </w:rPr>
              <w:t>January 29, 2018</w:t>
            </w: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2"/>
              </w:rPr>
              <w:t>Rajen Dalal</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William G. Harris</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492"/>
              <w:spacing w:after="0"/>
              <w:rPr>
                <w:sz w:val="20"/>
                <w:szCs w:val="20"/>
                <w:color w:val="auto"/>
              </w:rPr>
            </w:pPr>
            <w:r>
              <w:rPr>
                <w:rFonts w:ascii="Arial" w:cs="Arial" w:eastAsia="Arial" w:hAnsi="Arial"/>
                <w:sz w:val="18"/>
                <w:szCs w:val="18"/>
                <w:color w:val="auto"/>
                <w:w w:val="87"/>
              </w:rPr>
              <w:t>January 29, 2018</w:t>
            </w: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6"/>
              </w:rPr>
              <w:t>William G. Harris</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Mahendra Shah</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492"/>
              <w:spacing w:after="0"/>
              <w:rPr>
                <w:sz w:val="20"/>
                <w:szCs w:val="20"/>
                <w:color w:val="auto"/>
              </w:rPr>
            </w:pPr>
            <w:r>
              <w:rPr>
                <w:rFonts w:ascii="Arial" w:cs="Arial" w:eastAsia="Arial" w:hAnsi="Arial"/>
                <w:sz w:val="18"/>
                <w:szCs w:val="18"/>
                <w:color w:val="auto"/>
                <w:w w:val="87"/>
              </w:rPr>
              <w:t>January 29, 2018</w:t>
            </w: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88"/>
              </w:rPr>
              <w:t>Mahendra Shah</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Stuart Collinson</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492"/>
              <w:spacing w:after="0"/>
              <w:rPr>
                <w:sz w:val="20"/>
                <w:szCs w:val="20"/>
                <w:color w:val="auto"/>
              </w:rPr>
            </w:pPr>
            <w:r>
              <w:rPr>
                <w:rFonts w:ascii="Arial" w:cs="Arial" w:eastAsia="Arial" w:hAnsi="Arial"/>
                <w:sz w:val="18"/>
                <w:szCs w:val="18"/>
                <w:color w:val="auto"/>
                <w:w w:val="87"/>
              </w:rPr>
              <w:t>January 29, 2018</w:t>
            </w: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92"/>
              </w:rPr>
              <w:t>Stuart Collinson</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431"/>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Jim Glasheen</w:t>
            </w:r>
          </w:p>
        </w:tc>
        <w:tc>
          <w:tcPr>
            <w:tcW w:w="52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800" w:type="dxa"/>
            <w:vAlign w:val="bottom"/>
            <w:gridSpan w:val="3"/>
          </w:tcPr>
          <w:p>
            <w:pPr>
              <w:jc w:val="center"/>
              <w:ind w:left="1492"/>
              <w:spacing w:after="0"/>
              <w:rPr>
                <w:sz w:val="20"/>
                <w:szCs w:val="20"/>
                <w:color w:val="auto"/>
              </w:rPr>
            </w:pPr>
            <w:r>
              <w:rPr>
                <w:rFonts w:ascii="Arial" w:cs="Arial" w:eastAsia="Arial" w:hAnsi="Arial"/>
                <w:sz w:val="18"/>
                <w:szCs w:val="18"/>
                <w:color w:val="auto"/>
                <w:w w:val="87"/>
              </w:rPr>
              <w:t>January 29, 2018</w:t>
            </w:r>
          </w:p>
        </w:tc>
      </w:tr>
      <w:tr>
        <w:trPr>
          <w:trHeight w:val="224"/>
        </w:trPr>
        <w:tc>
          <w:tcPr>
            <w:tcW w:w="600" w:type="dxa"/>
            <w:vAlign w:val="bottom"/>
          </w:tcPr>
          <w:p>
            <w:pPr>
              <w:spacing w:after="0"/>
              <w:rPr>
                <w:sz w:val="19"/>
                <w:szCs w:val="19"/>
                <w:color w:val="auto"/>
              </w:rPr>
            </w:pPr>
          </w:p>
        </w:tc>
        <w:tc>
          <w:tcPr>
            <w:tcW w:w="2500" w:type="dxa"/>
            <w:vAlign w:val="bottom"/>
          </w:tcPr>
          <w:p>
            <w:pPr>
              <w:jc w:val="center"/>
              <w:ind w:right="510"/>
              <w:spacing w:after="0"/>
              <w:rPr>
                <w:sz w:val="20"/>
                <w:szCs w:val="20"/>
                <w:color w:val="auto"/>
              </w:rPr>
            </w:pPr>
            <w:r>
              <w:rPr>
                <w:rFonts w:ascii="Arial" w:cs="Arial" w:eastAsia="Arial" w:hAnsi="Arial"/>
                <w:sz w:val="18"/>
                <w:szCs w:val="18"/>
                <w:color w:val="auto"/>
                <w:w w:val="89"/>
              </w:rPr>
              <w:t>Jim Glasheen</w:t>
            </w:r>
          </w:p>
        </w:tc>
        <w:tc>
          <w:tcPr>
            <w:tcW w:w="3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364"/>
        </w:trPr>
        <w:tc>
          <w:tcPr>
            <w:tcW w:w="6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220" w:type="dxa"/>
            <w:vAlign w:val="bottom"/>
            <w:gridSpan w:val="3"/>
          </w:tcPr>
          <w:p>
            <w:pPr>
              <w:ind w:left="2480"/>
              <w:spacing w:after="0"/>
              <w:rPr>
                <w:sz w:val="20"/>
                <w:szCs w:val="20"/>
                <w:color w:val="auto"/>
              </w:rPr>
            </w:pPr>
            <w:r>
              <w:rPr>
                <w:rFonts w:ascii="Arial" w:cs="Arial" w:eastAsia="Arial" w:hAnsi="Arial"/>
                <w:sz w:val="18"/>
                <w:szCs w:val="18"/>
                <w:color w:val="auto"/>
              </w:rPr>
              <w:t>II-9</w:t>
            </w:r>
          </w:p>
        </w:tc>
        <w:tc>
          <w:tcPr>
            <w:tcW w:w="2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ectPr>
          <w:pgSz w:w="11900" w:h="16838" w:orient="portrait"/>
          <w:cols w:equalWidth="0" w:num="1">
            <w:col w:w="11420"/>
          </w:cols>
          <w:pgMar w:left="240" w:top="460"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5.1</w:t>
      </w: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650 Page Mill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3078480" cy="3943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323">
                      <a:extLst>
                        <a:ext uri="{28A0092B-C50C-407E-A947-70E740481C1C}"/>
                      </a:extLst>
                    </a:blip>
                    <a:srcRect/>
                    <a:stretch>
                      <a:fillRect/>
                    </a:stretch>
                  </pic:blipFill>
                  <pic:spPr bwMode="auto">
                    <a:xfrm>
                      <a:off x="0" y="0"/>
                      <a:ext cx="3078480" cy="39433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Palo Alto, CA 94304-1050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PHONE 650.493.9300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650.493.6811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www.wsgr.com</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January 29,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Soleno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1235 Radio Road, Suite 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 </w:t>
      </w:r>
      <w:r>
        <w:rPr>
          <w:rFonts w:ascii="Arial" w:cs="Arial" w:eastAsia="Arial" w:hAnsi="Arial"/>
          <w:sz w:val="18"/>
          <w:szCs w:val="18"/>
          <w:b w:val="1"/>
          <w:bCs w:val="1"/>
          <w:u w:val="single" w:color="auto"/>
          <w:color w:val="auto"/>
        </w:rPr>
        <w:t>Registration Statement on Form S-1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This opinion is furnished to you in connection with the Registration Statement on Form S-1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filed by Soleno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with the Securities and Exchange Commission on even date herewith in connection with the registration under the Securities Act of 1933, as amended, of an aggregate of 14,165,541 shares of the Company’s common stock (the “</w:t>
      </w:r>
      <w:r>
        <w:rPr>
          <w:rFonts w:ascii="Arial" w:cs="Arial" w:eastAsia="Arial" w:hAnsi="Arial"/>
          <w:sz w:val="17"/>
          <w:szCs w:val="17"/>
          <w:u w:val="single" w:color="auto"/>
          <w:color w:val="auto"/>
        </w:rPr>
        <w:t>Common Stock</w:t>
      </w:r>
      <w:r>
        <w:rPr>
          <w:rFonts w:ascii="Arial" w:cs="Arial" w:eastAsia="Arial" w:hAnsi="Arial"/>
          <w:sz w:val="17"/>
          <w:szCs w:val="17"/>
          <w:color w:val="auto"/>
        </w:rPr>
        <w:t>”), which consists of up to 8,141,116 shares of Common Stock issued under the Securities Purchase Agreement dated December 11, 2017 (the “</w:t>
      </w:r>
      <w:r>
        <w:rPr>
          <w:rFonts w:ascii="Arial" w:cs="Arial" w:eastAsia="Arial" w:hAnsi="Arial"/>
          <w:sz w:val="17"/>
          <w:szCs w:val="17"/>
          <w:u w:val="single" w:color="auto"/>
          <w:color w:val="auto"/>
        </w:rPr>
        <w:t>Agreement</w:t>
      </w:r>
      <w:r>
        <w:rPr>
          <w:rFonts w:ascii="Arial" w:cs="Arial" w:eastAsia="Arial" w:hAnsi="Arial"/>
          <w:sz w:val="17"/>
          <w:szCs w:val="17"/>
          <w:color w:val="auto"/>
        </w:rPr>
        <w:t>”), and up to 6,024,425 shares of Common Stock that may be purchased upon exercise of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issued under the Agreement.</w:t>
      </w:r>
    </w:p>
    <w:p>
      <w:pPr>
        <w:spacing w:after="0" w:line="173"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acting as counsel for the Company in connection with the registration of Common Stock by the Company. In such capacity, we have examined the Agreement. We have also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Based on the foregoing and in reliance thereon and subject to the assumptions, qualifications and limitations set forth herein, we are of the opinion that:</w:t>
      </w:r>
    </w:p>
    <w:p>
      <w:pPr>
        <w:spacing w:after="0" w:line="142"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8,141,116 shares of Common Stock are validly issued, fully paid and non-assessable; and</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6,024,425 shares of Common Stock underlying the Warrants will, when issued in accordance with the terms of the Warrants, will be validly issued, fully paid and non-assessable.</w:t>
      </w:r>
    </w:p>
    <w:p>
      <w:pPr>
        <w:spacing w:after="0" w:line="170"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We are members of the Bar of the State of California and this opinion is limited solely to the federal laws of the United States of America and the General Corporation Law of the State of Delaware (including the statutory provisions and all applicable judicial decisions interpreting those laws).</w:t>
      </w:r>
    </w:p>
    <w:p>
      <w:pPr>
        <w:spacing w:after="0" w:line="14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consent to the use of this opinion as an exhibit to the Registration Statement, and we consent to the reference of our name under the caption “Legal Matters” in the prospectus forming part of the Registration Statement.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Professional Corporation</w:t>
      </w:r>
    </w:p>
    <w:p>
      <w:pPr>
        <w:sectPr>
          <w:pgSz w:w="11900" w:h="16838" w:orient="portrait"/>
          <w:cols w:equalWidth="0" w:num="1">
            <w:col w:w="11420"/>
          </w:cols>
          <w:pgMar w:left="240" w:top="121"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of Soleno Therapeutics, Inc.</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Capnia,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Capnia UK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Essentialis, Inc.</w:t>
      </w:r>
    </w:p>
    <w:p>
      <w:pPr>
        <w:sectPr>
          <w:pgSz w:w="11900" w:h="16838" w:orient="portrait"/>
          <w:cols w:equalWidth="0" w:num="1">
            <w:col w:w="11420"/>
          </w:cols>
          <w:pgMar w:left="240" w:top="122"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We consent to the inclusion in this Registration Statement of Soleno Therapeutics, Inc. (formerly known as Capnia, Inc.) on Form S-1 of our report dated March 15, 2017, except for Note 14 paragraphs (v), (vi) and (vii) as to which the date is January 29, 2018, with respect to our audits of the consolidated financial statements of Soleno Therapeutics, Inc. (formerly known as Capnia, Inc.) as of December 31, 2016 and 2015 and for the years then ended,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5"/>
          <w:szCs w:val="15"/>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5"/>
          <w:szCs w:val="15"/>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29, 2018</w:t>
      </w:r>
    </w:p>
    <w:p>
      <w:pPr>
        <w:sectPr>
          <w:pgSz w:w="11900" w:h="16838" w:orient="portrait"/>
          <w:cols w:equalWidth="0" w:num="1">
            <w:col w:w="11420"/>
          </w:cols>
          <w:pgMar w:left="240" w:top="121"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46480" cy="5143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325">
                      <a:extLst>
                        <a:ext uri="{28A0092B-C50C-407E-A947-70E740481C1C}"/>
                      </a:extLst>
                    </a:blip>
                    <a:srcRect/>
                    <a:stretch>
                      <a:fillRect/>
                    </a:stretch>
                  </pic:blipFill>
                  <pic:spPr bwMode="auto">
                    <a:xfrm>
                      <a:off x="0" y="0"/>
                      <a:ext cx="104648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Accountants &amp;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business advisers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consent to the inclusion by reference in this Registration Statement of Soleno Therapeutics, Inc. (formerly known as Capnia, Inc.) to Form S-1 of our report dated March 27, 2017 on the financial statements of Essentialis, Inc. as of December 31, 2016 and 2015 and for the years then ended, which is referenced in the Prospectus, which is part of this Registration Statement. We also consent to the reference to our Firm under the heading “Experts” in such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560830" cy="44577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26">
                      <a:extLst>
                        <a:ext uri="{28A0092B-C50C-407E-A947-70E740481C1C}"/>
                      </a:extLst>
                    </a:blip>
                    <a:srcRect/>
                    <a:stretch>
                      <a:fillRect/>
                    </a:stretch>
                  </pic:blipFill>
                  <pic:spPr bwMode="auto">
                    <a:xfrm>
                      <a:off x="0" y="0"/>
                      <a:ext cx="156083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PKF,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(formerly PKF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Professional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auto"/>
        </w:rPr>
        <w:t>PKF, LLP | 2020 Camino del Rio North, Suite 500, San Diego, CA 92108</w:t>
      </w:r>
    </w:p>
    <w:p>
      <w:pPr>
        <w:spacing w:after="0"/>
        <w:rPr>
          <w:sz w:val="20"/>
          <w:szCs w:val="20"/>
          <w:color w:val="auto"/>
        </w:rPr>
      </w:pPr>
      <w:r>
        <w:rPr>
          <w:rFonts w:ascii="Arial" w:cs="Arial" w:eastAsia="Arial" w:hAnsi="Arial"/>
          <w:sz w:val="14"/>
          <w:szCs w:val="14"/>
          <w:color w:val="auto"/>
        </w:rPr>
        <w:t>Telephone: (619) 238.1040 | Fax: (619) 237.5177 | Website: www.pkfcalifornia.com</w:t>
      </w:r>
    </w:p>
    <w:p>
      <w:pPr>
        <w:spacing w:after="0" w:line="84" w:lineRule="exact"/>
        <w:rPr>
          <w:sz w:val="20"/>
          <w:szCs w:val="20"/>
          <w:color w:val="auto"/>
        </w:rPr>
      </w:pPr>
    </w:p>
    <w:p>
      <w:pPr>
        <w:ind w:right="360"/>
        <w:spacing w:after="0" w:line="253" w:lineRule="auto"/>
        <w:rPr>
          <w:sz w:val="20"/>
          <w:szCs w:val="20"/>
          <w:color w:val="auto"/>
        </w:rPr>
      </w:pPr>
      <w:r>
        <w:rPr>
          <w:rFonts w:ascii="Arial" w:cs="Arial" w:eastAsia="Arial" w:hAnsi="Arial"/>
          <w:sz w:val="14"/>
          <w:szCs w:val="14"/>
          <w:color w:val="auto"/>
        </w:rPr>
        <w:t>PKF, LLP is a member of the PKF International Limited and Allinial Global, networks of legally independent member firms and does not accept any responsibility or liability for the actions or inactions on the part of any other individual member firm or firms.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1)"/>
      <w:numFmt w:val="lowerRoman"/>
      <w:start w:val="4"/>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
      <w:numFmt w:val="bullet"/>
      <w:start w:val="1"/>
    </w:lvl>
  </w:abstractNum>
  <w:abstractNum w:abstractNumId="43">
    <w:nsid w:val="6590700B"/>
    <w:multiLevelType w:val="hybridMultilevel"/>
    <w:lvl w:ilvl="0">
      <w:lvlJc w:val="left"/>
      <w:lvlText w:val="•"/>
      <w:numFmt w:val="bullet"/>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1)"/>
      <w:numFmt w:val="decimal"/>
      <w:start w:val="650"/>
    </w:lvl>
  </w:abstractNum>
  <w:abstractNum w:abstractNumId="46">
    <w:nsid w:val="98A3148"/>
    <w:multiLevelType w:val="hybridMultilevel"/>
    <w:lvl w:ilvl="0">
      <w:lvlJc w:val="left"/>
      <w:lvlText w:val="(%1)"/>
      <w:numFmt w:val="decimal"/>
      <w:start w:val="1"/>
    </w:lvl>
  </w:abstractNum>
  <w:abstractNum w:abstractNumId="47">
    <w:nsid w:val="799D0247"/>
    <w:multiLevelType w:val="hybridMultilevel"/>
    <w:lvl w:ilvl="0">
      <w:lvlJc w:val="left"/>
      <w:lvlText w:val="&amp;"/>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1)"/>
      <w:numFmt w:val="decimal"/>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1)"/>
      <w:numFmt w:val="decimal"/>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
      <w:numFmt w:val="bullet"/>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1)"/>
      <w:numFmt w:val="decimal"/>
      <w:start w:val="2"/>
    </w:lvl>
  </w:abstractNum>
  <w:abstractNum w:abstractNumId="66">
    <w:nsid w:val="4962813B"/>
    <w:multiLevelType w:val="hybridMultilevel"/>
    <w:lvl w:ilvl="0">
      <w:lvlJc w:val="left"/>
      <w:lvlText w:val="(%1)"/>
      <w:numFmt w:val="decimal"/>
      <w:start w:val="8"/>
    </w:lvl>
  </w:abstractNum>
  <w:abstractNum w:abstractNumId="67">
    <w:nsid w:val="60B6DF70"/>
    <w:multiLevelType w:val="hybridMultilevel"/>
    <w:lvl w:ilvl="0">
      <w:lvlJc w:val="left"/>
      <w:lvlText w:val="(%1)"/>
      <w:numFmt w:val="decimal"/>
      <w:start w:val="9"/>
    </w:lvl>
  </w:abstractNum>
  <w:abstractNum w:abstractNumId="68">
    <w:nsid w:val="6A5EE64"/>
    <w:multiLevelType w:val="hybridMultilevel"/>
    <w:lvl w:ilvl="0">
      <w:lvlJc w:val="left"/>
      <w:lvlText w:val="(%1)"/>
      <w:numFmt w:val="lowerRoman"/>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5"/>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1)"/>
      <w:numFmt w:val="lowerRoman"/>
      <w:start w:val="3"/>
    </w:lvl>
  </w:abstractNum>
  <w:abstractNum w:abstractNumId="78">
    <w:nsid w:val="885E1B"/>
    <w:multiLevelType w:val="hybridMultilevel"/>
    <w:lvl w:ilvl="0">
      <w:lvlJc w:val="left"/>
      <w:lvlText w:val="(%1)"/>
      <w:numFmt w:val="lowerRoman"/>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1)"/>
      <w:numFmt w:val="lowerLetter"/>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2)"/>
      <w:numFmt w:val="lowerRoman"/>
      <w:start w:val="1"/>
    </w:lvl>
  </w:abstractNum>
  <w:abstractNum w:abstractNumId="91">
    <w:nsid w:val="CC1016F"/>
    <w:multiLevelType w:val="hybridMultilevel"/>
    <w:lvl w:ilvl="0">
      <w:lvlJc w:val="left"/>
      <w:lvlText w:val="%1."/>
      <w:numFmt w:val="decimal"/>
      <w:start w:val="2"/>
    </w:lvl>
  </w:abstractNum>
  <w:abstractNum w:abstractNumId="92">
    <w:nsid w:val="43F18422"/>
    <w:multiLevelType w:val="hybridMultilevel"/>
    <w:lvl w:ilvl="0">
      <w:lvlJc w:val="left"/>
      <w:lvlText w:val="%1."/>
      <w:numFmt w:val="decimal"/>
      <w:start w:val="5"/>
    </w:lvl>
  </w:abstractNum>
  <w:abstractNum w:abstractNumId="93">
    <w:nsid w:val="60EF011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65" Type="http://schemas.openxmlformats.org/officeDocument/2006/relationships/image" Target="media/image226.png"/><Relationship Id="rId286" Type="http://schemas.openxmlformats.org/officeDocument/2006/relationships/image" Target="media/image227.png"/><Relationship Id="rId300" Type="http://schemas.openxmlformats.org/officeDocument/2006/relationships/image" Target="media/image228.png"/><Relationship Id="rId319" Type="http://schemas.openxmlformats.org/officeDocument/2006/relationships/image" Target="media/image229.png"/><Relationship Id="rId320" Type="http://schemas.openxmlformats.org/officeDocument/2006/relationships/image" Target="media/image230.png"/><Relationship Id="rId321" Type="http://schemas.openxmlformats.org/officeDocument/2006/relationships/image" Target="media/image231.png"/><Relationship Id="rId322" Type="http://schemas.openxmlformats.org/officeDocument/2006/relationships/image" Target="media/image232.png"/><Relationship Id="rId323" Type="http://schemas.openxmlformats.org/officeDocument/2006/relationships/image" Target="media/image233.jpeg"/><Relationship Id="rId324" Type="http://schemas.openxmlformats.org/officeDocument/2006/relationships/image" Target="media/image234.png"/><Relationship Id="rId325" Type="http://schemas.openxmlformats.org/officeDocument/2006/relationships/image" Target="media/image235.jpeg"/><Relationship Id="rId326" Type="http://schemas.openxmlformats.org/officeDocument/2006/relationships/image" Target="media/image236.jpeg"/><Relationship Id="rId233" Type="http://schemas.openxmlformats.org/officeDocument/2006/relationships/hyperlink" Target="http://www.sec.gov/Archives/edgar/data/1484565/000162828017007221/ehx21.htm" TargetMode="External"/><Relationship Id="rId234" Type="http://schemas.openxmlformats.org/officeDocument/2006/relationships/hyperlink" Target="http://www.sec.gov/Archives/edgar/data/1484565/000162828017012274/ex21soleno-captainjvagreem.htm" TargetMode="External"/><Relationship Id="rId235" Type="http://schemas.openxmlformats.org/officeDocument/2006/relationships/hyperlink" Target="http://www.sec.gov/Archives/edgar/data/1484565/000162828017012274/ex22ippurchaseagreement.htm" TargetMode="External"/><Relationship Id="rId236" Type="http://schemas.openxmlformats.org/officeDocument/2006/relationships/hyperlink" Target="http://www.sec.gov/Archives/edgar/data/1484565/000162828017012274/ex23soleno-transitionservi.htm" TargetMode="External"/><Relationship Id="rId237" Type="http://schemas.openxmlformats.org/officeDocument/2006/relationships/hyperlink" Target="http://www.sec.gov/Archives/edgar/data/1484565/000119312514300848/d711637dex32.htm" TargetMode="External"/><Relationship Id="rId238" Type="http://schemas.openxmlformats.org/officeDocument/2006/relationships/hyperlink" Target="http://www.sec.gov/Archives/edgar/data/1484565/000119312514256995/d711637dex34.htm" TargetMode="External"/><Relationship Id="rId239" Type="http://schemas.openxmlformats.org/officeDocument/2006/relationships/hyperlink" Target="http://www.sec.gov/Archives/edgar/data/1484565/000119312515344002/d67111dex31.htm" TargetMode="External"/><Relationship Id="rId240" Type="http://schemas.openxmlformats.org/officeDocument/2006/relationships/hyperlink" Target="http://www.sec.gov/Archives/edgar/data/1484565/000119312516642505/d221558dex31.htm" TargetMode="External"/><Relationship Id="rId241" Type="http://schemas.openxmlformats.org/officeDocument/2006/relationships/hyperlink" Target="http://www.sec.gov/Archives/edgar/data/1484565/000162828017005427/exhibit31.htm" TargetMode="External"/><Relationship Id="rId242" Type="http://schemas.openxmlformats.org/officeDocument/2006/relationships/hyperlink" Target="http://www.sec.gov/Archives/edgar/data/1484565/000162828017009761/soleno-certificateofamendm.htm" TargetMode="External"/><Relationship Id="rId243" Type="http://schemas.openxmlformats.org/officeDocument/2006/relationships/hyperlink" Target="http://www.sec.gov/Archives/edgar/data/1484565/000119312514293949/d711637dex41.htm" TargetMode="External"/><Relationship Id="rId244" Type="http://schemas.openxmlformats.org/officeDocument/2006/relationships/hyperlink" Target="http://www.sec.gov/Archives/edgar/data/1484565/000119312514256995/d711637dex42.htm" TargetMode="External"/><Relationship Id="rId245" Type="http://schemas.openxmlformats.org/officeDocument/2006/relationships/hyperlink" Target="http://www.sec.gov/Archives/edgar/data/1484565/000119312514293949/d711637dex43.htm" TargetMode="External"/><Relationship Id="rId246" Type="http://schemas.openxmlformats.org/officeDocument/2006/relationships/hyperlink" Target="http://www.sec.gov/Archives/edgar/data/1484565/000119312514293949/d711637dex44.htm" TargetMode="External"/><Relationship Id="rId247" Type="http://schemas.openxmlformats.org/officeDocument/2006/relationships/hyperlink" Target="http://www.sec.gov/Archives/edgar/data/1484565/000119312514293949/d711637dex45.htm" TargetMode="External"/><Relationship Id="rId248" Type="http://schemas.openxmlformats.org/officeDocument/2006/relationships/hyperlink" Target="http://www.sec.gov/Archives/edgar/data/1484565/000119312514231812/d711637dex46.htm" TargetMode="External"/><Relationship Id="rId249" Type="http://schemas.openxmlformats.org/officeDocument/2006/relationships/hyperlink" Target="http://www.sec.gov/Archives/edgar/data/1484565/000119312514231812/d711637dex47.htm" TargetMode="External"/><Relationship Id="rId250" Type="http://schemas.openxmlformats.org/officeDocument/2006/relationships/hyperlink" Target="http://www.sec.gov/Archives/edgar/data/1484565/000119312514231812/d711637dex48.htm" TargetMode="External"/><Relationship Id="rId251" Type="http://schemas.openxmlformats.org/officeDocument/2006/relationships/hyperlink" Target="http://www.sec.gov/Archives/edgar/data/1484565/000119312514231812/d711637dex49.htm" TargetMode="External"/><Relationship Id="rId252" Type="http://schemas.openxmlformats.org/officeDocument/2006/relationships/hyperlink" Target="http://www.sec.gov/Archives/edgar/data/1484565/000119312514231812/d711637dex410.htm" TargetMode="External"/><Relationship Id="rId253" Type="http://schemas.openxmlformats.org/officeDocument/2006/relationships/hyperlink" Target="http://www.sec.gov/Archives/edgar/data/1484565/000119312514231812/d711637dex411.htm" TargetMode="External"/><Relationship Id="rId254" Type="http://schemas.openxmlformats.org/officeDocument/2006/relationships/hyperlink" Target="http://www.sec.gov/Archives/edgar/data/1484565/000119312514231812/d711637dex412.htm" TargetMode="External"/><Relationship Id="rId255" Type="http://schemas.openxmlformats.org/officeDocument/2006/relationships/hyperlink" Target="http://www.sec.gov/Archives/edgar/data/1484565/000119312514231812/d711637dex413.htm" TargetMode="External"/><Relationship Id="rId256" Type="http://schemas.openxmlformats.org/officeDocument/2006/relationships/hyperlink" Target="http://www.sec.gov/Archives/edgar/data/1484565/000119312514231812/d711637dex414.htm" TargetMode="External"/><Relationship Id="rId257" Type="http://schemas.openxmlformats.org/officeDocument/2006/relationships/hyperlink" Target="http://www.sec.gov/Archives/edgar/data/1484565/000119312514231812/d711637dex415.htm" TargetMode="External"/><Relationship Id="rId258" Type="http://schemas.openxmlformats.org/officeDocument/2006/relationships/hyperlink" Target="http://www.sec.gov/Archives/edgar/data/1484565/000119312514293949/d711637dex416.htm" TargetMode="External"/><Relationship Id="rId259" Type="http://schemas.openxmlformats.org/officeDocument/2006/relationships/hyperlink" Target="http://www.sec.gov/Archives/edgar/data/1484565/000119312514396517/d711637dex417.htm" TargetMode="External"/><Relationship Id="rId260" Type="http://schemas.openxmlformats.org/officeDocument/2006/relationships/hyperlink" Target="http://www.sec.gov/Archives/edgar/data/1484565/000119312514396517/d711637dex418.htm" TargetMode="External"/><Relationship Id="rId261" Type="http://schemas.openxmlformats.org/officeDocument/2006/relationships/hyperlink" Target="http://www.sec.gov/Archives/edgar/data/1484565/000119312515114723/d893037dex419.htm" TargetMode="External"/><Relationship Id="rId262" Type="http://schemas.openxmlformats.org/officeDocument/2006/relationships/hyperlink" Target="http://www.sec.gov/Archives/edgar/data/1484565/000119312515114723/d893037dex420.htm" TargetMode="External"/><Relationship Id="rId263" Type="http://schemas.openxmlformats.org/officeDocument/2006/relationships/hyperlink" Target="http://www.sec.gov/Archives/edgar/data/1484565/000119312515344002/d67111dex41.htm" TargetMode="External"/><Relationship Id="rId264" Type="http://schemas.openxmlformats.org/officeDocument/2006/relationships/hyperlink" Target="http://www.sec.gov/Archives/edgar/data/1484565/000119312515344002/d67111dex42.htm" TargetMode="External"/><Relationship Id="rId266" Type="http://schemas.openxmlformats.org/officeDocument/2006/relationships/hyperlink" Target="http://www.sec.gov/Archives/edgar/data/1484565/000119312515344002/d67111dex43.htm" TargetMode="External"/><Relationship Id="rId267" Type="http://schemas.openxmlformats.org/officeDocument/2006/relationships/hyperlink" Target="http://www.sec.gov/Archives/edgar/data/1484565/000119312515344002/d67111dex44.htm" TargetMode="External"/><Relationship Id="rId268" Type="http://schemas.openxmlformats.org/officeDocument/2006/relationships/hyperlink" Target="http://www.sec.gov/Archives/edgar/data/1484565/000119312516642505/d221558dex41.htm" TargetMode="External"/><Relationship Id="rId269" Type="http://schemas.openxmlformats.org/officeDocument/2006/relationships/hyperlink" Target="http://www.sec.gov/Archives/edgar/data/1484565/000119312516642505/d221558dex42.htm" TargetMode="External"/><Relationship Id="rId270" Type="http://schemas.openxmlformats.org/officeDocument/2006/relationships/hyperlink" Target="http://www.sec.gov/Archives/edgar/data/1484565/000148456517000004/ex41commonstockwarrant.htm" TargetMode="External"/><Relationship Id="rId271" Type="http://schemas.openxmlformats.org/officeDocument/2006/relationships/hyperlink" Target="http://www.sec.gov/Archives/edgar/data/1484565/000119312515344002/d67111dex91.htm" TargetMode="External"/><Relationship Id="rId272" Type="http://schemas.openxmlformats.org/officeDocument/2006/relationships/hyperlink" Target="http://www.sec.gov/Archives/edgar/data/1484565/000119312516642505/d221558dex91.htm" TargetMode="External"/><Relationship Id="rId273" Type="http://schemas.openxmlformats.org/officeDocument/2006/relationships/hyperlink" Target="http://www.sec.gov/Archives/edgar/data/1484565/000119312516803934/d282262dex101.htm" TargetMode="External"/><Relationship Id="rId274" Type="http://schemas.openxmlformats.org/officeDocument/2006/relationships/hyperlink" Target="http://www.sec.gov/Archives/edgar/data/1484565/000119312514231812/d711637dex101.htm" TargetMode="External"/><Relationship Id="rId275" Type="http://schemas.openxmlformats.org/officeDocument/2006/relationships/hyperlink" Target="http://www.sec.gov/Archives/edgar/data/1484565/000119312514231812/d711637dex102.htm" TargetMode="External"/><Relationship Id="rId276" Type="http://schemas.openxmlformats.org/officeDocument/2006/relationships/hyperlink" Target="http://www.sec.gov/Archives/edgar/data/1484565/000119312514231812/d711637dex103.htm" TargetMode="External"/><Relationship Id="rId277" Type="http://schemas.openxmlformats.org/officeDocument/2006/relationships/hyperlink" Target="http://www.sec.gov/Archives/edgar/data/1484565/000119312514256995/d711637dex104.htm" TargetMode="External"/><Relationship Id="rId278" Type="http://schemas.openxmlformats.org/officeDocument/2006/relationships/hyperlink" Target="http://www.sec.gov/Archives/edgar/data/1484565/000119312514256995/d711637dex105.htm" TargetMode="External"/><Relationship Id="rId279" Type="http://schemas.openxmlformats.org/officeDocument/2006/relationships/hyperlink" Target="http://www.sec.gov/Archives/edgar/data/1484565/000119312514231812/d711637dex106.htm" TargetMode="External"/><Relationship Id="rId280" Type="http://schemas.openxmlformats.org/officeDocument/2006/relationships/hyperlink" Target="http://www.sec.gov/Archives/edgar/data/1484565/000119312514231812/d711637dex107.htm" TargetMode="External"/><Relationship Id="rId281" Type="http://schemas.openxmlformats.org/officeDocument/2006/relationships/hyperlink" Target="http://www.sec.gov/Archives/edgar/data/1484565/000119312514231812/d711637dex108.htm" TargetMode="External"/><Relationship Id="rId282" Type="http://schemas.openxmlformats.org/officeDocument/2006/relationships/hyperlink" Target="http://www.sec.gov/Archives/edgar/data/1484565/000119312514231812/d711637dex109.htm" TargetMode="External"/><Relationship Id="rId283" Type="http://schemas.openxmlformats.org/officeDocument/2006/relationships/hyperlink" Target="http://www.sec.gov/Archives/edgar/data/1484565/000119312514231812/d711637dex1010.htm" TargetMode="External"/><Relationship Id="rId284" Type="http://schemas.openxmlformats.org/officeDocument/2006/relationships/hyperlink" Target="http://www.sec.gov/Archives/edgar/data/1484565/000119312514231812/d711637dex1011.htm" TargetMode="External"/><Relationship Id="rId285" Type="http://schemas.openxmlformats.org/officeDocument/2006/relationships/hyperlink" Target="http://www.sec.gov/Archives/edgar/data/1484565/000119312514231812/d711637dex1012.htm" TargetMode="External"/><Relationship Id="rId287" Type="http://schemas.openxmlformats.org/officeDocument/2006/relationships/hyperlink" Target="http://www.sec.gov/Archives/edgar/data/1484565/000119312514231812/d711637dex1013.htm" TargetMode="External"/><Relationship Id="rId288" Type="http://schemas.openxmlformats.org/officeDocument/2006/relationships/hyperlink" Target="http://www.sec.gov/Archives/edgar/data/1484565/000119312514231812/d711637dex1014.htm" TargetMode="External"/><Relationship Id="rId289" Type="http://schemas.openxmlformats.org/officeDocument/2006/relationships/hyperlink" Target="http://www.sec.gov/Archives/edgar/data/1484565/000119312514231812/d711637dex1015.htm" TargetMode="External"/><Relationship Id="rId290" Type="http://schemas.openxmlformats.org/officeDocument/2006/relationships/hyperlink" Target="http://www.sec.gov/Archives/edgar/data/1484565/000119312514231812/d711637dex1016.htm" TargetMode="External"/><Relationship Id="rId291" Type="http://schemas.openxmlformats.org/officeDocument/2006/relationships/hyperlink" Target="http://www.sec.gov/Archives/edgar/data/1484565/000119312514231812/d711637dex1017.htm" TargetMode="External"/><Relationship Id="rId292" Type="http://schemas.openxmlformats.org/officeDocument/2006/relationships/hyperlink" Target="http://www.sec.gov/Archives/edgar/data/1484565/000119312514231812/d711637dex1018.htm" TargetMode="External"/><Relationship Id="rId293" Type="http://schemas.openxmlformats.org/officeDocument/2006/relationships/hyperlink" Target="http://www.sec.gov/Archives/edgar/data/1484565/000119312514256995/d711637dex1019.htm" TargetMode="External"/><Relationship Id="rId294" Type="http://schemas.openxmlformats.org/officeDocument/2006/relationships/hyperlink" Target="http://www.sec.gov/Archives/edgar/data/1484565/000119312514274666/d711637dex1020.htm" TargetMode="External"/><Relationship Id="rId295" Type="http://schemas.openxmlformats.org/officeDocument/2006/relationships/hyperlink" Target="http://www.sec.gov/Archives/edgar/data/1484565/000119312514357384/d711637dex1021.htm" TargetMode="External"/><Relationship Id="rId296" Type="http://schemas.openxmlformats.org/officeDocument/2006/relationships/hyperlink" Target="http://www.sec.gov/Archives/edgar/data/1484565/000119312514396517/d711637dex1022.htm" TargetMode="External"/><Relationship Id="rId297" Type="http://schemas.openxmlformats.org/officeDocument/2006/relationships/hyperlink" Target="http://www.sec.gov/Archives/edgar/data/1484565/000119312514396517/d711637dex1023.htm" TargetMode="External"/><Relationship Id="rId298" Type="http://schemas.openxmlformats.org/officeDocument/2006/relationships/hyperlink" Target="http://www.sec.gov/Archives/edgar/data/1484565/000119312515078868/d886135dex101.htm" TargetMode="External"/><Relationship Id="rId299" Type="http://schemas.openxmlformats.org/officeDocument/2006/relationships/hyperlink" Target="http://www.sec.gov/Archives/edgar/data/1484565/000119312515114723/d893037dex1025.htm" TargetMode="External"/><Relationship Id="rId301" Type="http://schemas.openxmlformats.org/officeDocument/2006/relationships/hyperlink" Target="http://www.sec.gov/Archives/edgar/data/1484565/000119312515246752/d72536dex101.htm" TargetMode="External"/><Relationship Id="rId302" Type="http://schemas.openxmlformats.org/officeDocument/2006/relationships/hyperlink" Target="http://www.sec.gov/Archives/edgar/data/1484565/000119312515246752/d72536dex102.htm" TargetMode="External"/><Relationship Id="rId303" Type="http://schemas.openxmlformats.org/officeDocument/2006/relationships/hyperlink" Target="http://www.sec.gov/Archives/edgar/data/1484565/000119312515264172/d151899dex41.htm" TargetMode="External"/><Relationship Id="rId304" Type="http://schemas.openxmlformats.org/officeDocument/2006/relationships/hyperlink" Target="http://www.sec.gov/Archives/edgar/data/1484565/000119312515264172/d151899dex101.htm" TargetMode="External"/><Relationship Id="rId305" Type="http://schemas.openxmlformats.org/officeDocument/2006/relationships/hyperlink" Target="http://www.sec.gov/Archives/edgar/data/1484565/000119312515344002/d67111dex11.htm" TargetMode="External"/><Relationship Id="rId306" Type="http://schemas.openxmlformats.org/officeDocument/2006/relationships/hyperlink" Target="http://www.sec.gov/Archives/edgar/data/1484565/000119312515344002/d67111dex101.htm" TargetMode="External"/><Relationship Id="rId307" Type="http://schemas.openxmlformats.org/officeDocument/2006/relationships/hyperlink" Target="http://www.sec.gov/Archives/edgar/data/1484565/000119312515344002/d67111dex102.htm" TargetMode="External"/><Relationship Id="rId308" Type="http://schemas.openxmlformats.org/officeDocument/2006/relationships/hyperlink" Target="http://www.sec.gov/Archives/edgar/data/1484565/000119312515344002/d67111dex103.htm" TargetMode="External"/><Relationship Id="rId309" Type="http://schemas.openxmlformats.org/officeDocument/2006/relationships/hyperlink" Target="http://www.sec.gov/Archives/edgar/data/1484565/000119312515410913/d83264dex1033.htm" TargetMode="External"/><Relationship Id="rId310" Type="http://schemas.openxmlformats.org/officeDocument/2006/relationships/hyperlink" Target="http://www.sec.gov/Archives/edgar/data/1484565/000119312516441799/d77178dex101.htm" TargetMode="External"/><Relationship Id="rId311" Type="http://schemas.openxmlformats.org/officeDocument/2006/relationships/hyperlink" Target="http://www.sec.gov/Archives/edgar/data/1484565/000119312516642505/d221558dex11.htm" TargetMode="External"/><Relationship Id="rId312" Type="http://schemas.openxmlformats.org/officeDocument/2006/relationships/hyperlink" Target="http://www.sec.gov/Archives/edgar/data/1484565/000119312516642505/d221558dex101.htm" TargetMode="External"/><Relationship Id="rId313" Type="http://schemas.openxmlformats.org/officeDocument/2006/relationships/hyperlink" Target="http://www.sec.gov/Archives/edgar/data/1484565/000119312516642505/d221558dex102.htm" TargetMode="External"/><Relationship Id="rId314" Type="http://schemas.openxmlformats.org/officeDocument/2006/relationships/hyperlink" Target="http://www.sec.gov/Archives/edgar/data/1484565/000119312516714955/d217110dex1039.htm" TargetMode="External"/><Relationship Id="rId315" Type="http://schemas.openxmlformats.org/officeDocument/2006/relationships/hyperlink" Target="http://www.sec.gov/Archives/edgar/data/1484565/000119312516803934/d282262dex21.htm" TargetMode="External"/><Relationship Id="rId316" Type="http://schemas.openxmlformats.org/officeDocument/2006/relationships/hyperlink" Target="http://www.sec.gov/Archives/edgar/data/1484565/000119312517027623/d336318dex1051.htm" TargetMode="External"/><Relationship Id="rId317" Type="http://schemas.openxmlformats.org/officeDocument/2006/relationships/hyperlink" Target="http://www.sec.gov/Archives/edgar/data/1484565/000119312517027623/d336318dex1052.htm" TargetMode="External"/><Relationship Id="rId318" Type="http://schemas.openxmlformats.org/officeDocument/2006/relationships/hyperlink" Target="http://www.sec.gov/Archives/edgar/data/1484565/000148456517000004/ex101securitiespurchas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2019-12-07T18:11:42Z</dcterms:created>
  <dcterms:modified xsi:type="dcterms:W3CDTF">2019-12-07T18:11:42Z</dcterms:modified>
</cp:coreProperties>
</file>