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slno-20230930.htm"/>
      <w:bookmarkStart w:id="1" w:name="ksslno20230930"/>
      <w:bookmarkEnd w:id="0"/>
      <w:bookmarkEnd w:id="1"/>
      <w:r>
        <w:rPr/>
        <w:t> </w:t>
      </w:r>
    </w:p>
    <w:p>
      <w:pPr>
        <w:pStyle w:val="TextBody"/>
        <w:bidi w:val="0"/>
        <w:jc w:val="center"/>
        <w:rPr>
          <w:rFonts w:ascii="Times New Roman" w:hAnsi="Times New Roman"/>
          <w:b w:val="false"/>
          <w:color w:val="000000"/>
          <w:sz w:val="2"/>
        </w:rPr>
      </w:pPr>
      <w:r>
        <w:rPr>
          <w:rFonts w:ascii="Times New Roman" w:hAnsi="Times New Roman"/>
          <w:b w:val="false"/>
          <w:color w:val="000000"/>
          <w:sz w:val="2"/>
        </w:rPr>
        <w:t>2</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spacing w:before="80" w:after="283"/>
        <w:jc w:val="center"/>
        <w:rPr>
          <w:rFonts w:ascii="Times New Roman" w:hAnsi="Times New Roman"/>
          <w:sz w:val="20"/>
        </w:rPr>
      </w:pPr>
      <w:r>
        <w:rPr>
          <w:rFonts w:ascii="Times New Roman" w:hAnsi="Times New Roman"/>
          <w:b/>
          <w:color w:val="000000"/>
          <w:sz w:val="36"/>
        </w:rPr>
        <w:t>FORM 10-Q</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spacing w:before="80" w:after="283"/>
        <w:jc w:val="left"/>
        <w:rPr>
          <w:rFonts w:ascii="Times New Roman" w:hAnsi="Times New Roman"/>
          <w:sz w:val="20"/>
        </w:rPr>
      </w:pPr>
      <w:r>
        <w:rPr>
          <w:rFonts w:ascii="Times New Roman" w:hAnsi="Times New Roman"/>
          <w:b/>
          <w:color w:val="000000"/>
          <w:sz w:val="20"/>
        </w:rPr>
        <w:t>(Mark One)</w:t>
      </w:r>
      <w:r>
        <w:rPr>
          <w:rFonts w:ascii="Times New Roman" w:hAnsi="Times New Roman"/>
          <w:color w:val="000000"/>
          <w:sz w:val="20"/>
        </w:rPr>
        <w:t xml:space="preserve"> </w:t>
      </w:r>
    </w:p>
    <w:p>
      <w:pPr>
        <w:pStyle w:val="TextBody"/>
        <w:bidi w:val="0"/>
        <w:jc w:val="left"/>
        <w:rPr/>
      </w:pPr>
      <w:r>
        <w:rPr>
          <w:color w:val="000000"/>
        </w:rPr>
        <w:t xml:space="preserve">☒ </w:t>
      </w:r>
      <w:r>
        <w:rPr>
          <w:rFonts w:ascii="Times New Roman" w:hAnsi="Times New Roman"/>
          <w:b/>
          <w:color w:val="000000"/>
          <w:sz w:val="24"/>
        </w:rPr>
        <w:t>QUARTERLY REPORT PURSUANT TO SECTION 13 OR 15(d) OF THE SECURITIES EXCHANGE ACT OF 1934</w:t>
      </w:r>
      <w:r>
        <w:rPr>
          <w:rFonts w:ascii="Times New Roman" w:hAnsi="Times New Roman"/>
          <w:color w:val="000000"/>
          <w:sz w:val="20"/>
        </w:rPr>
        <w:t xml:space="preserve"> </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For the quarterly period ended September 30, 2023</w:t>
      </w:r>
    </w:p>
    <w:p>
      <w:pPr>
        <w:pStyle w:val="TextBody"/>
        <w:bidi w:val="0"/>
        <w:spacing w:before="80" w:after="283"/>
        <w:jc w:val="center"/>
        <w:rPr>
          <w:rFonts w:ascii="Times New Roman" w:hAnsi="Times New Roman"/>
          <w:sz w:val="20"/>
        </w:rPr>
      </w:pPr>
      <w:r>
        <w:rPr>
          <w:rFonts w:ascii="Times New Roman" w:hAnsi="Times New Roman"/>
          <w:b/>
          <w:color w:val="000000"/>
          <w:sz w:val="20"/>
        </w:rPr>
        <w:t>or</w:t>
      </w:r>
      <w:r>
        <w:rPr>
          <w:rFonts w:ascii="Times New Roman" w:hAnsi="Times New Roman"/>
          <w:color w:val="000000"/>
          <w:sz w:val="20"/>
        </w:rPr>
        <w:t xml:space="preserve"> </w:t>
      </w:r>
    </w:p>
    <w:p>
      <w:pPr>
        <w:pStyle w:val="TextBody"/>
        <w:bidi w:val="0"/>
        <w:spacing w:before="80" w:after="283"/>
        <w:jc w:val="left"/>
        <w:rPr/>
      </w:pPr>
      <w:r>
        <w:rPr>
          <w:color w:val="000000"/>
        </w:rPr>
        <w:t xml:space="preserve">☐ </w:t>
      </w:r>
      <w:r>
        <w:rPr>
          <w:rFonts w:ascii="Times New Roman" w:hAnsi="Times New Roman"/>
          <w:b/>
          <w:color w:val="000000"/>
          <w:sz w:val="24"/>
        </w:rPr>
        <w:t>TRANSITION REPORT PURSUANT TO SECTION 13 OR 15(d) OF THE SECURITIES EXCHANGE ACT OF 1934</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20"/>
        </w:rPr>
        <w:t>Commission File Number: 001-36593</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spacing w:before="80" w:after="283"/>
        <w:jc w:val="center"/>
        <w:rPr>
          <w:rFonts w:ascii="Times New Roman" w:hAnsi="Times New Roman"/>
          <w:sz w:val="20"/>
        </w:rPr>
      </w:pPr>
      <w:r>
        <w:rPr>
          <w:rFonts w:ascii="Times New Roman" w:hAnsi="Times New Roman"/>
          <w:b/>
          <w:color w:val="000000"/>
          <w:sz w:val="48"/>
        </w:rPr>
        <w:t>SOLENO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jc w:val="left"/>
        <w:rPr/>
      </w:pPr>
      <w:r>
        <w:rPr/>
        <w:t> </w:t>
      </w:r>
    </w:p>
    <w:tbl>
      <w:tblPr>
        <w:tblW w:w="3857" w:type="dxa"/>
        <w:jc w:val="left"/>
        <w:tblInd w:w="0" w:type="dxa"/>
        <w:tblLayout w:type="fixed"/>
        <w:tblCellMar>
          <w:top w:w="28" w:type="dxa"/>
          <w:left w:w="28" w:type="dxa"/>
          <w:bottom w:w="28" w:type="dxa"/>
          <w:right w:w="28" w:type="dxa"/>
        </w:tblCellMar>
      </w:tblPr>
      <w:tblGrid>
        <w:gridCol w:w="2371"/>
        <w:gridCol w:w="1486"/>
      </w:tblGrid>
      <w:tr>
        <w:trPr/>
        <w:tc>
          <w:tcPr>
            <w:tcW w:w="2371"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371" w:type="dxa"/>
            <w:tcBorders/>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Delaware</w:t>
            </w:r>
          </w:p>
        </w:tc>
        <w:tc>
          <w:tcPr>
            <w:tcW w:w="1486" w:type="dxa"/>
            <w:tcBorders/>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77-0523891</w:t>
            </w:r>
          </w:p>
        </w:tc>
      </w:tr>
      <w:tr>
        <w:trPr/>
        <w:tc>
          <w:tcPr>
            <w:tcW w:w="2371"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incorporation or organization)</w:t>
            </w:r>
          </w:p>
        </w:tc>
        <w:tc>
          <w:tcPr>
            <w:tcW w:w="1486"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spacing w:before="80" w:after="283"/>
        <w:jc w:val="center"/>
        <w:rPr>
          <w:rFonts w:ascii="Times New Roman" w:hAnsi="Times New Roman"/>
          <w:sz w:val="20"/>
        </w:rPr>
      </w:pPr>
      <w:r>
        <w:rPr>
          <w:rFonts w:ascii="Times New Roman" w:hAnsi="Times New Roman"/>
          <w:b/>
          <w:color w:val="000000"/>
          <w:sz w:val="19"/>
        </w:rPr>
        <w:t>203 Redwood Shores Parkway, Suite 500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9"/>
        </w:rPr>
        <w:t>Redwood City, California</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(Address of principal executive offices)</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19"/>
        </w:rPr>
        <w:t>94065</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(Zip Code)</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19"/>
        </w:rPr>
        <w:t>(650) 213-8444</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(Registrant’s telephone number, including area code)</w:t>
      </w:r>
      <w:r>
        <w:rPr>
          <w:rFonts w:ascii="Times New Roman" w:hAnsi="Times New Roman"/>
          <w:color w:val="000000"/>
          <w:sz w:val="20"/>
        </w:rPr>
        <w:t xml:space="preserve"> </w:t>
      </w:r>
    </w:p>
    <w:p>
      <w:pPr>
        <w:pStyle w:val="TextBody"/>
        <w:pBdr>
          <w:bottom w:val="single" w:sz="8" w:space="1" w:color="000000"/>
        </w:pBdr>
        <w:bidi w:val="0"/>
        <w:jc w:val="center"/>
        <w:rPr/>
      </w:pPr>
      <w:r>
        <w:rPr/>
        <w:t> </w:t>
      </w:r>
    </w:p>
    <w:tbl>
      <w:tblPr>
        <w:tblW w:w="7248" w:type="dxa"/>
        <w:jc w:val="left"/>
        <w:tblInd w:w="0" w:type="dxa"/>
        <w:tblLayout w:type="fixed"/>
        <w:tblCellMar>
          <w:top w:w="28" w:type="dxa"/>
          <w:left w:w="28" w:type="dxa"/>
          <w:bottom w:w="28" w:type="dxa"/>
          <w:right w:w="28" w:type="dxa"/>
        </w:tblCellMar>
      </w:tblPr>
      <w:tblGrid>
        <w:gridCol w:w="2476"/>
        <w:gridCol w:w="1456"/>
        <w:gridCol w:w="3316"/>
      </w:tblGrid>
      <w:tr>
        <w:trPr/>
        <w:tc>
          <w:tcPr>
            <w:tcW w:w="247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7248" w:type="dxa"/>
            <w:gridSpan w:val="3"/>
            <w:tcBorders/>
            <w:vAlign w:val="center"/>
          </w:tcPr>
          <w:p>
            <w:pPr>
              <w:pStyle w:val="TableContents"/>
              <w:bidi w:val="0"/>
              <w:ind w:left="0" w:right="0" w:firstLine="490"/>
              <w:jc w:val="left"/>
              <w:rPr/>
            </w:pPr>
            <w:r>
              <w:rPr/>
              <w:t> </w:t>
            </w:r>
          </w:p>
          <w:p>
            <w:pPr>
              <w:pStyle w:val="TableContents"/>
              <w:bidi w:val="0"/>
              <w:spacing w:before="0" w:after="283"/>
              <w:ind w:left="0" w:right="0" w:firstLine="490"/>
              <w:jc w:val="left"/>
              <w:rPr>
                <w:rFonts w:ascii="Times New Roman" w:hAnsi="Times New Roman"/>
                <w:b w:val="false"/>
                <w:color w:val="000000"/>
                <w:sz w:val="17"/>
              </w:rPr>
            </w:pPr>
            <w:r>
              <w:rPr>
                <w:rFonts w:ascii="Times New Roman" w:hAnsi="Times New Roman"/>
                <w:b w:val="false"/>
                <w:color w:val="000000"/>
                <w:sz w:val="17"/>
              </w:rPr>
              <w:t>Securities registered pursuant to Section 12(b) of the Act:</w:t>
            </w:r>
          </w:p>
        </w:tc>
      </w:tr>
      <w:tr>
        <w:trPr/>
        <w:tc>
          <w:tcPr>
            <w:tcW w:w="2476" w:type="dxa"/>
            <w:tcBorders/>
            <w:vAlign w:val="center"/>
          </w:tcPr>
          <w:p>
            <w:pPr>
              <w:pStyle w:val="TableContents"/>
              <w:bidi w:val="0"/>
              <w:spacing w:before="0" w:after="283"/>
              <w:jc w:val="left"/>
              <w:rPr/>
            </w:pPr>
            <w:r>
              <w:rPr/>
              <w:t> </w:t>
            </w:r>
          </w:p>
        </w:tc>
        <w:tc>
          <w:tcPr>
            <w:tcW w:w="1456" w:type="dxa"/>
            <w:tcBorders/>
            <w:vAlign w:val="center"/>
          </w:tcPr>
          <w:p>
            <w:pPr>
              <w:pStyle w:val="TableContents"/>
              <w:bidi w:val="0"/>
              <w:spacing w:before="0" w:after="283"/>
              <w:jc w:val="left"/>
              <w:rPr/>
            </w:pPr>
            <w:r>
              <w:rPr/>
              <w:t> </w:t>
            </w:r>
          </w:p>
        </w:tc>
        <w:tc>
          <w:tcPr>
            <w:tcW w:w="3316" w:type="dxa"/>
            <w:tcBorders/>
            <w:vAlign w:val="center"/>
          </w:tcPr>
          <w:p>
            <w:pPr>
              <w:pStyle w:val="TableContents"/>
              <w:bidi w:val="0"/>
              <w:spacing w:before="0" w:after="283"/>
              <w:jc w:val="left"/>
              <w:rPr/>
            </w:pPr>
            <w:r>
              <w:rPr/>
              <w:t> </w:t>
            </w:r>
          </w:p>
        </w:tc>
      </w:tr>
      <w:tr>
        <w:trPr/>
        <w:tc>
          <w:tcPr>
            <w:tcW w:w="2476" w:type="dxa"/>
            <w:tcBorders>
              <w:top w:val="single" w:sz="8" w:space="0" w:color="000000"/>
              <w:left w:val="single" w:sz="8" w:space="0" w:color="000000"/>
            </w:tcBorders>
            <w:tcMar>
              <w:top w:w="30" w:type="dxa"/>
              <w:left w:w="3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Title of each class</w:t>
            </w:r>
          </w:p>
        </w:tc>
        <w:tc>
          <w:tcPr>
            <w:tcW w:w="1456" w:type="dxa"/>
            <w:tcBorders>
              <w:top w:val="single" w:sz="8" w:space="0" w:color="000000"/>
              <w:left w:val="single" w:sz="8" w:space="0" w:color="000000"/>
            </w:tcBorders>
            <w:tcMar>
              <w:top w:w="30" w:type="dxa"/>
              <w:left w:w="3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Trading Symbol(s)</w:t>
            </w:r>
          </w:p>
        </w:tc>
        <w:tc>
          <w:tcPr>
            <w:tcW w:w="3316" w:type="dxa"/>
            <w:tcBorders>
              <w:top w:val="single" w:sz="8" w:space="0" w:color="000000"/>
              <w:left w:val="single" w:sz="8" w:space="0" w:color="000000"/>
              <w:right w:val="single" w:sz="8" w:space="0" w:color="000000"/>
            </w:tcBorders>
            <w:tcMar>
              <w:top w:w="30" w:type="dxa"/>
              <w:left w:w="30" w:type="dxa"/>
              <w:bottom w:w="0" w:type="dxa"/>
              <w:right w:w="3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Name of each exchange on which registered</w:t>
            </w:r>
          </w:p>
        </w:tc>
      </w:tr>
      <w:tr>
        <w:trPr/>
        <w:tc>
          <w:tcPr>
            <w:tcW w:w="2476" w:type="dxa"/>
            <w:tcBorders>
              <w:top w:val="single" w:sz="8" w:space="0" w:color="000000"/>
              <w:left w:val="single" w:sz="8" w:space="0" w:color="000000"/>
              <w:bottom w:val="single" w:sz="8" w:space="0" w:color="000000"/>
            </w:tcBorders>
            <w:tcMar>
              <w:top w:w="30" w:type="dxa"/>
              <w:left w:w="30" w:type="dxa"/>
              <w:bottom w:w="30" w:type="dxa"/>
              <w:right w:w="0" w:type="dxa"/>
            </w:tcMar>
            <w:vAlign w:val="center"/>
          </w:tcPr>
          <w:p>
            <w:pPr>
              <w:pStyle w:val="TableContents"/>
              <w:bidi w:val="0"/>
              <w:spacing w:before="0" w:after="283"/>
              <w:jc w:val="center"/>
              <w:rPr>
                <w:rFonts w:ascii="Times New Roman" w:hAnsi="Times New Roman"/>
                <w:b w:val="false"/>
                <w:color w:val="000000"/>
                <w:sz w:val="17"/>
              </w:rPr>
            </w:pPr>
            <w:r>
              <w:rPr>
                <w:rFonts w:ascii="Times New Roman" w:hAnsi="Times New Roman"/>
                <w:b w:val="false"/>
                <w:color w:val="000000"/>
                <w:sz w:val="17"/>
              </w:rPr>
              <w:t>Common Stock, $0.001 par value</w:t>
            </w:r>
          </w:p>
        </w:tc>
        <w:tc>
          <w:tcPr>
            <w:tcW w:w="1456" w:type="dxa"/>
            <w:tcBorders>
              <w:top w:val="single" w:sz="8" w:space="0" w:color="000000"/>
              <w:left w:val="single" w:sz="8" w:space="0" w:color="000000"/>
              <w:bottom w:val="single" w:sz="8" w:space="0" w:color="000000"/>
            </w:tcBorders>
            <w:tcMar>
              <w:top w:w="30" w:type="dxa"/>
              <w:left w:w="30" w:type="dxa"/>
              <w:bottom w:w="30" w:type="dxa"/>
              <w:right w:w="0" w:type="dxa"/>
            </w:tcMar>
            <w:vAlign w:val="center"/>
          </w:tcPr>
          <w:p>
            <w:pPr>
              <w:pStyle w:val="TableContents"/>
              <w:bidi w:val="0"/>
              <w:spacing w:before="0" w:after="283"/>
              <w:jc w:val="center"/>
              <w:rPr>
                <w:rFonts w:ascii="Times New Roman" w:hAnsi="Times New Roman"/>
                <w:b w:val="false"/>
                <w:color w:val="000000"/>
                <w:sz w:val="17"/>
              </w:rPr>
            </w:pPr>
            <w:r>
              <w:rPr>
                <w:rFonts w:ascii="Times New Roman" w:hAnsi="Times New Roman"/>
                <w:b w:val="false"/>
                <w:color w:val="000000"/>
                <w:sz w:val="17"/>
              </w:rPr>
              <w:t>SLNO</w:t>
            </w:r>
          </w:p>
        </w:tc>
        <w:tc>
          <w:tcPr>
            <w:tcW w:w="3316" w:type="dxa"/>
            <w:tcBorders>
              <w:top w:val="single" w:sz="8" w:space="0" w:color="000000"/>
              <w:left w:val="single" w:sz="8" w:space="0" w:color="000000"/>
              <w:bottom w:val="single" w:sz="8" w:space="0" w:color="000000"/>
              <w:right w:val="single" w:sz="8" w:space="0" w:color="000000"/>
            </w:tcBorders>
            <w:tcMar>
              <w:top w:w="30" w:type="dxa"/>
              <w:left w:w="30" w:type="dxa"/>
              <w:bottom w:w="30" w:type="dxa"/>
              <w:right w:w="30" w:type="dxa"/>
            </w:tcMar>
            <w:vAlign w:val="center"/>
          </w:tcPr>
          <w:p>
            <w:pPr>
              <w:pStyle w:val="TableContents"/>
              <w:bidi w:val="0"/>
              <w:spacing w:before="0" w:after="283"/>
              <w:jc w:val="center"/>
              <w:rPr>
                <w:rFonts w:ascii="Times New Roman" w:hAnsi="Times New Roman"/>
                <w:b w:val="false"/>
                <w:color w:val="000000"/>
                <w:sz w:val="17"/>
              </w:rPr>
            </w:pPr>
            <w:r>
              <w:rPr>
                <w:rFonts w:ascii="Times New Roman" w:hAnsi="Times New Roman"/>
                <w:b w:val="false"/>
                <w:color w:val="000000"/>
                <w:sz w:val="17"/>
              </w:rPr>
              <w:t>NASDAQ</w:t>
            </w:r>
          </w:p>
        </w:tc>
      </w:tr>
    </w:tbl>
    <w:p>
      <w:pPr>
        <w:pStyle w:val="TextBody"/>
        <w:bidi w:val="0"/>
        <w:spacing w:before="80" w:after="283"/>
        <w:jc w:val="left"/>
        <w:rPr>
          <w:rFonts w:ascii="Times New Roman" w:hAnsi="Times New Roman"/>
          <w:sz w:val="20"/>
        </w:rPr>
      </w:pPr>
      <w:r>
        <w:rPr>
          <w:rFonts w:ascii="Times New Roman" w:hAnsi="Times New Roman"/>
          <w:b w:val="false"/>
          <w:color w:val="000000"/>
          <w:sz w:val="17"/>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b w:val="false"/>
          <w:color w:val="000000"/>
          <w:sz w:val="17"/>
        </w:rPr>
        <w:t xml:space="preserve">No </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b w:val="false"/>
          <w:color w:val="000000"/>
          <w:sz w:val="17"/>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b w:val="false"/>
          <w:color w:val="000000"/>
          <w:sz w:val="17"/>
        </w:rPr>
        <w:t xml:space="preserve">No </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b w:val="false"/>
          <w:color w:val="000000"/>
          <w:sz w:val="17"/>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p>
      <w:pPr>
        <w:pStyle w:val="TextBody"/>
        <w:bidi w:val="0"/>
        <w:jc w:val="left"/>
        <w:rPr/>
      </w:pPr>
      <w:r>
        <w:rPr/>
        <w:t> </w:t>
      </w:r>
    </w:p>
    <w:tbl>
      <w:tblPr>
        <w:tblW w:w="4369" w:type="dxa"/>
        <w:jc w:val="left"/>
        <w:tblInd w:w="0" w:type="dxa"/>
        <w:tblLayout w:type="fixed"/>
        <w:tblCellMar>
          <w:top w:w="28" w:type="dxa"/>
          <w:left w:w="28" w:type="dxa"/>
          <w:bottom w:w="28" w:type="dxa"/>
          <w:right w:w="28" w:type="dxa"/>
        </w:tblCellMar>
      </w:tblPr>
      <w:tblGrid>
        <w:gridCol w:w="1666"/>
        <w:gridCol w:w="316"/>
        <w:gridCol w:w="202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Large accelerated filer</w:t>
            </w:r>
          </w:p>
        </w:tc>
        <w:tc>
          <w:tcPr>
            <w:tcW w:w="316" w:type="dxa"/>
            <w:tcBorders/>
            <w:vAlign w:val="center"/>
          </w:tcPr>
          <w:p>
            <w:pPr>
              <w:pStyle w:val="TableContents"/>
              <w:bidi w:val="0"/>
              <w:spacing w:before="0" w:after="283"/>
              <w:jc w:val="left"/>
              <w:rPr>
                <w:color w:val="000000"/>
              </w:rPr>
            </w:pPr>
            <w:r>
              <w:rPr>
                <w:color w:val="000000"/>
              </w:rPr>
              <w:t>☐</w:t>
            </w:r>
          </w:p>
        </w:tc>
        <w:tc>
          <w:tcPr>
            <w:tcW w:w="2026" w:type="dxa"/>
            <w:tcBorders/>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Accelerated filer</w:t>
            </w:r>
          </w:p>
        </w:tc>
        <w:tc>
          <w:tcPr>
            <w:tcW w:w="361" w:type="dxa"/>
            <w:tcBorders/>
            <w:vAlign w:val="center"/>
          </w:tcPr>
          <w:p>
            <w:pPr>
              <w:pStyle w:val="TableContents"/>
              <w:bidi w:val="0"/>
              <w:spacing w:before="0" w:after="283"/>
              <w:jc w:val="left"/>
              <w:rPr>
                <w:color w:val="000000"/>
              </w:rPr>
            </w:pPr>
            <w:r>
              <w:rPr>
                <w:color w:val="000000"/>
              </w:rPr>
              <w:t>☐</w:t>
            </w:r>
          </w:p>
        </w:tc>
      </w:tr>
      <w:tr>
        <w:trPr/>
        <w:tc>
          <w:tcPr>
            <w:tcW w:w="1666" w:type="dxa"/>
            <w:tcBorders/>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Non-accelerated filer</w:t>
            </w:r>
          </w:p>
        </w:tc>
        <w:tc>
          <w:tcPr>
            <w:tcW w:w="316" w:type="dxa"/>
            <w:tcBorders/>
            <w:vAlign w:val="center"/>
          </w:tcPr>
          <w:p>
            <w:pPr>
              <w:pStyle w:val="TableContents"/>
              <w:bidi w:val="0"/>
              <w:spacing w:before="0" w:after="20"/>
              <w:jc w:val="left"/>
              <w:rPr>
                <w:color w:val="000000"/>
              </w:rPr>
            </w:pPr>
            <w:r>
              <w:rPr>
                <w:color w:val="000000"/>
              </w:rPr>
              <w:t>☒</w:t>
            </w:r>
          </w:p>
        </w:tc>
        <w:tc>
          <w:tcPr>
            <w:tcW w:w="2026" w:type="dxa"/>
            <w:tcBorders/>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Smaller reporting company</w:t>
            </w:r>
          </w:p>
        </w:tc>
        <w:tc>
          <w:tcPr>
            <w:tcW w:w="361" w:type="dxa"/>
            <w:tcBorders/>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Emerging growth company</w:t>
            </w:r>
          </w:p>
        </w:tc>
        <w:tc>
          <w:tcPr>
            <w:tcW w:w="361" w:type="dxa"/>
            <w:tcBorders/>
            <w:vAlign w:val="center"/>
          </w:tcPr>
          <w:p>
            <w:pPr>
              <w:pStyle w:val="TableContents"/>
              <w:bidi w:val="0"/>
              <w:spacing w:before="0" w:after="283"/>
              <w:jc w:val="left"/>
              <w:rPr>
                <w:color w:val="000000"/>
              </w:rPr>
            </w:pPr>
            <w:r>
              <w:rPr>
                <w:color w:val="000000"/>
              </w:rPr>
              <w:t>☐</w:t>
            </w:r>
          </w:p>
        </w:tc>
      </w:tr>
    </w:tbl>
    <w:p>
      <w:pPr>
        <w:pStyle w:val="TextBody"/>
        <w:bidi w:val="0"/>
        <w:spacing w:before="60" w:after="283"/>
        <w:jc w:val="left"/>
        <w:rPr>
          <w:rFonts w:ascii="Times New Roman" w:hAnsi="Times New Roman"/>
          <w:sz w:val="20"/>
        </w:rPr>
      </w:pPr>
      <w:r>
        <w:rPr>
          <w:rFonts w:ascii="Times New Roman" w:hAnsi="Times New Roman"/>
          <w:b w:val="false"/>
          <w:color w:val="000000"/>
          <w:sz w:val="17"/>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b w:val="false"/>
          <w:color w:val="000000"/>
          <w:sz w:val="17"/>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b w:val="false"/>
          <w:color w:val="000000"/>
          <w:sz w:val="17"/>
        </w:rPr>
        <w:t xml:space="preserve">No </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b w:val="false"/>
          <w:color w:val="000000"/>
          <w:sz w:val="17"/>
        </w:rPr>
        <w:t>As of November 3, 2023, there were 30,499,352</w:t>
      </w:r>
      <w:r>
        <w:rPr>
          <w:rFonts w:ascii="Times New Roman" w:hAnsi="Times New Roman"/>
          <w:color w:val="000000"/>
          <w:sz w:val="20"/>
        </w:rPr>
        <w:t xml:space="preserve"> </w:t>
      </w:r>
      <w:r>
        <w:rPr>
          <w:rFonts w:ascii="Times New Roman" w:hAnsi="Times New Roman"/>
          <w:b w:val="false"/>
          <w:color w:val="000000"/>
          <w:sz w:val="17"/>
        </w:rPr>
        <w:t>shares of the registrant’s Common Stock, par value $0.001 per share, outstanding</w:t>
      </w:r>
      <w:r>
        <w:rPr>
          <w:rFonts w:ascii="Times New Roman" w:hAnsi="Times New Roman"/>
          <w:b w:val="false"/>
          <w:color w:val="000000"/>
          <w:sz w:val="20"/>
        </w:rPr>
        <w:t>.</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SOLENO THERAPEUTICS, INC.</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bookmarkStart w:id="2" w:name="toc"/>
      <w:bookmarkEnd w:id="2"/>
      <w:r>
        <w:rPr>
          <w:rFonts w:ascii="Times New Roman" w:hAnsi="Times New Roman"/>
          <w:b/>
          <w:color w:val="000000"/>
          <w:sz w:val="20"/>
        </w:rPr>
        <w:t>TABLE OF CONTENTS</w:t>
      </w:r>
      <w:r>
        <w:rPr>
          <w:rFonts w:ascii="Times New Roman" w:hAnsi="Times New Roman"/>
          <w:color w:val="000000"/>
          <w:sz w:val="20"/>
        </w:rPr>
        <w:t xml:space="preserve"> </w:t>
      </w:r>
    </w:p>
    <w:p>
      <w:pPr>
        <w:pStyle w:val="TextBody"/>
        <w:bidi w:val="0"/>
        <w:jc w:val="left"/>
        <w:rPr/>
      </w:pPr>
      <w:r>
        <w:rPr/>
        <w:t> </w:t>
      </w:r>
    </w:p>
    <w:tbl>
      <w:tblPr>
        <w:tblW w:w="9437" w:type="dxa"/>
        <w:jc w:val="left"/>
        <w:tblInd w:w="0" w:type="dxa"/>
        <w:tblLayout w:type="fixed"/>
        <w:tblCellMar>
          <w:top w:w="28" w:type="dxa"/>
          <w:left w:w="28" w:type="dxa"/>
          <w:bottom w:w="28" w:type="dxa"/>
          <w:right w:w="28" w:type="dxa"/>
        </w:tblCellMar>
      </w:tblPr>
      <w:tblGrid>
        <w:gridCol w:w="7981"/>
        <w:gridCol w:w="1456"/>
      </w:tblGrid>
      <w:tr>
        <w:trPr/>
        <w:tc>
          <w:tcPr>
            <w:tcW w:w="7981" w:type="dxa"/>
            <w:tcBorders/>
            <w:shd w:fill="FFFFFF" w:val="clear"/>
            <w:vAlign w:val="center"/>
          </w:tcPr>
          <w:p>
            <w:pPr>
              <w:pStyle w:val="TableContents"/>
              <w:bidi w:val="0"/>
              <w:spacing w:before="0" w:after="283"/>
              <w:jc w:val="left"/>
              <w:rPr>
                <w:sz w:val="4"/>
                <w:szCs w:val="4"/>
              </w:rPr>
            </w:pPr>
            <w:r>
              <w:rPr>
                <w:sz w:val="4"/>
                <w:szCs w:val="4"/>
              </w:rPr>
            </w:r>
          </w:p>
        </w:tc>
        <w:tc>
          <w:tcPr>
            <w:tcW w:w="1456" w:type="dxa"/>
            <w:tcBorders/>
            <w:shd w:fill="FFFFFF" w:val="clear"/>
            <w:vAlign w:val="center"/>
          </w:tcPr>
          <w:p>
            <w:pPr>
              <w:pStyle w:val="TableContents"/>
              <w:bidi w:val="0"/>
              <w:spacing w:before="0" w:after="283"/>
              <w:jc w:val="left"/>
              <w:rPr>
                <w:sz w:val="4"/>
                <w:szCs w:val="4"/>
              </w:rPr>
            </w:pPr>
            <w:r>
              <w:rPr>
                <w:sz w:val="4"/>
                <w:szCs w:val="4"/>
              </w:rPr>
            </w:r>
          </w:p>
        </w:tc>
      </w:tr>
      <w:tr>
        <w:trPr/>
        <w:tc>
          <w:tcPr>
            <w:tcW w:w="7981"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ind w:left="0" w:right="0" w:firstLine="240"/>
              <w:jc w:val="center"/>
              <w:rPr>
                <w:rFonts w:ascii="Times New Roman" w:hAnsi="Times New Roman"/>
                <w:b/>
                <w:color w:val="000000"/>
                <w:sz w:val="20"/>
              </w:rPr>
            </w:pPr>
            <w:r>
              <w:rPr>
                <w:rFonts w:ascii="Times New Roman" w:hAnsi="Times New Roman"/>
                <w:b/>
                <w:color w:val="000000"/>
                <w:sz w:val="20"/>
              </w:rPr>
              <w:t>Page</w:t>
            </w:r>
          </w:p>
        </w:tc>
      </w:tr>
      <w:tr>
        <w:trPr/>
        <w:tc>
          <w:tcPr>
            <w:tcW w:w="7981" w:type="dxa"/>
            <w:tcBorders/>
            <w:vAlign w:val="center"/>
          </w:tcPr>
          <w:p>
            <w:pPr>
              <w:pStyle w:val="TableContents"/>
              <w:pBdr/>
              <w:bidi w:val="0"/>
              <w:spacing w:before="0" w:after="283"/>
              <w:ind w:left="0" w:right="0" w:hanging="240"/>
              <w:jc w:val="left"/>
              <w:rPr/>
            </w:pPr>
            <w:hyperlink w:anchor="part_ifinancial_information">
              <w:r>
                <w:rPr>
                  <w:rStyle w:val="InternetLink"/>
                  <w:rFonts w:ascii="Times New Roman" w:hAnsi="Times New Roman"/>
                  <w:b/>
                  <w:color w:val="0000FF"/>
                  <w:sz w:val="20"/>
                  <w:u w:val="single"/>
                </w:rPr>
                <w:t>PART I—FINANCIAL INFORMATION</w:t>
              </w:r>
            </w:hyperlink>
            <w:r>
              <w:rPr>
                <w:rFonts w:ascii="Times New Roman" w:hAnsi="Times New Roman"/>
                <w:color w:val="000000"/>
                <w:sz w:val="20"/>
              </w:rPr>
              <w:t xml:space="preserve"> </w:t>
            </w:r>
          </w:p>
        </w:tc>
        <w:tc>
          <w:tcPr>
            <w:tcW w:w="1456" w:type="dxa"/>
            <w:tcBorders/>
            <w:vAlign w:val="center"/>
          </w:tcPr>
          <w:p>
            <w:pPr>
              <w:pStyle w:val="TableContents"/>
              <w:bidi w:val="0"/>
              <w:spacing w:before="0" w:after="283"/>
              <w:ind w:left="0" w:right="0" w:firstLine="720"/>
              <w:jc w:val="right"/>
              <w:rPr>
                <w:rFonts w:ascii="Times New Roman" w:hAnsi="Times New Roman"/>
                <w:b w:val="false"/>
                <w:color w:val="000000"/>
                <w:sz w:val="20"/>
              </w:rPr>
            </w:pPr>
            <w:r>
              <w:rPr>
                <w:rFonts w:ascii="Times New Roman" w:hAnsi="Times New Roman"/>
                <w:b w:val="false"/>
                <w:color w:val="000000"/>
                <w:sz w:val="20"/>
              </w:rPr>
              <w:t>3</w:t>
            </w:r>
          </w:p>
        </w:tc>
      </w:tr>
      <w:tr>
        <w:trPr/>
        <w:tc>
          <w:tcPr>
            <w:tcW w:w="7981" w:type="dxa"/>
            <w:tcBorders/>
            <w:vAlign w:val="center"/>
          </w:tcPr>
          <w:p>
            <w:pPr>
              <w:pStyle w:val="TableContents"/>
              <w:pBdr/>
              <w:bidi w:val="0"/>
              <w:spacing w:before="0" w:after="283"/>
              <w:ind w:left="480" w:right="0" w:hanging="240"/>
              <w:jc w:val="left"/>
              <w:rPr/>
            </w:pPr>
            <w:hyperlink w:anchor="item1_financial_statements">
              <w:r>
                <w:rPr>
                  <w:rStyle w:val="InternetLink"/>
                  <w:rFonts w:ascii="Times New Roman" w:hAnsi="Times New Roman"/>
                  <w:b w:val="false"/>
                  <w:color w:val="0000FF"/>
                  <w:sz w:val="20"/>
                  <w:u w:val="single"/>
                </w:rPr>
                <w:t>Item 1. Financial Statements</w:t>
              </w:r>
            </w:hyperlink>
          </w:p>
        </w:tc>
        <w:tc>
          <w:tcPr>
            <w:tcW w:w="1456" w:type="dxa"/>
            <w:tcBorders/>
            <w:vAlign w:val="center"/>
          </w:tcPr>
          <w:p>
            <w:pPr>
              <w:pStyle w:val="TableContents"/>
              <w:bidi w:val="0"/>
              <w:spacing w:before="0" w:after="283"/>
              <w:ind w:left="0" w:right="0" w:firstLine="1200"/>
              <w:jc w:val="right"/>
              <w:rPr>
                <w:rFonts w:ascii="Times New Roman" w:hAnsi="Times New Roman"/>
                <w:b w:val="false"/>
                <w:color w:val="000000"/>
                <w:sz w:val="20"/>
              </w:rPr>
            </w:pPr>
            <w:r>
              <w:rPr>
                <w:rFonts w:ascii="Times New Roman" w:hAnsi="Times New Roman"/>
                <w:b w:val="false"/>
                <w:color w:val="000000"/>
                <w:sz w:val="20"/>
              </w:rPr>
              <w:t>3</w:t>
            </w:r>
          </w:p>
        </w:tc>
      </w:tr>
      <w:tr>
        <w:trPr/>
        <w:tc>
          <w:tcPr>
            <w:tcW w:w="7981" w:type="dxa"/>
            <w:tcBorders/>
            <w:vAlign w:val="center"/>
          </w:tcPr>
          <w:p>
            <w:pPr>
              <w:pStyle w:val="TableContents"/>
              <w:pBdr/>
              <w:bidi w:val="0"/>
              <w:spacing w:before="0" w:after="283"/>
              <w:ind w:left="960" w:right="0" w:hanging="240"/>
              <w:jc w:val="left"/>
              <w:rPr/>
            </w:pPr>
            <w:hyperlink w:anchor="condensed_consolidated_balance_sheets">
              <w:r>
                <w:rPr>
                  <w:rStyle w:val="InternetLink"/>
                  <w:rFonts w:ascii="Times New Roman" w:hAnsi="Times New Roman"/>
                  <w:b w:val="false"/>
                  <w:color w:val="0000FF"/>
                  <w:sz w:val="20"/>
                  <w:u w:val="single"/>
                </w:rPr>
                <w:t>Condensed Consolidated Balance Sheets (unaudited)</w:t>
              </w:r>
            </w:hyperlink>
          </w:p>
        </w:tc>
        <w:tc>
          <w:tcPr>
            <w:tcW w:w="1456" w:type="dxa"/>
            <w:tcBorders/>
            <w:vAlign w:val="center"/>
          </w:tcPr>
          <w:p>
            <w:pPr>
              <w:pStyle w:val="TableContents"/>
              <w:bidi w:val="0"/>
              <w:spacing w:before="0" w:after="283"/>
              <w:ind w:left="0" w:right="0" w:firstLine="1200"/>
              <w:jc w:val="right"/>
              <w:rPr>
                <w:rFonts w:ascii="Times New Roman" w:hAnsi="Times New Roman"/>
                <w:b w:val="false"/>
                <w:color w:val="000000"/>
                <w:sz w:val="20"/>
              </w:rPr>
            </w:pPr>
            <w:r>
              <w:rPr>
                <w:rFonts w:ascii="Times New Roman" w:hAnsi="Times New Roman"/>
                <w:b w:val="false"/>
                <w:color w:val="000000"/>
                <w:sz w:val="20"/>
              </w:rPr>
              <w:t>3</w:t>
            </w:r>
          </w:p>
        </w:tc>
      </w:tr>
      <w:tr>
        <w:trPr/>
        <w:tc>
          <w:tcPr>
            <w:tcW w:w="7981" w:type="dxa"/>
            <w:tcBorders/>
            <w:vAlign w:val="center"/>
          </w:tcPr>
          <w:p>
            <w:pPr>
              <w:pStyle w:val="TableContents"/>
              <w:pBdr/>
              <w:bidi w:val="0"/>
              <w:spacing w:before="0" w:after="283"/>
              <w:ind w:left="960" w:right="0" w:hanging="240"/>
              <w:jc w:val="left"/>
              <w:rPr/>
            </w:pPr>
            <w:hyperlink w:anchor="cndnsd_cnsldtd_stmnt_oprns_comprehensive">
              <w:r>
                <w:rPr>
                  <w:rStyle w:val="InternetLink"/>
                  <w:rFonts w:ascii="Times New Roman" w:hAnsi="Times New Roman"/>
                  <w:b w:val="false"/>
                  <w:color w:val="0000FF"/>
                  <w:sz w:val="20"/>
                  <w:u w:val="single"/>
                </w:rPr>
                <w:t>Condensed Consolidated Statements of Operations and Comprehensive Loss (unaudited)</w:t>
              </w:r>
            </w:hyperlink>
            <w:hyperlink w:anchor="cndnsd_cnsldtd_stmnt_oprns_comprehensive">
              <w:r>
                <w:rPr>
                  <w:rStyle w:val="InternetLink"/>
                  <w:rFonts w:ascii="Times New Roman" w:hAnsi="Times New Roman"/>
                  <w:color w:val="0000FF"/>
                  <w:sz w:val="20"/>
                </w:rPr>
                <w:t xml:space="preserve"> </w:t>
              </w:r>
            </w:hyperlink>
          </w:p>
        </w:tc>
        <w:tc>
          <w:tcPr>
            <w:tcW w:w="1456" w:type="dxa"/>
            <w:tcBorders/>
            <w:vAlign w:val="center"/>
          </w:tcPr>
          <w:p>
            <w:pPr>
              <w:pStyle w:val="TableContents"/>
              <w:bidi w:val="0"/>
              <w:spacing w:before="0" w:after="283"/>
              <w:ind w:left="0" w:right="0" w:firstLine="1200"/>
              <w:jc w:val="right"/>
              <w:rPr>
                <w:rFonts w:ascii="Times New Roman" w:hAnsi="Times New Roman"/>
                <w:b w:val="false"/>
                <w:color w:val="000000"/>
                <w:sz w:val="20"/>
              </w:rPr>
            </w:pPr>
            <w:r>
              <w:rPr>
                <w:rFonts w:ascii="Times New Roman" w:hAnsi="Times New Roman"/>
                <w:b w:val="false"/>
                <w:color w:val="000000"/>
                <w:sz w:val="20"/>
              </w:rPr>
              <w:t>4</w:t>
            </w:r>
          </w:p>
        </w:tc>
      </w:tr>
      <w:tr>
        <w:trPr/>
        <w:tc>
          <w:tcPr>
            <w:tcW w:w="7981" w:type="dxa"/>
            <w:tcBorders/>
            <w:vAlign w:val="center"/>
          </w:tcPr>
          <w:p>
            <w:pPr>
              <w:pStyle w:val="TableContents"/>
              <w:pBdr/>
              <w:bidi w:val="0"/>
              <w:spacing w:before="0" w:after="283"/>
              <w:ind w:left="960" w:right="0" w:hanging="240"/>
              <w:jc w:val="left"/>
              <w:rPr/>
            </w:pPr>
            <w:hyperlink w:anchor="condensed_consolidated_statements_stockh">
              <w:r>
                <w:rPr>
                  <w:rStyle w:val="InternetLink"/>
                  <w:rFonts w:ascii="Times New Roman" w:hAnsi="Times New Roman"/>
                  <w:b w:val="false"/>
                  <w:color w:val="0000FF"/>
                  <w:sz w:val="20"/>
                  <w:u w:val="single"/>
                </w:rPr>
                <w:t>Condensed Consolidated Statements of Stockholders’ Equity (unaudited)</w:t>
              </w:r>
            </w:hyperlink>
          </w:p>
        </w:tc>
        <w:tc>
          <w:tcPr>
            <w:tcW w:w="1456" w:type="dxa"/>
            <w:tcBorders/>
            <w:vAlign w:val="center"/>
          </w:tcPr>
          <w:p>
            <w:pPr>
              <w:pStyle w:val="TableContents"/>
              <w:bidi w:val="0"/>
              <w:spacing w:before="0" w:after="283"/>
              <w:ind w:left="0" w:right="0" w:firstLine="1200"/>
              <w:jc w:val="right"/>
              <w:rPr>
                <w:rFonts w:ascii="Times New Roman" w:hAnsi="Times New Roman"/>
                <w:b w:val="false"/>
                <w:color w:val="000000"/>
                <w:sz w:val="20"/>
              </w:rPr>
            </w:pPr>
            <w:r>
              <w:rPr>
                <w:rFonts w:ascii="Times New Roman" w:hAnsi="Times New Roman"/>
                <w:b w:val="false"/>
                <w:color w:val="000000"/>
                <w:sz w:val="20"/>
              </w:rPr>
              <w:t>5</w:t>
            </w:r>
          </w:p>
        </w:tc>
      </w:tr>
      <w:tr>
        <w:trPr/>
        <w:tc>
          <w:tcPr>
            <w:tcW w:w="7981" w:type="dxa"/>
            <w:tcBorders/>
            <w:vAlign w:val="center"/>
          </w:tcPr>
          <w:p>
            <w:pPr>
              <w:pStyle w:val="TableContents"/>
              <w:pBdr/>
              <w:bidi w:val="0"/>
              <w:spacing w:before="0" w:after="283"/>
              <w:ind w:left="960" w:right="0" w:hanging="240"/>
              <w:jc w:val="left"/>
              <w:rPr/>
            </w:pPr>
            <w:hyperlink w:anchor="cndnsd_cnsolidated_statements_cash_flows">
              <w:r>
                <w:rPr>
                  <w:rStyle w:val="InternetLink"/>
                  <w:rFonts w:ascii="Times New Roman" w:hAnsi="Times New Roman"/>
                  <w:b w:val="false"/>
                  <w:color w:val="0000FF"/>
                  <w:sz w:val="20"/>
                  <w:u w:val="single"/>
                </w:rPr>
                <w:t>Condensed Consolidated Statements of Cash Flows (unaudited)</w:t>
              </w:r>
            </w:hyperlink>
            <w:hyperlink w:anchor="cndnsd_cnsolidated_statements_cash_flows">
              <w:r>
                <w:rPr>
                  <w:rStyle w:val="InternetLink"/>
                  <w:rFonts w:ascii="Times New Roman" w:hAnsi="Times New Roman"/>
                  <w:color w:val="0000FF"/>
                  <w:sz w:val="20"/>
                </w:rPr>
                <w:t xml:space="preserve"> </w:t>
              </w:r>
            </w:hyperlink>
          </w:p>
        </w:tc>
        <w:tc>
          <w:tcPr>
            <w:tcW w:w="1456" w:type="dxa"/>
            <w:tcBorders/>
            <w:vAlign w:val="center"/>
          </w:tcPr>
          <w:p>
            <w:pPr>
              <w:pStyle w:val="TableContents"/>
              <w:bidi w:val="0"/>
              <w:spacing w:before="0" w:after="283"/>
              <w:ind w:left="0" w:right="0" w:firstLine="1200"/>
              <w:jc w:val="right"/>
              <w:rPr>
                <w:rFonts w:ascii="Times New Roman" w:hAnsi="Times New Roman"/>
                <w:b w:val="false"/>
                <w:color w:val="000000"/>
                <w:sz w:val="20"/>
              </w:rPr>
            </w:pPr>
            <w:r>
              <w:rPr>
                <w:rFonts w:ascii="Times New Roman" w:hAnsi="Times New Roman"/>
                <w:b w:val="false"/>
                <w:color w:val="000000"/>
                <w:sz w:val="20"/>
              </w:rPr>
              <w:t>6</w:t>
            </w:r>
          </w:p>
        </w:tc>
      </w:tr>
      <w:tr>
        <w:trPr/>
        <w:tc>
          <w:tcPr>
            <w:tcW w:w="7981" w:type="dxa"/>
            <w:tcBorders/>
            <w:vAlign w:val="center"/>
          </w:tcPr>
          <w:p>
            <w:pPr>
              <w:pStyle w:val="TableContents"/>
              <w:pBdr/>
              <w:bidi w:val="0"/>
              <w:spacing w:before="0" w:after="283"/>
              <w:ind w:left="960" w:right="0" w:hanging="240"/>
              <w:jc w:val="left"/>
              <w:rPr/>
            </w:pPr>
            <w:hyperlink w:anchor="notes_consolidated_financial_statements">
              <w:r>
                <w:rPr>
                  <w:rStyle w:val="InternetLink"/>
                  <w:rFonts w:ascii="Times New Roman" w:hAnsi="Times New Roman"/>
                  <w:b w:val="false"/>
                  <w:color w:val="0000FF"/>
                  <w:sz w:val="20"/>
                  <w:u w:val="single"/>
                </w:rPr>
                <w:t>Notes to Condensed Consolidated Financial Statements (unaudited)</w:t>
              </w:r>
            </w:hyperlink>
          </w:p>
        </w:tc>
        <w:tc>
          <w:tcPr>
            <w:tcW w:w="1456" w:type="dxa"/>
            <w:tcBorders/>
            <w:vAlign w:val="center"/>
          </w:tcPr>
          <w:p>
            <w:pPr>
              <w:pStyle w:val="TableContents"/>
              <w:bidi w:val="0"/>
              <w:spacing w:before="0" w:after="283"/>
              <w:ind w:left="0" w:right="0" w:firstLine="720"/>
              <w:jc w:val="right"/>
              <w:rPr>
                <w:rFonts w:ascii="Times New Roman" w:hAnsi="Times New Roman"/>
                <w:b w:val="false"/>
                <w:color w:val="000000"/>
                <w:sz w:val="20"/>
              </w:rPr>
            </w:pPr>
            <w:r>
              <w:rPr>
                <w:rFonts w:ascii="Times New Roman" w:hAnsi="Times New Roman"/>
                <w:b w:val="false"/>
                <w:color w:val="000000"/>
                <w:sz w:val="20"/>
              </w:rPr>
              <w:t>7</w:t>
            </w:r>
          </w:p>
        </w:tc>
      </w:tr>
      <w:tr>
        <w:trPr/>
        <w:tc>
          <w:tcPr>
            <w:tcW w:w="7981" w:type="dxa"/>
            <w:tcBorders/>
            <w:vAlign w:val="center"/>
          </w:tcPr>
          <w:p>
            <w:pPr>
              <w:pStyle w:val="TableContents"/>
              <w:pBdr/>
              <w:bidi w:val="0"/>
              <w:spacing w:before="0" w:after="283"/>
              <w:ind w:left="480" w:right="0" w:hanging="240"/>
              <w:jc w:val="left"/>
              <w:rPr/>
            </w:pPr>
            <w:hyperlink w:anchor="item_2_managements_discussion_analysis_f">
              <w:r>
                <w:rPr>
                  <w:rStyle w:val="InternetLink"/>
                  <w:rFonts w:ascii="Times New Roman" w:hAnsi="Times New Roman"/>
                  <w:b w:val="false"/>
                  <w:color w:val="0000FF"/>
                  <w:sz w:val="20"/>
                  <w:u w:val="single"/>
                </w:rPr>
                <w:t>Item 2. Management’s Discussion and Analysis of Financial Condition and Results of Operations</w:t>
              </w:r>
            </w:hyperlink>
          </w:p>
        </w:tc>
        <w:tc>
          <w:tcPr>
            <w:tcW w:w="1456" w:type="dxa"/>
            <w:tcBorders/>
            <w:vAlign w:val="center"/>
          </w:tcPr>
          <w:p>
            <w:pPr>
              <w:pStyle w:val="TableContents"/>
              <w:bidi w:val="0"/>
              <w:spacing w:before="0" w:after="283"/>
              <w:ind w:left="0" w:right="0" w:firstLine="720"/>
              <w:jc w:val="right"/>
              <w:rPr>
                <w:rFonts w:ascii="Times New Roman" w:hAnsi="Times New Roman"/>
                <w:b w:val="false"/>
                <w:color w:val="000000"/>
                <w:sz w:val="20"/>
              </w:rPr>
            </w:pPr>
            <w:r>
              <w:rPr>
                <w:rFonts w:ascii="Times New Roman" w:hAnsi="Times New Roman"/>
                <w:b w:val="false"/>
                <w:color w:val="000000"/>
                <w:sz w:val="20"/>
              </w:rPr>
              <w:t>17</w:t>
            </w:r>
          </w:p>
        </w:tc>
      </w:tr>
      <w:tr>
        <w:trPr/>
        <w:tc>
          <w:tcPr>
            <w:tcW w:w="7981" w:type="dxa"/>
            <w:tcBorders/>
            <w:vAlign w:val="center"/>
          </w:tcPr>
          <w:p>
            <w:pPr>
              <w:pStyle w:val="TableContents"/>
              <w:pBdr/>
              <w:bidi w:val="0"/>
              <w:spacing w:before="0" w:after="283"/>
              <w:ind w:left="480" w:right="0" w:hanging="240"/>
              <w:jc w:val="left"/>
              <w:rPr/>
            </w:pPr>
            <w:hyperlink w:anchor="item_3_quantitative_and_qualitative">
              <w:r>
                <w:rPr>
                  <w:rStyle w:val="InternetLink"/>
                  <w:rFonts w:ascii="Times New Roman" w:hAnsi="Times New Roman"/>
                  <w:b w:val="false"/>
                  <w:color w:val="0000FF"/>
                  <w:sz w:val="20"/>
                  <w:u w:val="single"/>
                </w:rPr>
                <w:t>Item 3. Quantitative and Qualitative Disclosures About Market Risk</w:t>
              </w:r>
            </w:hyperlink>
          </w:p>
        </w:tc>
        <w:tc>
          <w:tcPr>
            <w:tcW w:w="1456" w:type="dxa"/>
            <w:tcBorders/>
            <w:vAlign w:val="center"/>
          </w:tcPr>
          <w:p>
            <w:pPr>
              <w:pStyle w:val="TableContents"/>
              <w:bidi w:val="0"/>
              <w:spacing w:before="0" w:after="283"/>
              <w:ind w:left="0" w:right="0" w:firstLine="720"/>
              <w:jc w:val="right"/>
              <w:rPr>
                <w:rFonts w:ascii="Times New Roman" w:hAnsi="Times New Roman"/>
                <w:b w:val="false"/>
                <w:color w:val="000000"/>
                <w:sz w:val="20"/>
              </w:rPr>
            </w:pPr>
            <w:r>
              <w:rPr>
                <w:rFonts w:ascii="Times New Roman" w:hAnsi="Times New Roman"/>
                <w:b w:val="false"/>
                <w:color w:val="000000"/>
                <w:sz w:val="20"/>
              </w:rPr>
              <w:t>21</w:t>
            </w:r>
          </w:p>
        </w:tc>
      </w:tr>
      <w:tr>
        <w:trPr/>
        <w:tc>
          <w:tcPr>
            <w:tcW w:w="7981" w:type="dxa"/>
            <w:tcBorders/>
            <w:vAlign w:val="center"/>
          </w:tcPr>
          <w:p>
            <w:pPr>
              <w:pStyle w:val="TableContents"/>
              <w:pBdr/>
              <w:bidi w:val="0"/>
              <w:spacing w:before="0" w:after="283"/>
              <w:ind w:left="480" w:right="0" w:hanging="240"/>
              <w:jc w:val="left"/>
              <w:rPr/>
            </w:pPr>
            <w:hyperlink w:anchor="controls_and_procedures">
              <w:r>
                <w:rPr>
                  <w:rStyle w:val="InternetLink"/>
                  <w:rFonts w:ascii="Times New Roman" w:hAnsi="Times New Roman"/>
                  <w:b w:val="false"/>
                  <w:color w:val="0000FF"/>
                  <w:sz w:val="20"/>
                  <w:u w:val="single"/>
                </w:rPr>
                <w:t>Item 4. Controls and Procedures</w:t>
              </w:r>
            </w:hyperlink>
          </w:p>
        </w:tc>
        <w:tc>
          <w:tcPr>
            <w:tcW w:w="1456" w:type="dxa"/>
            <w:tcBorders/>
            <w:vAlign w:val="center"/>
          </w:tcPr>
          <w:p>
            <w:pPr>
              <w:pStyle w:val="TableContents"/>
              <w:bidi w:val="0"/>
              <w:spacing w:before="0" w:after="283"/>
              <w:ind w:left="0" w:right="0" w:firstLine="240"/>
              <w:jc w:val="right"/>
              <w:rPr>
                <w:rFonts w:ascii="Times New Roman" w:hAnsi="Times New Roman"/>
                <w:b w:val="false"/>
                <w:color w:val="000000"/>
                <w:sz w:val="20"/>
              </w:rPr>
            </w:pPr>
            <w:r>
              <w:rPr>
                <w:rFonts w:ascii="Times New Roman" w:hAnsi="Times New Roman"/>
                <w:b w:val="false"/>
                <w:color w:val="000000"/>
                <w:sz w:val="20"/>
              </w:rPr>
              <w:t>21</w:t>
            </w:r>
          </w:p>
        </w:tc>
      </w:tr>
      <w:tr>
        <w:trPr/>
        <w:tc>
          <w:tcPr>
            <w:tcW w:w="7981" w:type="dxa"/>
            <w:tcBorders/>
            <w:vAlign w:val="center"/>
          </w:tcPr>
          <w:p>
            <w:pPr>
              <w:pStyle w:val="TableContents"/>
              <w:pBdr/>
              <w:bidi w:val="0"/>
              <w:spacing w:before="0" w:after="283"/>
              <w:ind w:left="0" w:right="0" w:hanging="240"/>
              <w:jc w:val="left"/>
              <w:rPr/>
            </w:pPr>
            <w:hyperlink w:anchor="part_ii_other_information">
              <w:r>
                <w:rPr>
                  <w:rStyle w:val="InternetLink"/>
                  <w:rFonts w:ascii="Times New Roman" w:hAnsi="Times New Roman"/>
                  <w:b/>
                  <w:color w:val="0000FF"/>
                  <w:sz w:val="20"/>
                  <w:u w:val="single"/>
                </w:rPr>
                <w:t>PART II—OTHER INFORMATION</w:t>
              </w:r>
            </w:hyperlink>
          </w:p>
        </w:tc>
        <w:tc>
          <w:tcPr>
            <w:tcW w:w="1456" w:type="dxa"/>
            <w:tcBorders/>
            <w:vAlign w:val="center"/>
          </w:tcPr>
          <w:p>
            <w:pPr>
              <w:pStyle w:val="TableContents"/>
              <w:bidi w:val="0"/>
              <w:spacing w:before="0" w:after="283"/>
              <w:ind w:left="0" w:right="0" w:firstLine="720"/>
              <w:jc w:val="right"/>
              <w:rPr>
                <w:rFonts w:ascii="Times New Roman" w:hAnsi="Times New Roman"/>
                <w:b w:val="false"/>
                <w:color w:val="000000"/>
                <w:sz w:val="20"/>
              </w:rPr>
            </w:pPr>
            <w:r>
              <w:rPr>
                <w:rFonts w:ascii="Times New Roman" w:hAnsi="Times New Roman"/>
                <w:b w:val="false"/>
                <w:color w:val="000000"/>
                <w:sz w:val="20"/>
              </w:rPr>
              <w:t>22</w:t>
            </w:r>
          </w:p>
        </w:tc>
      </w:tr>
      <w:tr>
        <w:trPr/>
        <w:tc>
          <w:tcPr>
            <w:tcW w:w="7981" w:type="dxa"/>
            <w:tcBorders/>
            <w:vAlign w:val="center"/>
          </w:tcPr>
          <w:p>
            <w:pPr>
              <w:pStyle w:val="TableContents"/>
              <w:pBdr/>
              <w:bidi w:val="0"/>
              <w:spacing w:before="0" w:after="283"/>
              <w:ind w:left="480" w:right="0" w:hanging="240"/>
              <w:jc w:val="left"/>
              <w:rPr/>
            </w:pPr>
            <w:hyperlink w:anchor="item_1_legal_proceedings">
              <w:r>
                <w:rPr>
                  <w:rStyle w:val="InternetLink"/>
                  <w:rFonts w:ascii="Times New Roman" w:hAnsi="Times New Roman"/>
                  <w:b w:val="false"/>
                  <w:color w:val="0000FF"/>
                  <w:sz w:val="20"/>
                  <w:u w:val="single"/>
                </w:rPr>
                <w:t>Item 1. Legal Proceedings</w:t>
              </w:r>
            </w:hyperlink>
          </w:p>
        </w:tc>
        <w:tc>
          <w:tcPr>
            <w:tcW w:w="1456" w:type="dxa"/>
            <w:tcBorders/>
            <w:vAlign w:val="center"/>
          </w:tcPr>
          <w:p>
            <w:pPr>
              <w:pStyle w:val="TableContents"/>
              <w:bidi w:val="0"/>
              <w:spacing w:before="0" w:after="283"/>
              <w:ind w:left="0" w:right="0" w:firstLine="720"/>
              <w:jc w:val="right"/>
              <w:rPr>
                <w:rFonts w:ascii="Times New Roman" w:hAnsi="Times New Roman"/>
                <w:b w:val="false"/>
                <w:color w:val="000000"/>
                <w:sz w:val="20"/>
              </w:rPr>
            </w:pPr>
            <w:r>
              <w:rPr>
                <w:rFonts w:ascii="Times New Roman" w:hAnsi="Times New Roman"/>
                <w:b w:val="false"/>
                <w:color w:val="000000"/>
                <w:sz w:val="20"/>
              </w:rPr>
              <w:t>22</w:t>
            </w:r>
          </w:p>
        </w:tc>
      </w:tr>
      <w:tr>
        <w:trPr/>
        <w:tc>
          <w:tcPr>
            <w:tcW w:w="7981" w:type="dxa"/>
            <w:tcBorders/>
            <w:vAlign w:val="center"/>
          </w:tcPr>
          <w:p>
            <w:pPr>
              <w:pStyle w:val="TableContents"/>
              <w:pBdr/>
              <w:bidi w:val="0"/>
              <w:spacing w:before="0" w:after="283"/>
              <w:ind w:left="480" w:right="0" w:hanging="240"/>
              <w:jc w:val="left"/>
              <w:rPr/>
            </w:pPr>
            <w:hyperlink w:anchor="item_1a_risk_factors">
              <w:r>
                <w:rPr>
                  <w:rStyle w:val="InternetLink"/>
                  <w:rFonts w:ascii="Times New Roman" w:hAnsi="Times New Roman"/>
                  <w:b w:val="false"/>
                  <w:color w:val="0000FF"/>
                  <w:sz w:val="20"/>
                  <w:u w:val="single"/>
                </w:rPr>
                <w:t>Item 1A. Risk Factors</w:t>
              </w:r>
            </w:hyperlink>
          </w:p>
        </w:tc>
        <w:tc>
          <w:tcPr>
            <w:tcW w:w="1456" w:type="dxa"/>
            <w:tcBorders/>
            <w:vAlign w:val="center"/>
          </w:tcPr>
          <w:p>
            <w:pPr>
              <w:pStyle w:val="TableContents"/>
              <w:bidi w:val="0"/>
              <w:spacing w:before="0" w:after="283"/>
              <w:ind w:left="0" w:right="0" w:firstLine="720"/>
              <w:jc w:val="right"/>
              <w:rPr>
                <w:rFonts w:ascii="Times New Roman" w:hAnsi="Times New Roman"/>
                <w:b w:val="false"/>
                <w:color w:val="000000"/>
                <w:sz w:val="20"/>
              </w:rPr>
            </w:pPr>
            <w:r>
              <w:rPr>
                <w:rFonts w:ascii="Times New Roman" w:hAnsi="Times New Roman"/>
                <w:b w:val="false"/>
                <w:color w:val="000000"/>
                <w:sz w:val="20"/>
              </w:rPr>
              <w:t>22</w:t>
            </w:r>
          </w:p>
        </w:tc>
      </w:tr>
      <w:tr>
        <w:trPr/>
        <w:tc>
          <w:tcPr>
            <w:tcW w:w="7981" w:type="dxa"/>
            <w:tcBorders/>
            <w:vAlign w:val="center"/>
          </w:tcPr>
          <w:p>
            <w:pPr>
              <w:pStyle w:val="TableContents"/>
              <w:pBdr/>
              <w:bidi w:val="0"/>
              <w:spacing w:before="0" w:after="283"/>
              <w:ind w:left="480" w:right="0" w:hanging="240"/>
              <w:jc w:val="left"/>
              <w:rPr/>
            </w:pPr>
            <w:hyperlink w:anchor="item_2_unregistered_sales_equity_securit">
              <w:r>
                <w:rPr>
                  <w:rStyle w:val="InternetLink"/>
                  <w:rFonts w:ascii="Times New Roman" w:hAnsi="Times New Roman"/>
                  <w:b w:val="false"/>
                  <w:color w:val="0000FF"/>
                  <w:sz w:val="20"/>
                  <w:u w:val="single"/>
                </w:rPr>
                <w:t>Item 2. Unregistered Sales of Equity Securities and Use of Proceeds</w:t>
              </w:r>
            </w:hyperlink>
          </w:p>
        </w:tc>
        <w:tc>
          <w:tcPr>
            <w:tcW w:w="1456" w:type="dxa"/>
            <w:tcBorders/>
            <w:vAlign w:val="center"/>
          </w:tcPr>
          <w:p>
            <w:pPr>
              <w:pStyle w:val="TableContents"/>
              <w:bidi w:val="0"/>
              <w:spacing w:before="0" w:after="283"/>
              <w:ind w:left="0" w:right="0" w:firstLine="720"/>
              <w:jc w:val="right"/>
              <w:rPr>
                <w:rFonts w:ascii="Times New Roman" w:hAnsi="Times New Roman"/>
                <w:b w:val="false"/>
                <w:color w:val="000000"/>
                <w:sz w:val="20"/>
              </w:rPr>
            </w:pPr>
            <w:r>
              <w:rPr>
                <w:rFonts w:ascii="Times New Roman" w:hAnsi="Times New Roman"/>
                <w:b w:val="false"/>
                <w:color w:val="000000"/>
                <w:sz w:val="20"/>
              </w:rPr>
              <w:t>22</w:t>
            </w:r>
          </w:p>
        </w:tc>
      </w:tr>
      <w:tr>
        <w:trPr/>
        <w:tc>
          <w:tcPr>
            <w:tcW w:w="7981" w:type="dxa"/>
            <w:tcBorders/>
            <w:vAlign w:val="center"/>
          </w:tcPr>
          <w:p>
            <w:pPr>
              <w:pStyle w:val="TableContents"/>
              <w:pBdr/>
              <w:bidi w:val="0"/>
              <w:spacing w:before="0" w:after="283"/>
              <w:ind w:left="480" w:right="0" w:hanging="240"/>
              <w:jc w:val="left"/>
              <w:rPr/>
            </w:pPr>
            <w:hyperlink w:anchor="item_3_defaults_upon_senior_securities">
              <w:r>
                <w:rPr>
                  <w:rStyle w:val="InternetLink"/>
                  <w:rFonts w:ascii="Times New Roman" w:hAnsi="Times New Roman"/>
                  <w:b w:val="false"/>
                  <w:color w:val="0000FF"/>
                  <w:sz w:val="20"/>
                  <w:u w:val="single"/>
                </w:rPr>
                <w:t>Item 3. Defaults Upon Senior Securities</w:t>
              </w:r>
            </w:hyperlink>
          </w:p>
        </w:tc>
        <w:tc>
          <w:tcPr>
            <w:tcW w:w="1456" w:type="dxa"/>
            <w:tcBorders/>
            <w:vAlign w:val="center"/>
          </w:tcPr>
          <w:p>
            <w:pPr>
              <w:pStyle w:val="TableContents"/>
              <w:bidi w:val="0"/>
              <w:spacing w:before="0" w:after="283"/>
              <w:ind w:left="0" w:right="0" w:firstLine="720"/>
              <w:jc w:val="right"/>
              <w:rPr>
                <w:rFonts w:ascii="Times New Roman" w:hAnsi="Times New Roman"/>
                <w:b w:val="false"/>
                <w:color w:val="000000"/>
                <w:sz w:val="20"/>
              </w:rPr>
            </w:pPr>
            <w:r>
              <w:rPr>
                <w:rFonts w:ascii="Times New Roman" w:hAnsi="Times New Roman"/>
                <w:b w:val="false"/>
                <w:color w:val="000000"/>
                <w:sz w:val="20"/>
              </w:rPr>
              <w:t>22</w:t>
            </w:r>
          </w:p>
        </w:tc>
      </w:tr>
      <w:tr>
        <w:trPr/>
        <w:tc>
          <w:tcPr>
            <w:tcW w:w="7981" w:type="dxa"/>
            <w:tcBorders/>
            <w:vAlign w:val="center"/>
          </w:tcPr>
          <w:p>
            <w:pPr>
              <w:pStyle w:val="TableContents"/>
              <w:pBdr/>
              <w:bidi w:val="0"/>
              <w:spacing w:before="0" w:after="283"/>
              <w:ind w:left="480" w:right="0" w:hanging="240"/>
              <w:jc w:val="left"/>
              <w:rPr/>
            </w:pPr>
            <w:hyperlink w:anchor="item_4_mine_safety_disclosures">
              <w:r>
                <w:rPr>
                  <w:rStyle w:val="InternetLink"/>
                  <w:rFonts w:ascii="Times New Roman" w:hAnsi="Times New Roman"/>
                  <w:b w:val="false"/>
                  <w:color w:val="0000FF"/>
                  <w:sz w:val="20"/>
                  <w:u w:val="single"/>
                </w:rPr>
                <w:t>Item 4. Mine Safety Disclosures</w:t>
              </w:r>
            </w:hyperlink>
          </w:p>
        </w:tc>
        <w:tc>
          <w:tcPr>
            <w:tcW w:w="1456" w:type="dxa"/>
            <w:tcBorders/>
            <w:vAlign w:val="center"/>
          </w:tcPr>
          <w:p>
            <w:pPr>
              <w:pStyle w:val="TableContents"/>
              <w:bidi w:val="0"/>
              <w:spacing w:before="0" w:after="283"/>
              <w:ind w:left="0" w:right="0" w:firstLine="720"/>
              <w:jc w:val="right"/>
              <w:rPr>
                <w:rFonts w:ascii="Times New Roman" w:hAnsi="Times New Roman"/>
                <w:b w:val="false"/>
                <w:color w:val="000000"/>
                <w:sz w:val="20"/>
              </w:rPr>
            </w:pPr>
            <w:r>
              <w:rPr>
                <w:rFonts w:ascii="Times New Roman" w:hAnsi="Times New Roman"/>
                <w:b w:val="false"/>
                <w:color w:val="000000"/>
                <w:sz w:val="20"/>
              </w:rPr>
              <w:t>22</w:t>
            </w:r>
          </w:p>
        </w:tc>
      </w:tr>
      <w:tr>
        <w:trPr/>
        <w:tc>
          <w:tcPr>
            <w:tcW w:w="7981" w:type="dxa"/>
            <w:tcBorders/>
            <w:vAlign w:val="center"/>
          </w:tcPr>
          <w:p>
            <w:pPr>
              <w:pStyle w:val="TableContents"/>
              <w:pBdr/>
              <w:bidi w:val="0"/>
              <w:spacing w:before="0" w:after="283"/>
              <w:ind w:left="480" w:right="0" w:hanging="240"/>
              <w:jc w:val="left"/>
              <w:rPr/>
            </w:pPr>
            <w:hyperlink w:anchor="item_5_or_information">
              <w:r>
                <w:rPr>
                  <w:rStyle w:val="InternetLink"/>
                  <w:rFonts w:ascii="Times New Roman" w:hAnsi="Times New Roman"/>
                  <w:b w:val="false"/>
                  <w:color w:val="0000FF"/>
                  <w:sz w:val="20"/>
                  <w:u w:val="single"/>
                </w:rPr>
                <w:t>Item 5. Other Information</w:t>
              </w:r>
            </w:hyperlink>
          </w:p>
        </w:tc>
        <w:tc>
          <w:tcPr>
            <w:tcW w:w="1456" w:type="dxa"/>
            <w:tcBorders/>
            <w:vAlign w:val="center"/>
          </w:tcPr>
          <w:p>
            <w:pPr>
              <w:pStyle w:val="TableContents"/>
              <w:bidi w:val="0"/>
              <w:spacing w:before="0" w:after="283"/>
              <w:ind w:left="0" w:right="0" w:firstLine="720"/>
              <w:jc w:val="right"/>
              <w:rPr>
                <w:rFonts w:ascii="Times New Roman" w:hAnsi="Times New Roman"/>
                <w:b w:val="false"/>
                <w:color w:val="000000"/>
                <w:sz w:val="20"/>
              </w:rPr>
            </w:pPr>
            <w:r>
              <w:rPr>
                <w:rFonts w:ascii="Times New Roman" w:hAnsi="Times New Roman"/>
                <w:b w:val="false"/>
                <w:color w:val="000000"/>
                <w:sz w:val="20"/>
              </w:rPr>
              <w:t>22</w:t>
            </w:r>
          </w:p>
        </w:tc>
      </w:tr>
      <w:tr>
        <w:trPr/>
        <w:tc>
          <w:tcPr>
            <w:tcW w:w="7981" w:type="dxa"/>
            <w:tcBorders/>
            <w:vAlign w:val="center"/>
          </w:tcPr>
          <w:p>
            <w:pPr>
              <w:pStyle w:val="TableContents"/>
              <w:pBdr/>
              <w:bidi w:val="0"/>
              <w:spacing w:before="0" w:after="283"/>
              <w:ind w:left="480" w:right="0" w:hanging="240"/>
              <w:jc w:val="left"/>
              <w:rPr/>
            </w:pPr>
            <w:hyperlink w:anchor="item_6_exhibits">
              <w:r>
                <w:rPr>
                  <w:rStyle w:val="InternetLink"/>
                  <w:rFonts w:ascii="Times New Roman" w:hAnsi="Times New Roman"/>
                  <w:b w:val="false"/>
                  <w:color w:val="0000FF"/>
                  <w:sz w:val="20"/>
                  <w:u w:val="single"/>
                </w:rPr>
                <w:t>Item 6. Exhibits</w:t>
              </w:r>
            </w:hyperlink>
          </w:p>
        </w:tc>
        <w:tc>
          <w:tcPr>
            <w:tcW w:w="1456" w:type="dxa"/>
            <w:tcBorders/>
            <w:vAlign w:val="center"/>
          </w:tcPr>
          <w:p>
            <w:pPr>
              <w:pStyle w:val="TableContents"/>
              <w:bidi w:val="0"/>
              <w:spacing w:before="0" w:after="283"/>
              <w:ind w:left="0" w:right="0" w:firstLine="240"/>
              <w:jc w:val="right"/>
              <w:rPr>
                <w:rFonts w:ascii="Times New Roman" w:hAnsi="Times New Roman"/>
                <w:b w:val="false"/>
                <w:color w:val="000000"/>
                <w:sz w:val="20"/>
              </w:rPr>
            </w:pPr>
            <w:r>
              <w:rPr>
                <w:rFonts w:ascii="Times New Roman" w:hAnsi="Times New Roman"/>
                <w:b w:val="false"/>
                <w:color w:val="000000"/>
                <w:sz w:val="20"/>
              </w:rPr>
              <w:t>22</w:t>
            </w:r>
          </w:p>
        </w:tc>
      </w:tr>
      <w:tr>
        <w:trPr/>
        <w:tc>
          <w:tcPr>
            <w:tcW w:w="7981" w:type="dxa"/>
            <w:tcBorders/>
            <w:vAlign w:val="center"/>
          </w:tcPr>
          <w:p>
            <w:pPr>
              <w:pStyle w:val="TableContents"/>
              <w:pBdr/>
              <w:bidi w:val="0"/>
              <w:spacing w:before="0" w:after="283"/>
              <w:ind w:left="0" w:right="0" w:hanging="240"/>
              <w:jc w:val="left"/>
              <w:rPr/>
            </w:pPr>
            <w:hyperlink w:anchor="exhibit_index">
              <w:r>
                <w:rPr>
                  <w:rStyle w:val="InternetLink"/>
                  <w:rFonts w:ascii="Times New Roman" w:hAnsi="Times New Roman"/>
                  <w:b/>
                  <w:color w:val="0000FF"/>
                  <w:sz w:val="20"/>
                  <w:u w:val="single"/>
                </w:rPr>
                <w:t>EXHIBIT INDEX</w:t>
              </w:r>
            </w:hyperlink>
          </w:p>
        </w:tc>
        <w:tc>
          <w:tcPr>
            <w:tcW w:w="1456" w:type="dxa"/>
            <w:tcBorders/>
            <w:vAlign w:val="center"/>
          </w:tcPr>
          <w:p>
            <w:pPr>
              <w:pStyle w:val="TableContents"/>
              <w:bidi w:val="0"/>
              <w:spacing w:before="0" w:after="283"/>
              <w:ind w:left="0" w:right="0" w:firstLine="240"/>
              <w:jc w:val="right"/>
              <w:rPr>
                <w:rFonts w:ascii="Times New Roman" w:hAnsi="Times New Roman"/>
                <w:b w:val="false"/>
                <w:color w:val="000000"/>
                <w:sz w:val="20"/>
              </w:rPr>
            </w:pPr>
            <w:r>
              <w:rPr>
                <w:rFonts w:ascii="Times New Roman" w:hAnsi="Times New Roman"/>
                <w:b w:val="false"/>
                <w:color w:val="000000"/>
                <w:sz w:val="20"/>
              </w:rPr>
              <w:t>23</w:t>
            </w:r>
          </w:p>
        </w:tc>
      </w:tr>
      <w:tr>
        <w:trPr/>
        <w:tc>
          <w:tcPr>
            <w:tcW w:w="7981" w:type="dxa"/>
            <w:tcBorders/>
            <w:vAlign w:val="center"/>
          </w:tcPr>
          <w:p>
            <w:pPr>
              <w:pStyle w:val="TableContents"/>
              <w:pBdr/>
              <w:bidi w:val="0"/>
              <w:spacing w:before="0" w:after="283"/>
              <w:ind w:left="0" w:right="0" w:hanging="240"/>
              <w:jc w:val="left"/>
              <w:rPr/>
            </w:pPr>
            <w:hyperlink w:anchor="signatures">
              <w:r>
                <w:rPr>
                  <w:rStyle w:val="InternetLink"/>
                  <w:rFonts w:ascii="Times New Roman" w:hAnsi="Times New Roman"/>
                  <w:b/>
                  <w:color w:val="0000FF"/>
                  <w:sz w:val="20"/>
                  <w:u w:val="single"/>
                </w:rPr>
                <w:t>SIGNATURES</w:t>
              </w:r>
            </w:hyperlink>
          </w:p>
        </w:tc>
        <w:tc>
          <w:tcPr>
            <w:tcW w:w="1456"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 w:name="part_ifinancial_information"/>
      <w:bookmarkEnd w:id="3"/>
      <w:r>
        <w:rPr>
          <w:rFonts w:ascii="Times New Roman" w:hAnsi="Times New Roman"/>
          <w:b/>
          <w:color w:val="000000"/>
          <w:sz w:val="20"/>
        </w:rPr>
        <w:t>PART I—FINANCIAL INFORMATION</w:t>
      </w:r>
    </w:p>
    <w:p>
      <w:pPr>
        <w:pStyle w:val="TextBody"/>
        <w:bidi w:val="0"/>
        <w:spacing w:before="120" w:after="283"/>
        <w:jc w:val="left"/>
        <w:rPr>
          <w:rFonts w:ascii="Times New Roman" w:hAnsi="Times New Roman"/>
          <w:sz w:val="20"/>
        </w:rPr>
      </w:pPr>
      <w:bookmarkStart w:id="4" w:name="item1_financial_statements"/>
      <w:bookmarkEnd w:id="4"/>
      <w:r>
        <w:rPr>
          <w:rFonts w:ascii="Times New Roman" w:hAnsi="Times New Roman"/>
          <w:b/>
          <w:color w:val="000000"/>
          <w:sz w:val="20"/>
        </w:rPr>
        <w:t>Item 1.</w:t>
      </w:r>
      <w:r>
        <w:rPr>
          <w:rFonts w:ascii="Times New Roman" w:hAnsi="Times New Roman"/>
          <w:color w:val="000000"/>
          <w:sz w:val="20"/>
        </w:rPr>
        <w:t xml:space="preserve"> </w:t>
      </w:r>
      <w:r>
        <w:rPr>
          <w:rFonts w:ascii="Times New Roman" w:hAnsi="Times New Roman"/>
          <w:b/>
          <w:color w:val="000000"/>
          <w:sz w:val="20"/>
        </w:rPr>
        <w:t>Financial Statements</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Soleno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5" w:name="condensed_consolidated_balance_sheets"/>
      <w:bookmarkEnd w:id="5"/>
      <w:r>
        <w:rPr>
          <w:rFonts w:ascii="Times New Roman" w:hAnsi="Times New Roman"/>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val="false"/>
          <w:i/>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552"/>
        <w:gridCol w:w="146"/>
        <w:gridCol w:w="223"/>
        <w:gridCol w:w="895"/>
        <w:gridCol w:w="166"/>
        <w:gridCol w:w="146"/>
        <w:gridCol w:w="217"/>
        <w:gridCol w:w="867"/>
        <w:gridCol w:w="993"/>
      </w:tblGrid>
      <w:tr>
        <w:trPr/>
        <w:tc>
          <w:tcPr>
            <w:tcW w:w="65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r>
      <w:tr>
        <w:trPr/>
        <w:tc>
          <w:tcPr>
            <w:tcW w:w="655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2022</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5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118" w:type="dxa"/>
            <w:gridSpan w:val="2"/>
            <w:tcBorders/>
            <w:shd w:fill="CFF0FC"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084" w:type="dxa"/>
            <w:gridSpan w:val="2"/>
            <w:tcBorders/>
            <w:shd w:fill="CFF0FC" w:val="clear"/>
            <w:vAlign w:val="center"/>
          </w:tcPr>
          <w:p>
            <w:pPr>
              <w:pStyle w:val="TableContents"/>
              <w:bidi w:val="0"/>
              <w:spacing w:before="0" w:after="283"/>
              <w:jc w:val="right"/>
              <w:rPr/>
            </w:pPr>
            <w:r>
              <w:rPr/>
              <w:t> </w:t>
            </w:r>
          </w:p>
        </w:tc>
        <w:tc>
          <w:tcPr>
            <w:tcW w:w="993" w:type="dxa"/>
            <w:tcBorders/>
            <w:shd w:fill="CFF0FC" w:val="clear"/>
            <w:vAlign w:val="center"/>
          </w:tcPr>
          <w:p>
            <w:pPr>
              <w:pStyle w:val="TableContents"/>
              <w:bidi w:val="0"/>
              <w:spacing w:before="0" w:after="283"/>
              <w:jc w:val="right"/>
              <w:rPr/>
            </w:pPr>
            <w:r>
              <w:rPr/>
              <w:t> </w:t>
            </w:r>
          </w:p>
        </w:tc>
      </w:tr>
      <w:tr>
        <w:trPr/>
        <w:tc>
          <w:tcPr>
            <w:tcW w:w="655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118"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84" w:type="dxa"/>
            <w:gridSpan w:val="2"/>
            <w:tcBorders/>
            <w:shd w:fill="FFFFFF" w:val="clear"/>
            <w:vAlign w:val="center"/>
          </w:tcPr>
          <w:p>
            <w:pPr>
              <w:pStyle w:val="TableContents"/>
              <w:bidi w:val="0"/>
              <w:spacing w:before="0" w:after="283"/>
              <w:jc w:val="right"/>
              <w:rPr/>
            </w:pPr>
            <w:r>
              <w:rPr/>
              <w:t> </w:t>
            </w:r>
          </w:p>
        </w:tc>
        <w:tc>
          <w:tcPr>
            <w:tcW w:w="993" w:type="dxa"/>
            <w:tcBorders/>
            <w:shd w:fill="FFFFFF" w:val="clear"/>
            <w:vAlign w:val="center"/>
          </w:tcPr>
          <w:p>
            <w:pPr>
              <w:pStyle w:val="TableContents"/>
              <w:bidi w:val="0"/>
              <w:spacing w:before="0" w:after="283"/>
              <w:ind w:left="0" w:right="0" w:firstLine="600"/>
              <w:jc w:val="right"/>
              <w:rPr/>
            </w:pPr>
            <w:r>
              <w:rPr/>
              <w:t> </w:t>
            </w:r>
          </w:p>
        </w:tc>
      </w:tr>
      <w:tr>
        <w:trPr/>
        <w:tc>
          <w:tcPr>
            <w:tcW w:w="6552" w:type="dxa"/>
            <w:tcBorders/>
            <w:shd w:fill="CFF0FC" w:val="clear"/>
            <w:vAlign w:val="center"/>
          </w:tcPr>
          <w:p>
            <w:pPr>
              <w:pStyle w:val="TableContents"/>
              <w:bidi w:val="0"/>
              <w:spacing w:before="0" w:after="283"/>
              <w:ind w:left="600" w:right="0" w:firstLine="600"/>
              <w:jc w:val="left"/>
              <w:rPr>
                <w:rFonts w:ascii="Times New Roman" w:hAnsi="Times New Roman"/>
                <w:b w:val="false"/>
                <w:color w:val="000000"/>
                <w:sz w:val="20"/>
              </w:rPr>
            </w:pPr>
            <w:r>
              <w:rPr>
                <w:rFonts w:ascii="Times New Roman" w:hAnsi="Times New Roman"/>
                <w:b w:val="false"/>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9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52,437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14,602</w:t>
            </w:r>
          </w:p>
        </w:tc>
        <w:tc>
          <w:tcPr>
            <w:tcW w:w="993" w:type="dxa"/>
            <w:tcBorders/>
            <w:shd w:fill="CFF0FC" w:val="clear"/>
            <w:vAlign w:val="center"/>
          </w:tcPr>
          <w:p>
            <w:pPr>
              <w:pStyle w:val="TableContents"/>
              <w:bidi w:val="0"/>
              <w:spacing w:before="0" w:after="283"/>
              <w:ind w:left="0" w:right="0" w:firstLine="600"/>
              <w:jc w:val="left"/>
              <w:rPr/>
            </w:pPr>
            <w:r>
              <w:rPr/>
              <w:t> </w:t>
            </w:r>
          </w:p>
        </w:tc>
      </w:tr>
      <w:tr>
        <w:trPr/>
        <w:tc>
          <w:tcPr>
            <w:tcW w:w="6552" w:type="dxa"/>
            <w:tcBorders/>
            <w:shd w:fill="FFFFFF" w:val="clear"/>
            <w:vAlign w:val="center"/>
          </w:tcPr>
          <w:p>
            <w:pPr>
              <w:pStyle w:val="TableContents"/>
              <w:bidi w:val="0"/>
              <w:spacing w:before="0" w:after="283"/>
              <w:ind w:left="600" w:right="0" w:firstLine="600"/>
              <w:jc w:val="left"/>
              <w:rPr>
                <w:rFonts w:ascii="Times New Roman" w:hAnsi="Times New Roman"/>
                <w:b w:val="false"/>
                <w:color w:val="000000"/>
                <w:sz w:val="20"/>
              </w:rPr>
            </w:pPr>
            <w:r>
              <w:rPr>
                <w:rFonts w:ascii="Times New Roman" w:hAnsi="Times New Roman"/>
                <w:b w:val="false"/>
                <w:color w:val="000000"/>
                <w:sz w:val="20"/>
              </w:rPr>
              <w:t>Prepaid expenses and other current assets</w:t>
            </w:r>
          </w:p>
        </w:tc>
        <w:tc>
          <w:tcPr>
            <w:tcW w:w="146" w:type="dxa"/>
            <w:tcBorders/>
            <w:shd w:fill="FFFFFF" w:val="cle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1,045</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552" w:type="dxa"/>
            <w:tcBorders/>
            <w:shd w:fill="CFF0FC" w:val="clear"/>
            <w:vAlign w:val="center"/>
          </w:tcPr>
          <w:p>
            <w:pPr>
              <w:pStyle w:val="TableContents"/>
              <w:bidi w:val="0"/>
              <w:spacing w:before="0" w:after="283"/>
              <w:ind w:left="800" w:right="0" w:firstLine="800"/>
              <w:jc w:val="left"/>
              <w:rPr>
                <w:rFonts w:ascii="Times New Roman" w:hAnsi="Times New Roman"/>
                <w:b w:val="false"/>
                <w:color w:val="000000"/>
                <w:sz w:val="20"/>
              </w:rPr>
            </w:pPr>
            <w:r>
              <w:rPr>
                <w:rFonts w:ascii="Times New Roman" w:hAnsi="Times New Roman"/>
                <w:b w:val="false"/>
                <w:color w:val="000000"/>
                <w:sz w:val="20"/>
              </w:rPr>
              <w:t>Total current assets</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89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53,659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6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15,647</w:t>
            </w:r>
          </w:p>
        </w:tc>
        <w:tc>
          <w:tcPr>
            <w:tcW w:w="993" w:type="dxa"/>
            <w:tcBorders/>
            <w:shd w:fill="CFF0FC" w:val="clear"/>
            <w:vAlign w:val="center"/>
          </w:tcPr>
          <w:p>
            <w:pPr>
              <w:pStyle w:val="TableContents"/>
              <w:bidi w:val="0"/>
              <w:spacing w:before="0" w:after="283"/>
              <w:jc w:val="left"/>
              <w:rPr/>
            </w:pPr>
            <w:r>
              <w:rPr/>
              <w:t> </w:t>
            </w:r>
          </w:p>
        </w:tc>
      </w:tr>
      <w:tr>
        <w:trPr/>
        <w:tc>
          <w:tcPr>
            <w:tcW w:w="655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Long-term assets</w:t>
            </w:r>
          </w:p>
        </w:tc>
        <w:tc>
          <w:tcPr>
            <w:tcW w:w="146" w:type="dxa"/>
            <w:tcBorders/>
            <w:shd w:fill="FFFFFF" w:val="clear"/>
            <w:vAlign w:val="center"/>
          </w:tcPr>
          <w:p>
            <w:pPr>
              <w:pStyle w:val="TableContents"/>
              <w:bidi w:val="0"/>
              <w:spacing w:before="0" w:after="283"/>
              <w:jc w:val="left"/>
              <w:rPr/>
            </w:pPr>
            <w:r>
              <w:rPr/>
              <w:t> </w:t>
            </w:r>
          </w:p>
        </w:tc>
        <w:tc>
          <w:tcPr>
            <w:tcW w:w="1118"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84" w:type="dxa"/>
            <w:gridSpan w:val="2"/>
            <w:tcBorders/>
            <w:shd w:fill="FFFFFF" w:val="clear"/>
            <w:vAlign w:val="center"/>
          </w:tcPr>
          <w:p>
            <w:pPr>
              <w:pStyle w:val="TableContents"/>
              <w:bidi w:val="0"/>
              <w:spacing w:before="0" w:after="283"/>
              <w:jc w:val="right"/>
              <w:rPr/>
            </w:pPr>
            <w:r>
              <w:rPr/>
              <w:t> </w:t>
            </w:r>
          </w:p>
        </w:tc>
        <w:tc>
          <w:tcPr>
            <w:tcW w:w="993" w:type="dxa"/>
            <w:tcBorders/>
            <w:shd w:fill="FFFFFF" w:val="clear"/>
            <w:vAlign w:val="center"/>
          </w:tcPr>
          <w:p>
            <w:pPr>
              <w:pStyle w:val="TableContents"/>
              <w:bidi w:val="0"/>
              <w:spacing w:before="0" w:after="283"/>
              <w:ind w:left="0" w:right="0" w:firstLine="600"/>
              <w:jc w:val="right"/>
              <w:rPr/>
            </w:pPr>
            <w:r>
              <w:rPr/>
              <w:t> </w:t>
            </w:r>
          </w:p>
        </w:tc>
      </w:tr>
      <w:tr>
        <w:trPr/>
        <w:tc>
          <w:tcPr>
            <w:tcW w:w="6552" w:type="dxa"/>
            <w:tcBorders/>
            <w:shd w:fill="CFF0FC" w:val="clear"/>
            <w:vAlign w:val="center"/>
          </w:tcPr>
          <w:p>
            <w:pPr>
              <w:pStyle w:val="TableContents"/>
              <w:bidi w:val="0"/>
              <w:spacing w:before="0" w:after="283"/>
              <w:ind w:left="600" w:right="0" w:firstLine="600"/>
              <w:jc w:val="left"/>
              <w:rPr>
                <w:rFonts w:ascii="Times New Roman" w:hAnsi="Times New Roman"/>
                <w:b w:val="false"/>
                <w:color w:val="000000"/>
                <w:sz w:val="20"/>
              </w:rPr>
            </w:pPr>
            <w:r>
              <w:rPr>
                <w:rFonts w:ascii="Times New Roman" w:hAnsi="Times New Roman"/>
                <w:b w:val="false"/>
                <w:color w:val="000000"/>
                <w:sz w:val="20"/>
              </w:rPr>
              <w:t>Property and equipment, net</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89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6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w:t>
            </w:r>
          </w:p>
        </w:tc>
        <w:tc>
          <w:tcPr>
            <w:tcW w:w="993" w:type="dxa"/>
            <w:tcBorders/>
            <w:shd w:fill="CFF0FC" w:val="clear"/>
            <w:vAlign w:val="center"/>
          </w:tcPr>
          <w:p>
            <w:pPr>
              <w:pStyle w:val="TableContents"/>
              <w:bidi w:val="0"/>
              <w:spacing w:before="0" w:after="283"/>
              <w:ind w:left="0" w:right="0" w:firstLine="600"/>
              <w:jc w:val="left"/>
              <w:rPr/>
            </w:pPr>
            <w:r>
              <w:rPr/>
              <w:t> </w:t>
            </w:r>
          </w:p>
        </w:tc>
      </w:tr>
      <w:tr>
        <w:trPr/>
        <w:tc>
          <w:tcPr>
            <w:tcW w:w="6552" w:type="dxa"/>
            <w:tcBorders/>
            <w:shd w:fill="FFFFFF" w:val="clear"/>
            <w:vAlign w:val="center"/>
          </w:tcPr>
          <w:p>
            <w:pPr>
              <w:pStyle w:val="TableContents"/>
              <w:bidi w:val="0"/>
              <w:spacing w:before="0" w:after="283"/>
              <w:ind w:left="600" w:right="0" w:firstLine="600"/>
              <w:jc w:val="left"/>
              <w:rPr>
                <w:rFonts w:ascii="Times New Roman" w:hAnsi="Times New Roman"/>
                <w:b w:val="false"/>
                <w:color w:val="000000"/>
                <w:sz w:val="20"/>
              </w:rPr>
            </w:pPr>
            <w:r>
              <w:rPr>
                <w:rFonts w:ascii="Times New Roman" w:hAnsi="Times New Roman"/>
                <w:b w:val="false"/>
                <w:color w:val="000000"/>
                <w:sz w:val="20"/>
              </w:rPr>
              <w:t>Operating lease right-of-use assets</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131</w:t>
            </w:r>
          </w:p>
        </w:tc>
        <w:tc>
          <w:tcPr>
            <w:tcW w:w="993" w:type="dxa"/>
            <w:tcBorders/>
            <w:shd w:fill="FFFFFF" w:val="clear"/>
            <w:vAlign w:val="center"/>
          </w:tcPr>
          <w:p>
            <w:pPr>
              <w:pStyle w:val="TableContents"/>
              <w:bidi w:val="0"/>
              <w:spacing w:before="0" w:after="283"/>
              <w:ind w:left="0" w:right="0" w:firstLine="600"/>
              <w:jc w:val="left"/>
              <w:rPr/>
            </w:pPr>
            <w:r>
              <w:rPr/>
              <w:t> </w:t>
            </w:r>
          </w:p>
        </w:tc>
      </w:tr>
      <w:tr>
        <w:trPr/>
        <w:tc>
          <w:tcPr>
            <w:tcW w:w="6552" w:type="dxa"/>
            <w:tcBorders/>
            <w:shd w:fill="CFF0FC" w:val="clear"/>
            <w:vAlign w:val="center"/>
          </w:tcPr>
          <w:p>
            <w:pPr>
              <w:pStyle w:val="TableContents"/>
              <w:bidi w:val="0"/>
              <w:spacing w:before="0" w:after="283"/>
              <w:ind w:left="600" w:right="0" w:firstLine="600"/>
              <w:jc w:val="left"/>
              <w:rPr>
                <w:rFonts w:ascii="Times New Roman" w:hAnsi="Times New Roman"/>
                <w:b w:val="false"/>
                <w:color w:val="000000"/>
                <w:sz w:val="20"/>
              </w:rPr>
            </w:pPr>
            <w:r>
              <w:rPr>
                <w:rFonts w:ascii="Times New Roman" w:hAnsi="Times New Roman"/>
                <w:b w:val="false"/>
                <w:color w:val="000000"/>
                <w:sz w:val="20"/>
              </w:rPr>
              <w:t>Intangible assets, net</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89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9,235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6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10,693</w:t>
            </w:r>
          </w:p>
        </w:tc>
        <w:tc>
          <w:tcPr>
            <w:tcW w:w="993" w:type="dxa"/>
            <w:tcBorders/>
            <w:shd w:fill="CFF0FC" w:val="clear"/>
            <w:vAlign w:val="center"/>
          </w:tcPr>
          <w:p>
            <w:pPr>
              <w:pStyle w:val="TableContents"/>
              <w:bidi w:val="0"/>
              <w:spacing w:before="0" w:after="283"/>
              <w:ind w:left="0" w:right="0" w:firstLine="600"/>
              <w:jc w:val="left"/>
              <w:rPr/>
            </w:pPr>
            <w:r>
              <w:rPr/>
              <w:t> </w:t>
            </w:r>
          </w:p>
        </w:tc>
      </w:tr>
      <w:tr>
        <w:trPr/>
        <w:tc>
          <w:tcPr>
            <w:tcW w:w="6552" w:type="dxa"/>
            <w:tcBorders/>
            <w:shd w:fill="FFFFFF" w:val="clear"/>
            <w:vAlign w:val="center"/>
          </w:tcPr>
          <w:p>
            <w:pPr>
              <w:pStyle w:val="TableContents"/>
              <w:bidi w:val="0"/>
              <w:spacing w:before="0" w:after="283"/>
              <w:ind w:left="600" w:right="0" w:firstLine="600"/>
              <w:jc w:val="left"/>
              <w:rPr>
                <w:rFonts w:ascii="Times New Roman" w:hAnsi="Times New Roman"/>
                <w:b w:val="false"/>
                <w:color w:val="000000"/>
                <w:sz w:val="20"/>
              </w:rPr>
            </w:pPr>
            <w:r>
              <w:rPr>
                <w:rFonts w:ascii="Times New Roman" w:hAnsi="Times New Roman"/>
                <w:b w:val="false"/>
                <w:color w:val="000000"/>
                <w:sz w:val="20"/>
              </w:rPr>
              <w:t>Other long-term assets</w:t>
            </w:r>
          </w:p>
        </w:tc>
        <w:tc>
          <w:tcPr>
            <w:tcW w:w="146" w:type="dxa"/>
            <w:tcBorders/>
            <w:shd w:fill="FFFFFF" w:val="cle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552" w:type="dxa"/>
            <w:tcBorders/>
            <w:shd w:fill="CFF0FC" w:val="clear"/>
            <w:vAlign w:val="center"/>
          </w:tcPr>
          <w:p>
            <w:pPr>
              <w:pStyle w:val="TableContents"/>
              <w:bidi w:val="0"/>
              <w:spacing w:before="0" w:after="283"/>
              <w:ind w:left="800" w:right="0" w:firstLine="800"/>
              <w:jc w:val="left"/>
              <w:rPr>
                <w:rFonts w:ascii="Times New Roman" w:hAnsi="Times New Roman"/>
                <w:b w:val="false"/>
                <w:color w:val="000000"/>
                <w:sz w:val="20"/>
              </w:rPr>
            </w:pPr>
            <w:r>
              <w:rPr>
                <w:rFonts w:ascii="Times New Roman" w:hAnsi="Times New Roman"/>
                <w:b w:val="false"/>
                <w:color w:val="000000"/>
                <w:sz w:val="20"/>
              </w:rPr>
              <w:t>Total assets</w:t>
            </w:r>
          </w:p>
        </w:tc>
        <w:tc>
          <w:tcPr>
            <w:tcW w:w="146" w:type="dxa"/>
            <w:tcBorders/>
            <w:shd w:fill="CFF0FC" w:val="cle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63,548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26,497</w:t>
            </w:r>
          </w:p>
        </w:tc>
        <w:tc>
          <w:tcPr>
            <w:tcW w:w="9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52"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vAlign w:val="center"/>
          </w:tcPr>
          <w:p>
            <w:pPr>
              <w:pStyle w:val="TableContents"/>
              <w:bidi w:val="0"/>
              <w:spacing w:before="0" w:after="283"/>
              <w:jc w:val="left"/>
              <w:rPr/>
            </w:pPr>
            <w:r>
              <w:rPr/>
              <w:t> </w:t>
            </w:r>
          </w:p>
        </w:tc>
        <w:tc>
          <w:tcPr>
            <w:tcW w:w="1118"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84" w:type="dxa"/>
            <w:gridSpan w:val="2"/>
            <w:tcBorders/>
            <w:shd w:fill="FFFFFF" w:val="clear"/>
            <w:vAlign w:val="center"/>
          </w:tcPr>
          <w:p>
            <w:pPr>
              <w:pStyle w:val="TableContents"/>
              <w:bidi w:val="0"/>
              <w:spacing w:before="0" w:after="283"/>
              <w:jc w:val="right"/>
              <w:rPr/>
            </w:pPr>
            <w:r>
              <w:rPr/>
              <w:t> </w:t>
            </w:r>
          </w:p>
        </w:tc>
        <w:tc>
          <w:tcPr>
            <w:tcW w:w="993" w:type="dxa"/>
            <w:tcBorders/>
            <w:shd w:fill="FFFFFF" w:val="clear"/>
            <w:vAlign w:val="center"/>
          </w:tcPr>
          <w:p>
            <w:pPr>
              <w:pStyle w:val="TableContents"/>
              <w:bidi w:val="0"/>
              <w:spacing w:before="0" w:after="283"/>
              <w:jc w:val="right"/>
              <w:rPr/>
            </w:pPr>
            <w:r>
              <w:rPr/>
              <w:t> </w:t>
            </w:r>
          </w:p>
        </w:tc>
      </w:tr>
      <w:tr>
        <w:trPr/>
        <w:tc>
          <w:tcPr>
            <w:tcW w:w="655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Current liabilities</w:t>
            </w:r>
          </w:p>
        </w:tc>
        <w:tc>
          <w:tcPr>
            <w:tcW w:w="146" w:type="dxa"/>
            <w:tcBorders/>
            <w:shd w:fill="CFF0FC" w:val="clear"/>
            <w:vAlign w:val="center"/>
          </w:tcPr>
          <w:p>
            <w:pPr>
              <w:pStyle w:val="TableContents"/>
              <w:bidi w:val="0"/>
              <w:spacing w:before="0" w:after="283"/>
              <w:jc w:val="left"/>
              <w:rPr/>
            </w:pPr>
            <w:r>
              <w:rPr/>
              <w:t> </w:t>
            </w:r>
          </w:p>
        </w:tc>
        <w:tc>
          <w:tcPr>
            <w:tcW w:w="1118"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84" w:type="dxa"/>
            <w:gridSpan w:val="2"/>
            <w:tcBorders/>
            <w:shd w:fill="CFF0FC" w:val="clear"/>
            <w:vAlign w:val="center"/>
          </w:tcPr>
          <w:p>
            <w:pPr>
              <w:pStyle w:val="TableContents"/>
              <w:bidi w:val="0"/>
              <w:spacing w:before="0" w:after="283"/>
              <w:jc w:val="right"/>
              <w:rPr/>
            </w:pPr>
            <w:r>
              <w:rPr/>
              <w:t> </w:t>
            </w:r>
          </w:p>
        </w:tc>
        <w:tc>
          <w:tcPr>
            <w:tcW w:w="993" w:type="dxa"/>
            <w:tcBorders/>
            <w:shd w:fill="CFF0FC" w:val="clear"/>
            <w:vAlign w:val="center"/>
          </w:tcPr>
          <w:p>
            <w:pPr>
              <w:pStyle w:val="TableContents"/>
              <w:bidi w:val="0"/>
              <w:spacing w:before="0" w:after="283"/>
              <w:ind w:left="0" w:right="0" w:firstLine="600"/>
              <w:jc w:val="right"/>
              <w:rPr/>
            </w:pPr>
            <w:r>
              <w:rPr/>
              <w:t> </w:t>
            </w:r>
          </w:p>
        </w:tc>
      </w:tr>
      <w:tr>
        <w:trPr/>
        <w:tc>
          <w:tcPr>
            <w:tcW w:w="6552" w:type="dxa"/>
            <w:tcBorders/>
            <w:shd w:fill="FFFFFF" w:val="clear"/>
            <w:vAlign w:val="center"/>
          </w:tcPr>
          <w:p>
            <w:pPr>
              <w:pStyle w:val="TableContents"/>
              <w:bidi w:val="0"/>
              <w:spacing w:before="0" w:after="283"/>
              <w:ind w:left="600" w:right="0" w:firstLine="600"/>
              <w:jc w:val="left"/>
              <w:rPr>
                <w:rFonts w:ascii="Times New Roman" w:hAnsi="Times New Roman"/>
                <w:b w:val="false"/>
                <w:color w:val="000000"/>
                <w:sz w:val="20"/>
              </w:rPr>
            </w:pPr>
            <w:r>
              <w:rPr>
                <w:rFonts w:ascii="Times New Roman" w:hAnsi="Times New Roman"/>
                <w:b w:val="false"/>
                <w:color w:val="000000"/>
                <w:sz w:val="20"/>
              </w:rPr>
              <w:t>Accounts payable</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9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3,216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1,777</w:t>
            </w:r>
          </w:p>
        </w:tc>
        <w:tc>
          <w:tcPr>
            <w:tcW w:w="993" w:type="dxa"/>
            <w:tcBorders/>
            <w:shd w:fill="FFFFFF" w:val="clear"/>
            <w:vAlign w:val="center"/>
          </w:tcPr>
          <w:p>
            <w:pPr>
              <w:pStyle w:val="TableContents"/>
              <w:bidi w:val="0"/>
              <w:spacing w:before="0" w:after="283"/>
              <w:ind w:left="0" w:right="0" w:firstLine="600"/>
              <w:jc w:val="left"/>
              <w:rPr/>
            </w:pPr>
            <w:r>
              <w:rPr/>
              <w:t> </w:t>
            </w:r>
          </w:p>
        </w:tc>
      </w:tr>
      <w:tr>
        <w:trPr/>
        <w:tc>
          <w:tcPr>
            <w:tcW w:w="6552" w:type="dxa"/>
            <w:tcBorders/>
            <w:shd w:fill="CFF0FC" w:val="clear"/>
            <w:vAlign w:val="center"/>
          </w:tcPr>
          <w:p>
            <w:pPr>
              <w:pStyle w:val="TableContents"/>
              <w:bidi w:val="0"/>
              <w:spacing w:before="0" w:after="283"/>
              <w:ind w:left="600" w:right="0" w:firstLine="600"/>
              <w:jc w:val="left"/>
              <w:rPr>
                <w:rFonts w:ascii="Times New Roman" w:hAnsi="Times New Roman"/>
                <w:b w:val="false"/>
                <w:color w:val="000000"/>
                <w:sz w:val="20"/>
              </w:rPr>
            </w:pPr>
            <w:r>
              <w:rPr>
                <w:rFonts w:ascii="Times New Roman" w:hAnsi="Times New Roman"/>
                <w:b w:val="false"/>
                <w:color w:val="000000"/>
                <w:sz w:val="20"/>
              </w:rPr>
              <w:t>Accrued compensation</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89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1,498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6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1,675</w:t>
            </w:r>
          </w:p>
        </w:tc>
        <w:tc>
          <w:tcPr>
            <w:tcW w:w="993" w:type="dxa"/>
            <w:tcBorders/>
            <w:shd w:fill="CFF0FC" w:val="clear"/>
            <w:vAlign w:val="center"/>
          </w:tcPr>
          <w:p>
            <w:pPr>
              <w:pStyle w:val="TableContents"/>
              <w:bidi w:val="0"/>
              <w:spacing w:before="0" w:after="283"/>
              <w:ind w:left="0" w:right="0" w:firstLine="600"/>
              <w:jc w:val="left"/>
              <w:rPr/>
            </w:pPr>
            <w:r>
              <w:rPr/>
              <w:t> </w:t>
            </w:r>
          </w:p>
        </w:tc>
      </w:tr>
      <w:tr>
        <w:trPr/>
        <w:tc>
          <w:tcPr>
            <w:tcW w:w="6552" w:type="dxa"/>
            <w:tcBorders/>
            <w:shd w:fill="FFFFFF" w:val="clear"/>
            <w:vAlign w:val="center"/>
          </w:tcPr>
          <w:p>
            <w:pPr>
              <w:pStyle w:val="TableContents"/>
              <w:bidi w:val="0"/>
              <w:spacing w:before="0" w:after="283"/>
              <w:ind w:left="600" w:right="0" w:firstLine="600"/>
              <w:jc w:val="left"/>
              <w:rPr>
                <w:rFonts w:ascii="Times New Roman" w:hAnsi="Times New Roman"/>
                <w:b w:val="false"/>
                <w:color w:val="000000"/>
                <w:sz w:val="20"/>
              </w:rPr>
            </w:pPr>
            <w:r>
              <w:rPr>
                <w:rFonts w:ascii="Times New Roman" w:hAnsi="Times New Roman"/>
                <w:b w:val="false"/>
                <w:color w:val="000000"/>
                <w:sz w:val="20"/>
              </w:rPr>
              <w:t>Accrued clinical trial site costs</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3,237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3,222</w:t>
            </w:r>
          </w:p>
        </w:tc>
        <w:tc>
          <w:tcPr>
            <w:tcW w:w="993" w:type="dxa"/>
            <w:tcBorders/>
            <w:shd w:fill="FFFFFF" w:val="clear"/>
            <w:vAlign w:val="center"/>
          </w:tcPr>
          <w:p>
            <w:pPr>
              <w:pStyle w:val="TableContents"/>
              <w:bidi w:val="0"/>
              <w:spacing w:before="0" w:after="283"/>
              <w:ind w:left="0" w:right="0" w:firstLine="600"/>
              <w:jc w:val="left"/>
              <w:rPr/>
            </w:pPr>
            <w:r>
              <w:rPr/>
              <w:t> </w:t>
            </w:r>
          </w:p>
        </w:tc>
      </w:tr>
      <w:tr>
        <w:trPr/>
        <w:tc>
          <w:tcPr>
            <w:tcW w:w="6552" w:type="dxa"/>
            <w:tcBorders/>
            <w:shd w:fill="CFF0FC" w:val="clear"/>
            <w:vAlign w:val="center"/>
          </w:tcPr>
          <w:p>
            <w:pPr>
              <w:pStyle w:val="TableContents"/>
              <w:bidi w:val="0"/>
              <w:spacing w:before="0" w:after="283"/>
              <w:ind w:left="600" w:right="0" w:firstLine="600"/>
              <w:jc w:val="left"/>
              <w:rPr>
                <w:rFonts w:ascii="Times New Roman" w:hAnsi="Times New Roman"/>
                <w:b w:val="false"/>
                <w:color w:val="000000"/>
                <w:sz w:val="20"/>
              </w:rPr>
            </w:pPr>
            <w:r>
              <w:rPr>
                <w:rFonts w:ascii="Times New Roman" w:hAnsi="Times New Roman"/>
                <w:b w:val="false"/>
                <w:color w:val="000000"/>
                <w:sz w:val="20"/>
              </w:rPr>
              <w:t>Common stock purchase liability</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89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19,938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6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993" w:type="dxa"/>
            <w:tcBorders/>
            <w:shd w:fill="CFF0FC" w:val="clear"/>
            <w:vAlign w:val="center"/>
          </w:tcPr>
          <w:p>
            <w:pPr>
              <w:pStyle w:val="TableContents"/>
              <w:bidi w:val="0"/>
              <w:spacing w:before="0" w:after="283"/>
              <w:ind w:left="0" w:right="0" w:firstLine="600"/>
              <w:jc w:val="left"/>
              <w:rPr/>
            </w:pPr>
            <w:r>
              <w:rPr/>
              <w:t> </w:t>
            </w:r>
          </w:p>
        </w:tc>
      </w:tr>
      <w:tr>
        <w:trPr/>
        <w:tc>
          <w:tcPr>
            <w:tcW w:w="6552" w:type="dxa"/>
            <w:tcBorders/>
            <w:shd w:fill="FFFFFF" w:val="clear"/>
            <w:vAlign w:val="center"/>
          </w:tcPr>
          <w:p>
            <w:pPr>
              <w:pStyle w:val="TableContents"/>
              <w:bidi w:val="0"/>
              <w:spacing w:before="0" w:after="283"/>
              <w:ind w:left="600" w:right="0" w:firstLine="600"/>
              <w:jc w:val="left"/>
              <w:rPr>
                <w:rFonts w:ascii="Times New Roman" w:hAnsi="Times New Roman"/>
                <w:b w:val="false"/>
                <w:color w:val="000000"/>
                <w:sz w:val="20"/>
              </w:rPr>
            </w:pPr>
            <w:r>
              <w:rPr>
                <w:rFonts w:ascii="Times New Roman" w:hAnsi="Times New Roman"/>
                <w:b w:val="false"/>
                <w:color w:val="000000"/>
                <w:sz w:val="20"/>
              </w:rPr>
              <w:t>Operating lease liabilities - current</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155</w:t>
            </w:r>
          </w:p>
        </w:tc>
        <w:tc>
          <w:tcPr>
            <w:tcW w:w="993" w:type="dxa"/>
            <w:tcBorders/>
            <w:shd w:fill="FFFFFF" w:val="clear"/>
            <w:vAlign w:val="center"/>
          </w:tcPr>
          <w:p>
            <w:pPr>
              <w:pStyle w:val="TableContents"/>
              <w:bidi w:val="0"/>
              <w:spacing w:before="0" w:after="283"/>
              <w:ind w:left="0" w:right="0" w:firstLine="600"/>
              <w:jc w:val="left"/>
              <w:rPr/>
            </w:pPr>
            <w:r>
              <w:rPr/>
              <w:t> </w:t>
            </w:r>
          </w:p>
        </w:tc>
      </w:tr>
      <w:tr>
        <w:trPr/>
        <w:tc>
          <w:tcPr>
            <w:tcW w:w="6552" w:type="dxa"/>
            <w:tcBorders/>
            <w:shd w:fill="CFF0FC" w:val="clear"/>
            <w:vAlign w:val="center"/>
          </w:tcPr>
          <w:p>
            <w:pPr>
              <w:pStyle w:val="TableContents"/>
              <w:bidi w:val="0"/>
              <w:spacing w:before="0" w:after="283"/>
              <w:ind w:left="600" w:right="0" w:firstLine="600"/>
              <w:jc w:val="left"/>
              <w:rPr>
                <w:rFonts w:ascii="Times New Roman" w:hAnsi="Times New Roman"/>
                <w:b w:val="false"/>
                <w:color w:val="000000"/>
                <w:sz w:val="20"/>
              </w:rPr>
            </w:pPr>
            <w:r>
              <w:rPr>
                <w:rFonts w:ascii="Times New Roman" w:hAnsi="Times New Roman"/>
                <w:b w:val="false"/>
                <w:color w:val="000000"/>
                <w:sz w:val="20"/>
              </w:rPr>
              <w:t>Other current liabilities</w:t>
            </w:r>
          </w:p>
        </w:tc>
        <w:tc>
          <w:tcPr>
            <w:tcW w:w="146" w:type="dxa"/>
            <w:tcBorders/>
            <w:shd w:fill="CFF0FC" w:val="cle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484</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552" w:type="dxa"/>
            <w:tcBorders/>
            <w:shd w:fill="FFFFFF" w:val="clear"/>
            <w:vAlign w:val="center"/>
          </w:tcPr>
          <w:p>
            <w:pPr>
              <w:pStyle w:val="TableContents"/>
              <w:bidi w:val="0"/>
              <w:spacing w:before="0" w:after="283"/>
              <w:ind w:left="800" w:right="0" w:firstLine="800"/>
              <w:jc w:val="left"/>
              <w:rPr>
                <w:rFonts w:ascii="Times New Roman" w:hAnsi="Times New Roman"/>
                <w:b w:val="false"/>
                <w:color w:val="000000"/>
                <w:sz w:val="20"/>
              </w:rPr>
            </w:pPr>
            <w:r>
              <w:rPr>
                <w:rFonts w:ascii="Times New Roman" w:hAnsi="Times New Roman"/>
                <w:b w:val="false"/>
                <w:color w:val="000000"/>
                <w:sz w:val="20"/>
              </w:rPr>
              <w:t>Total current liabilities</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28,993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7,313</w:t>
            </w:r>
          </w:p>
        </w:tc>
        <w:tc>
          <w:tcPr>
            <w:tcW w:w="993" w:type="dxa"/>
            <w:tcBorders/>
            <w:shd w:fill="FFFFFF" w:val="clear"/>
            <w:vAlign w:val="center"/>
          </w:tcPr>
          <w:p>
            <w:pPr>
              <w:pStyle w:val="TableContents"/>
              <w:bidi w:val="0"/>
              <w:spacing w:before="0" w:after="283"/>
              <w:jc w:val="left"/>
              <w:rPr/>
            </w:pPr>
            <w:r>
              <w:rPr/>
              <w:t> </w:t>
            </w:r>
          </w:p>
        </w:tc>
      </w:tr>
      <w:tr>
        <w:trPr/>
        <w:tc>
          <w:tcPr>
            <w:tcW w:w="655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Long-term liabilities</w:t>
            </w:r>
          </w:p>
        </w:tc>
        <w:tc>
          <w:tcPr>
            <w:tcW w:w="146" w:type="dxa"/>
            <w:tcBorders/>
            <w:shd w:fill="CFF0FC" w:val="clear"/>
            <w:vAlign w:val="center"/>
          </w:tcPr>
          <w:p>
            <w:pPr>
              <w:pStyle w:val="TableContents"/>
              <w:bidi w:val="0"/>
              <w:spacing w:before="0" w:after="283"/>
              <w:jc w:val="left"/>
              <w:rPr/>
            </w:pPr>
            <w:r>
              <w:rPr/>
              <w:t> </w:t>
            </w:r>
          </w:p>
        </w:tc>
        <w:tc>
          <w:tcPr>
            <w:tcW w:w="1118"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84" w:type="dxa"/>
            <w:gridSpan w:val="2"/>
            <w:tcBorders/>
            <w:shd w:fill="CFF0FC" w:val="clear"/>
            <w:vAlign w:val="center"/>
          </w:tcPr>
          <w:p>
            <w:pPr>
              <w:pStyle w:val="TableContents"/>
              <w:bidi w:val="0"/>
              <w:spacing w:before="0" w:after="283"/>
              <w:jc w:val="right"/>
              <w:rPr/>
            </w:pPr>
            <w:r>
              <w:rPr/>
              <w:t> </w:t>
            </w:r>
          </w:p>
        </w:tc>
        <w:tc>
          <w:tcPr>
            <w:tcW w:w="993" w:type="dxa"/>
            <w:tcBorders/>
            <w:shd w:fill="CFF0FC" w:val="clear"/>
            <w:vAlign w:val="center"/>
          </w:tcPr>
          <w:p>
            <w:pPr>
              <w:pStyle w:val="TableContents"/>
              <w:bidi w:val="0"/>
              <w:spacing w:before="0" w:after="283"/>
              <w:ind w:left="0" w:right="0" w:firstLine="600"/>
              <w:jc w:val="right"/>
              <w:rPr/>
            </w:pPr>
            <w:r>
              <w:rPr/>
              <w:t> </w:t>
            </w:r>
          </w:p>
        </w:tc>
      </w:tr>
      <w:tr>
        <w:trPr/>
        <w:tc>
          <w:tcPr>
            <w:tcW w:w="6552" w:type="dxa"/>
            <w:tcBorders/>
            <w:shd w:fill="FFFFFF" w:val="clear"/>
            <w:vAlign w:val="center"/>
          </w:tcPr>
          <w:p>
            <w:pPr>
              <w:pStyle w:val="TableContents"/>
              <w:bidi w:val="0"/>
              <w:spacing w:before="0" w:after="283"/>
              <w:ind w:left="600" w:right="0" w:firstLine="600"/>
              <w:jc w:val="left"/>
              <w:rPr>
                <w:rFonts w:ascii="Times New Roman" w:hAnsi="Times New Roman"/>
                <w:b w:val="false"/>
                <w:color w:val="000000"/>
                <w:sz w:val="20"/>
              </w:rPr>
            </w:pPr>
            <w:r>
              <w:rPr>
                <w:rFonts w:ascii="Times New Roman" w:hAnsi="Times New Roman"/>
                <w:b w:val="false"/>
                <w:color w:val="000000"/>
                <w:sz w:val="20"/>
              </w:rPr>
              <w:t>2018 PIPE Warrant liability</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993" w:type="dxa"/>
            <w:tcBorders/>
            <w:shd w:fill="FFFFFF" w:val="clear"/>
            <w:vAlign w:val="center"/>
          </w:tcPr>
          <w:p>
            <w:pPr>
              <w:pStyle w:val="TableContents"/>
              <w:bidi w:val="0"/>
              <w:spacing w:before="0" w:after="283"/>
              <w:ind w:left="0" w:right="0" w:firstLine="600"/>
              <w:jc w:val="left"/>
              <w:rPr/>
            </w:pPr>
            <w:r>
              <w:rPr/>
              <w:t> </w:t>
            </w:r>
          </w:p>
        </w:tc>
      </w:tr>
      <w:tr>
        <w:trPr/>
        <w:tc>
          <w:tcPr>
            <w:tcW w:w="6552" w:type="dxa"/>
            <w:tcBorders/>
            <w:shd w:fill="CFF0FC" w:val="clear"/>
            <w:vAlign w:val="center"/>
          </w:tcPr>
          <w:p>
            <w:pPr>
              <w:pStyle w:val="TableContents"/>
              <w:bidi w:val="0"/>
              <w:spacing w:before="0" w:after="283"/>
              <w:ind w:left="600" w:right="0" w:firstLine="600"/>
              <w:jc w:val="left"/>
              <w:rPr>
                <w:rFonts w:ascii="Times New Roman" w:hAnsi="Times New Roman"/>
                <w:b w:val="false"/>
                <w:color w:val="000000"/>
                <w:sz w:val="20"/>
              </w:rPr>
            </w:pPr>
            <w:r>
              <w:rPr>
                <w:rFonts w:ascii="Times New Roman" w:hAnsi="Times New Roman"/>
                <w:b w:val="false"/>
                <w:color w:val="000000"/>
                <w:sz w:val="20"/>
              </w:rPr>
              <w:t>Operating lease liabilities - noncurrent</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89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6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993" w:type="dxa"/>
            <w:tcBorders/>
            <w:shd w:fill="CFF0FC" w:val="clear"/>
            <w:vAlign w:val="center"/>
          </w:tcPr>
          <w:p>
            <w:pPr>
              <w:pStyle w:val="TableContents"/>
              <w:bidi w:val="0"/>
              <w:spacing w:before="0" w:after="283"/>
              <w:ind w:left="0" w:right="0" w:firstLine="600"/>
              <w:jc w:val="left"/>
              <w:rPr/>
            </w:pPr>
            <w:r>
              <w:rPr/>
              <w:t> </w:t>
            </w:r>
          </w:p>
        </w:tc>
      </w:tr>
      <w:tr>
        <w:trPr/>
        <w:tc>
          <w:tcPr>
            <w:tcW w:w="6552" w:type="dxa"/>
            <w:tcBorders/>
            <w:shd w:fill="FFFFFF" w:val="clear"/>
            <w:vAlign w:val="center"/>
          </w:tcPr>
          <w:p>
            <w:pPr>
              <w:pStyle w:val="TableContents"/>
              <w:bidi w:val="0"/>
              <w:spacing w:before="0" w:after="283"/>
              <w:ind w:left="600" w:right="0" w:firstLine="600"/>
              <w:jc w:val="left"/>
              <w:rPr>
                <w:rFonts w:ascii="Times New Roman" w:hAnsi="Times New Roman"/>
                <w:b w:val="false"/>
                <w:color w:val="000000"/>
                <w:sz w:val="20"/>
              </w:rPr>
            </w:pPr>
            <w:r>
              <w:rPr>
                <w:rFonts w:ascii="Times New Roman" w:hAnsi="Times New Roman"/>
                <w:b w:val="false"/>
                <w:color w:val="000000"/>
                <w:sz w:val="20"/>
              </w:rPr>
              <w:t>Contingent liability for Essentialis purchase price</w:t>
            </w:r>
          </w:p>
        </w:tc>
        <w:tc>
          <w:tcPr>
            <w:tcW w:w="146" w:type="dxa"/>
            <w:tcBorders/>
            <w:shd w:fill="FFFFFF" w:val="cle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10,468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8,835</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552" w:type="dxa"/>
            <w:tcBorders/>
            <w:shd w:fill="CFF0FC" w:val="clear"/>
            <w:vAlign w:val="center"/>
          </w:tcPr>
          <w:p>
            <w:pPr>
              <w:pStyle w:val="TableContents"/>
              <w:bidi w:val="0"/>
              <w:spacing w:before="0" w:after="283"/>
              <w:ind w:left="800" w:right="0" w:firstLine="800"/>
              <w:jc w:val="left"/>
              <w:rPr>
                <w:rFonts w:ascii="Times New Roman" w:hAnsi="Times New Roman"/>
                <w:b w:val="false"/>
                <w:color w:val="000000"/>
                <w:sz w:val="20"/>
              </w:rPr>
            </w:pPr>
            <w:r>
              <w:rPr>
                <w:rFonts w:ascii="Times New Roman" w:hAnsi="Times New Roman"/>
                <w:b w:val="false"/>
                <w:color w:val="000000"/>
                <w:sz w:val="20"/>
              </w:rPr>
              <w:t>Total liabilities</w:t>
            </w:r>
          </w:p>
        </w:tc>
        <w:tc>
          <w:tcPr>
            <w:tcW w:w="146" w:type="dxa"/>
            <w:tcBorders/>
            <w:shd w:fill="CFF0FC" w:val="cle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40,328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16,149</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5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Commitments and contingencies (Note 6)</w:t>
            </w:r>
          </w:p>
        </w:tc>
        <w:tc>
          <w:tcPr>
            <w:tcW w:w="146" w:type="dxa"/>
            <w:tcBorders/>
            <w:shd w:fill="FFFFFF" w:val="clear"/>
            <w:vAlign w:val="center"/>
          </w:tcPr>
          <w:p>
            <w:pPr>
              <w:pStyle w:val="TableContents"/>
              <w:bidi w:val="0"/>
              <w:spacing w:before="0" w:after="283"/>
              <w:jc w:val="left"/>
              <w:rPr/>
            </w:pPr>
            <w:r>
              <w:rPr/>
              <w:t> </w:t>
            </w:r>
          </w:p>
        </w:tc>
        <w:tc>
          <w:tcPr>
            <w:tcW w:w="1118"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84" w:type="dxa"/>
            <w:gridSpan w:val="2"/>
            <w:tcBorders/>
            <w:shd w:fill="FFFFFF" w:val="clear"/>
            <w:vAlign w:val="center"/>
          </w:tcPr>
          <w:p>
            <w:pPr>
              <w:pStyle w:val="TableContents"/>
              <w:bidi w:val="0"/>
              <w:spacing w:before="0" w:after="283"/>
              <w:jc w:val="right"/>
              <w:rPr/>
            </w:pPr>
            <w:r>
              <w:rPr/>
              <w:t> </w:t>
            </w:r>
          </w:p>
        </w:tc>
        <w:tc>
          <w:tcPr>
            <w:tcW w:w="993" w:type="dxa"/>
            <w:tcBorders/>
            <w:shd w:fill="FFFFFF" w:val="clear"/>
            <w:vAlign w:val="center"/>
          </w:tcPr>
          <w:p>
            <w:pPr>
              <w:pStyle w:val="TableContents"/>
              <w:bidi w:val="0"/>
              <w:spacing w:before="0" w:after="283"/>
              <w:jc w:val="right"/>
              <w:rPr/>
            </w:pPr>
            <w:r>
              <w:rPr/>
              <w:t> </w:t>
            </w:r>
          </w:p>
        </w:tc>
      </w:tr>
      <w:tr>
        <w:trPr/>
        <w:tc>
          <w:tcPr>
            <w:tcW w:w="655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Stockholders’ equity</w:t>
            </w:r>
          </w:p>
        </w:tc>
        <w:tc>
          <w:tcPr>
            <w:tcW w:w="146" w:type="dxa"/>
            <w:tcBorders/>
            <w:shd w:fill="CFF0FC" w:val="clear"/>
            <w:vAlign w:val="center"/>
          </w:tcPr>
          <w:p>
            <w:pPr>
              <w:pStyle w:val="TableContents"/>
              <w:bidi w:val="0"/>
              <w:spacing w:before="0" w:after="283"/>
              <w:jc w:val="left"/>
              <w:rPr/>
            </w:pPr>
            <w:r>
              <w:rPr/>
              <w:t> </w:t>
            </w:r>
          </w:p>
        </w:tc>
        <w:tc>
          <w:tcPr>
            <w:tcW w:w="1118"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84" w:type="dxa"/>
            <w:gridSpan w:val="2"/>
            <w:tcBorders/>
            <w:shd w:fill="CFF0FC" w:val="clear"/>
            <w:vAlign w:val="center"/>
          </w:tcPr>
          <w:p>
            <w:pPr>
              <w:pStyle w:val="TableContents"/>
              <w:bidi w:val="0"/>
              <w:spacing w:before="0" w:after="283"/>
              <w:jc w:val="right"/>
              <w:rPr/>
            </w:pPr>
            <w:r>
              <w:rPr/>
              <w:t> </w:t>
            </w:r>
          </w:p>
        </w:tc>
        <w:tc>
          <w:tcPr>
            <w:tcW w:w="993" w:type="dxa"/>
            <w:tcBorders/>
            <w:shd w:fill="CFF0FC" w:val="clear"/>
            <w:vAlign w:val="center"/>
          </w:tcPr>
          <w:p>
            <w:pPr>
              <w:pStyle w:val="TableContents"/>
              <w:bidi w:val="0"/>
              <w:spacing w:before="0" w:after="283"/>
              <w:jc w:val="right"/>
              <w:rPr/>
            </w:pPr>
            <w:r>
              <w:rPr/>
              <w:t> </w:t>
            </w:r>
          </w:p>
        </w:tc>
      </w:tr>
      <w:tr>
        <w:trPr/>
        <w:tc>
          <w:tcPr>
            <w:tcW w:w="655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Preferred stock, $0.001</w:t>
            </w:r>
            <w:r>
              <w:rPr>
                <w:rFonts w:ascii="Times New Roman" w:hAnsi="Times New Roman"/>
                <w:color w:val="000000"/>
                <w:sz w:val="20"/>
              </w:rPr>
              <w:t> </w:t>
            </w:r>
            <w:r>
              <w:rPr>
                <w:rFonts w:ascii="Times New Roman" w:hAnsi="Times New Roman"/>
                <w:b w:val="false"/>
                <w:color w:val="000000"/>
                <w:sz w:val="20"/>
              </w:rPr>
              <w:t>par value; 10,000,000</w:t>
            </w:r>
            <w:r>
              <w:rPr>
                <w:rFonts w:ascii="Times New Roman" w:hAnsi="Times New Roman"/>
                <w:color w:val="000000"/>
                <w:sz w:val="20"/>
              </w:rPr>
              <w:t> </w:t>
            </w:r>
            <w:r>
              <w:rPr>
                <w:rFonts w:ascii="Times New Roman" w:hAnsi="Times New Roman"/>
                <w:b w:val="false"/>
                <w:color w:val="000000"/>
                <w:sz w:val="20"/>
              </w:rPr>
              <w:t>shares authorized, no</w:t>
            </w:r>
            <w:r>
              <w:rPr>
                <w:rFonts w:ascii="Times New Roman" w:hAnsi="Times New Roman"/>
                <w:color w:val="000000"/>
                <w:sz w:val="20"/>
              </w:rPr>
              <w:t> </w:t>
            </w:r>
            <w:r>
              <w:rPr>
                <w:rFonts w:ascii="Times New Roman" w:hAnsi="Times New Roman"/>
                <w:b w:val="false"/>
                <w:color w:val="000000"/>
                <w:sz w:val="20"/>
              </w:rPr>
              <w:t>shares issued and outstanding</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993" w:type="dxa"/>
            <w:tcBorders/>
            <w:shd w:fill="FFFFFF" w:val="clear"/>
            <w:vAlign w:val="center"/>
          </w:tcPr>
          <w:p>
            <w:pPr>
              <w:pStyle w:val="TableContents"/>
              <w:bidi w:val="0"/>
              <w:spacing w:before="0" w:after="283"/>
              <w:jc w:val="left"/>
              <w:rPr/>
            </w:pPr>
            <w:r>
              <w:rPr/>
              <w:t> </w:t>
            </w:r>
          </w:p>
        </w:tc>
      </w:tr>
      <w:tr>
        <w:trPr/>
        <w:tc>
          <w:tcPr>
            <w:tcW w:w="6552"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Common stock, $0.001</w:t>
            </w:r>
            <w:r>
              <w:rPr>
                <w:rFonts w:ascii="Times New Roman" w:hAnsi="Times New Roman"/>
                <w:color w:val="000000"/>
                <w:sz w:val="20"/>
              </w:rPr>
              <w:t> </w:t>
            </w:r>
            <w:r>
              <w:rPr>
                <w:rFonts w:ascii="Times New Roman" w:hAnsi="Times New Roman"/>
                <w:b w:val="false"/>
                <w:color w:val="000000"/>
                <w:sz w:val="20"/>
              </w:rPr>
              <w:t>par value, 100,000,000</w:t>
            </w:r>
            <w:r>
              <w:rPr>
                <w:rFonts w:ascii="Times New Roman" w:hAnsi="Times New Roman"/>
                <w:color w:val="000000"/>
                <w:sz w:val="20"/>
              </w:rPr>
              <w:t> </w:t>
            </w:r>
            <w:r>
              <w:rPr>
                <w:rFonts w:ascii="Times New Roman" w:hAnsi="Times New Roman"/>
                <w:b w:val="false"/>
                <w:color w:val="000000"/>
                <w:sz w:val="20"/>
              </w:rPr>
              <w:t>shares authorized,</w:t>
              <w:br/>
              <w:t> 15,467,229</w:t>
            </w:r>
            <w:r>
              <w:rPr>
                <w:rFonts w:ascii="Times New Roman" w:hAnsi="Times New Roman"/>
                <w:color w:val="000000"/>
                <w:sz w:val="20"/>
              </w:rPr>
              <w:t> </w:t>
            </w:r>
            <w:r>
              <w:rPr>
                <w:rFonts w:ascii="Times New Roman" w:hAnsi="Times New Roman"/>
                <w:b w:val="false"/>
                <w:color w:val="000000"/>
                <w:sz w:val="20"/>
              </w:rPr>
              <w:t>and 8,159,382</w:t>
            </w:r>
            <w:r>
              <w:rPr>
                <w:rFonts w:ascii="Times New Roman" w:hAnsi="Times New Roman"/>
                <w:color w:val="000000"/>
                <w:sz w:val="20"/>
              </w:rPr>
              <w:t> </w:t>
            </w:r>
            <w:r>
              <w:rPr>
                <w:rFonts w:ascii="Times New Roman" w:hAnsi="Times New Roman"/>
                <w:b w:val="false"/>
                <w:color w:val="000000"/>
                <w:sz w:val="20"/>
              </w:rPr>
              <w:t>shares issued and outstanding at</w:t>
              <w:br/>
              <w:t>   September 30, 2023 and December 31, 2022, respectively</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89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6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w:t>
            </w:r>
          </w:p>
        </w:tc>
        <w:tc>
          <w:tcPr>
            <w:tcW w:w="993" w:type="dxa"/>
            <w:tcBorders/>
            <w:shd w:fill="CFF0FC" w:val="clear"/>
            <w:vAlign w:val="center"/>
          </w:tcPr>
          <w:p>
            <w:pPr>
              <w:pStyle w:val="TableContents"/>
              <w:bidi w:val="0"/>
              <w:spacing w:before="0" w:after="283"/>
              <w:jc w:val="left"/>
              <w:rPr/>
            </w:pPr>
            <w:r>
              <w:rPr/>
              <w:t> </w:t>
            </w:r>
          </w:p>
        </w:tc>
      </w:tr>
      <w:tr>
        <w:trPr/>
        <w:tc>
          <w:tcPr>
            <w:tcW w:w="655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Additional paid-in-capital</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288,320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247,762</w:t>
            </w:r>
          </w:p>
        </w:tc>
        <w:tc>
          <w:tcPr>
            <w:tcW w:w="993" w:type="dxa"/>
            <w:tcBorders/>
            <w:shd w:fill="FFFFFF" w:val="clear"/>
            <w:vAlign w:val="center"/>
          </w:tcPr>
          <w:p>
            <w:pPr>
              <w:pStyle w:val="TableContents"/>
              <w:bidi w:val="0"/>
              <w:spacing w:before="0" w:after="283"/>
              <w:jc w:val="left"/>
              <w:rPr/>
            </w:pPr>
            <w:r>
              <w:rPr/>
              <w:t> </w:t>
            </w:r>
          </w:p>
        </w:tc>
      </w:tr>
      <w:tr>
        <w:trPr/>
        <w:tc>
          <w:tcPr>
            <w:tcW w:w="655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Accumulated deficit</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89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(265,114</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6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(237,422</w:t>
            </w:r>
          </w:p>
        </w:tc>
        <w:tc>
          <w:tcPr>
            <w:tcW w:w="99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55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Accumulated other comprehensive loss</w:t>
            </w:r>
          </w:p>
        </w:tc>
        <w:tc>
          <w:tcPr>
            <w:tcW w:w="146" w:type="dxa"/>
            <w:tcBorders/>
            <w:shd w:fill="FFFFFF" w:val="cle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52"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stockholders’ equity</w:t>
            </w:r>
          </w:p>
        </w:tc>
        <w:tc>
          <w:tcPr>
            <w:tcW w:w="146" w:type="dxa"/>
            <w:tcBorders/>
            <w:shd w:fill="CFF0FC" w:val="cle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23,220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10,348</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52"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liabilities and stockholders’ equity</w:t>
            </w:r>
          </w:p>
        </w:tc>
        <w:tc>
          <w:tcPr>
            <w:tcW w:w="146" w:type="dxa"/>
            <w:tcBorders/>
            <w:shd w:fill="FFFFFF" w:val="cle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63,548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26,497</w:t>
            </w:r>
          </w:p>
        </w:tc>
        <w:tc>
          <w:tcPr>
            <w:tcW w:w="9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val="false"/>
          <w:i/>
          <w:color w:val="000000"/>
          <w:sz w:val="20"/>
        </w:rPr>
        <w:t>See accompanying notes to condensed consolidated financial statements</w:t>
      </w:r>
      <w:r>
        <w:rPr>
          <w:rFonts w:ascii="Times New Roman" w:hAnsi="Times New Roman"/>
          <w:color w:val="000000"/>
          <w:sz w:val="20"/>
        </w:rPr>
        <w:t xml:space="preserve">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Soleno Therapeutics, Inc.</w:t>
      </w:r>
    </w:p>
    <w:p>
      <w:pPr>
        <w:pStyle w:val="TextBody"/>
        <w:bidi w:val="0"/>
        <w:jc w:val="center"/>
        <w:rPr>
          <w:rFonts w:ascii="Times New Roman" w:hAnsi="Times New Roman"/>
          <w:b/>
          <w:color w:val="000000"/>
          <w:sz w:val="20"/>
        </w:rPr>
      </w:pPr>
      <w:bookmarkStart w:id="6" w:name="cndnsd_cnsldtd_stmnt_oprns_comprehensive"/>
      <w:bookmarkEnd w:id="6"/>
      <w:r>
        <w:rPr>
          <w:rFonts w:ascii="Times New Roman" w:hAnsi="Times New Roman"/>
          <w:b/>
          <w:color w:val="000000"/>
          <w:sz w:val="20"/>
        </w:rPr>
        <w:t>Condensed Consolidated Statements of Operations and Comprehensive Loss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val="false"/>
          <w:i/>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100"/>
        <w:gridCol w:w="211"/>
        <w:gridCol w:w="1036"/>
        <w:gridCol w:w="166"/>
        <w:gridCol w:w="146"/>
        <w:gridCol w:w="211"/>
        <w:gridCol w:w="931"/>
        <w:gridCol w:w="546"/>
        <w:gridCol w:w="546"/>
        <w:gridCol w:w="211"/>
        <w:gridCol w:w="1036"/>
        <w:gridCol w:w="166"/>
        <w:gridCol w:w="146"/>
        <w:gridCol w:w="211"/>
        <w:gridCol w:w="931"/>
        <w:gridCol w:w="611"/>
      </w:tblGrid>
      <w:tr>
        <w:trPr/>
        <w:tc>
          <w:tcPr>
            <w:tcW w:w="31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100" w:type="dxa"/>
            <w:tcBorders/>
            <w:shd w:fill="FFFFFF" w:val="clear"/>
            <w:vAlign w:val="center"/>
          </w:tcPr>
          <w:p>
            <w:pPr>
              <w:pStyle w:val="TableContents"/>
              <w:bidi w:val="0"/>
              <w:spacing w:before="0" w:after="283"/>
              <w:jc w:val="center"/>
              <w:rPr/>
            </w:pPr>
            <w:r>
              <w:rPr/>
              <w:t> </w:t>
            </w:r>
          </w:p>
        </w:tc>
        <w:tc>
          <w:tcPr>
            <w:tcW w:w="27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vAlign w:val="center"/>
          </w:tcPr>
          <w:p>
            <w:pPr>
              <w:pStyle w:val="TableContents"/>
              <w:bidi w:val="0"/>
              <w:spacing w:before="0" w:after="283"/>
              <w:jc w:val="center"/>
              <w:rPr/>
            </w:pPr>
            <w:r>
              <w:rPr/>
              <w:t> </w:t>
            </w:r>
          </w:p>
        </w:tc>
        <w:tc>
          <w:tcPr>
            <w:tcW w:w="27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0"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expenses</w:t>
            </w:r>
          </w:p>
        </w:tc>
        <w:tc>
          <w:tcPr>
            <w:tcW w:w="12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546" w:type="dxa"/>
            <w:tcBorders/>
            <w:shd w:fill="CFF0FC" w:val="clear"/>
            <w:vAlign w:val="center"/>
          </w:tcPr>
          <w:p>
            <w:pPr>
              <w:pStyle w:val="TableContents"/>
              <w:bidi w:val="0"/>
              <w:spacing w:before="0" w:after="283"/>
              <w:jc w:val="left"/>
              <w:rPr/>
            </w:pPr>
            <w:r>
              <w:rPr/>
              <w:t> </w:t>
            </w:r>
          </w:p>
        </w:tc>
        <w:tc>
          <w:tcPr>
            <w:tcW w:w="5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3100"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Research and development</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6,043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3,771</w:t>
            </w:r>
          </w:p>
        </w:tc>
        <w:tc>
          <w:tcPr>
            <w:tcW w:w="546" w:type="dxa"/>
            <w:tcBorders/>
            <w:shd w:fill="FFFFFF" w:val="clear"/>
            <w:vAlign w:val="center"/>
          </w:tcPr>
          <w:p>
            <w:pPr>
              <w:pStyle w:val="TableContents"/>
              <w:bidi w:val="0"/>
              <w:spacing w:before="0" w:after="283"/>
              <w:ind w:left="0" w:right="0" w:firstLine="200"/>
              <w:jc w:val="left"/>
              <w:rPr/>
            </w:pPr>
            <w:r>
              <w:rPr/>
              <w:t> </w:t>
            </w:r>
          </w:p>
        </w:tc>
        <w:tc>
          <w:tcPr>
            <w:tcW w:w="546" w:type="dxa"/>
            <w:tcBorders/>
            <w:shd w:fill="FFFFFF" w:val="clear"/>
            <w:vAlign w:val="center"/>
          </w:tcPr>
          <w:p>
            <w:pPr>
              <w:pStyle w:val="TableContents"/>
              <w:bidi w:val="0"/>
              <w:spacing w:before="0" w:after="283"/>
              <w:ind w:left="200" w:right="0" w:firstLine="200"/>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16,500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11,455</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3100"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General and administrative</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3,318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2,332</w:t>
            </w:r>
          </w:p>
        </w:tc>
        <w:tc>
          <w:tcPr>
            <w:tcW w:w="546" w:type="dxa"/>
            <w:tcBorders/>
            <w:shd w:fill="CFF0FC" w:val="clear"/>
            <w:vAlign w:val="center"/>
          </w:tcPr>
          <w:p>
            <w:pPr>
              <w:pStyle w:val="TableContents"/>
              <w:bidi w:val="0"/>
              <w:spacing w:before="0" w:after="283"/>
              <w:ind w:left="0" w:right="0" w:firstLine="200"/>
              <w:jc w:val="left"/>
              <w:rPr/>
            </w:pPr>
            <w:r>
              <w:rPr/>
              <w:t> </w:t>
            </w:r>
          </w:p>
        </w:tc>
        <w:tc>
          <w:tcPr>
            <w:tcW w:w="546" w:type="dxa"/>
            <w:tcBorders/>
            <w:shd w:fill="CFF0FC" w:val="clear"/>
            <w:vAlign w:val="center"/>
          </w:tcPr>
          <w:p>
            <w:pPr>
              <w:pStyle w:val="TableContents"/>
              <w:bidi w:val="0"/>
              <w:spacing w:before="0" w:after="283"/>
              <w:ind w:left="200" w:right="0" w:firstLine="2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9,341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7,442</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3100"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Change in fair value of contingent consideration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132</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vAlign w:val="center"/>
          </w:tcPr>
          <w:p>
            <w:pPr>
              <w:pStyle w:val="TableContents"/>
              <w:bidi w:val="0"/>
              <w:spacing w:before="0" w:after="283"/>
              <w:ind w:left="20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3100"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operating expenses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6,235</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vAlign w:val="center"/>
          </w:tcPr>
          <w:p>
            <w:pPr>
              <w:pStyle w:val="TableContents"/>
              <w:bidi w:val="0"/>
              <w:spacing w:before="0" w:after="283"/>
              <w:ind w:left="40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27,474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18,787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0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loss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(6,235</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(27,474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(18,787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10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income (expense), net</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546" w:type="dxa"/>
            <w:tcBorders/>
            <w:shd w:fill="CFF0FC" w:val="clear"/>
            <w:vAlign w:val="center"/>
          </w:tcPr>
          <w:p>
            <w:pPr>
              <w:pStyle w:val="TableContents"/>
              <w:bidi w:val="0"/>
              <w:spacing w:before="0" w:after="283"/>
              <w:jc w:val="right"/>
              <w:rPr/>
            </w:pPr>
            <w:r>
              <w:rPr/>
              <w:t> </w:t>
            </w:r>
          </w:p>
        </w:tc>
        <w:tc>
          <w:tcPr>
            <w:tcW w:w="5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3100"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Change in fair value of warrants liabilities</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(653</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c>
          <w:tcPr>
            <w:tcW w:w="546" w:type="dxa"/>
            <w:tcBorders/>
            <w:shd w:fill="FFFFFF" w:val="clear"/>
            <w:vAlign w:val="center"/>
          </w:tcPr>
          <w:p>
            <w:pPr>
              <w:pStyle w:val="TableContents"/>
              <w:bidi w:val="0"/>
              <w:spacing w:before="0" w:after="283"/>
              <w:ind w:left="0" w:right="0" w:firstLine="200"/>
              <w:jc w:val="left"/>
              <w:rPr/>
            </w:pPr>
            <w:r>
              <w:rPr/>
              <w:t> </w:t>
            </w:r>
          </w:p>
        </w:tc>
        <w:tc>
          <w:tcPr>
            <w:tcW w:w="546" w:type="dxa"/>
            <w:tcBorders/>
            <w:shd w:fill="FFFFFF" w:val="clear"/>
            <w:vAlign w:val="center"/>
          </w:tcPr>
          <w:p>
            <w:pPr>
              <w:pStyle w:val="TableContents"/>
              <w:bidi w:val="0"/>
              <w:spacing w:before="0" w:after="283"/>
              <w:ind w:left="200" w:right="0" w:firstLine="2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3100"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Interest income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101</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vAlign w:val="center"/>
          </w:tcPr>
          <w:p>
            <w:pPr>
              <w:pStyle w:val="TableContents"/>
              <w:bidi w:val="0"/>
              <w:spacing w:before="0" w:after="283"/>
              <w:ind w:left="20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100"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other income (expense), net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vAlign w:val="center"/>
          </w:tcPr>
          <w:p>
            <w:pPr>
              <w:pStyle w:val="TableContents"/>
              <w:bidi w:val="0"/>
              <w:spacing w:before="0" w:after="283"/>
              <w:ind w:left="40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0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(10,861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(6,132</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(27,692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(18,581</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100"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546" w:type="dxa"/>
            <w:tcBorders/>
            <w:shd w:fill="FFFFFF" w:val="clear"/>
            <w:vAlign w:val="center"/>
          </w:tcPr>
          <w:p>
            <w:pPr>
              <w:pStyle w:val="TableContents"/>
              <w:bidi w:val="0"/>
              <w:spacing w:before="0" w:after="283"/>
              <w:jc w:val="right"/>
              <w:rPr/>
            </w:pPr>
            <w:r>
              <w:rPr/>
              <w:t> </w:t>
            </w:r>
          </w:p>
        </w:tc>
        <w:tc>
          <w:tcPr>
            <w:tcW w:w="5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jc w:val="right"/>
              <w:rPr/>
            </w:pPr>
            <w:r>
              <w:rPr/>
              <w:t> </w:t>
            </w:r>
          </w:p>
        </w:tc>
      </w:tr>
      <w:tr>
        <w:trPr/>
        <w:tc>
          <w:tcPr>
            <w:tcW w:w="310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comprehensive loss</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546" w:type="dxa"/>
            <w:tcBorders/>
            <w:shd w:fill="FFFFFF" w:val="clear"/>
            <w:vAlign w:val="center"/>
          </w:tcPr>
          <w:p>
            <w:pPr>
              <w:pStyle w:val="TableContents"/>
              <w:bidi w:val="0"/>
              <w:spacing w:before="0" w:after="283"/>
              <w:jc w:val="right"/>
              <w:rPr/>
            </w:pPr>
            <w:r>
              <w:rPr/>
              <w:t> </w:t>
            </w:r>
          </w:p>
        </w:tc>
        <w:tc>
          <w:tcPr>
            <w:tcW w:w="5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3100"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Foreign currency translation adjustment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c>
          <w:tcPr>
            <w:tcW w:w="546" w:type="dxa"/>
            <w:tcBorders/>
            <w:shd w:fill="CFF0FC" w:val="clear"/>
            <w:vAlign w:val="center"/>
          </w:tcPr>
          <w:p>
            <w:pPr>
              <w:pStyle w:val="TableContents"/>
              <w:bidi w:val="0"/>
              <w:spacing w:before="0" w:after="283"/>
              <w:ind w:left="20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10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comprehensive loss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(10,862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(6,133</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(27,693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(18,583</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100"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546" w:type="dxa"/>
            <w:tcBorders/>
            <w:shd w:fill="FFFFFF" w:val="clear"/>
            <w:vAlign w:val="center"/>
          </w:tcPr>
          <w:p>
            <w:pPr>
              <w:pStyle w:val="TableContents"/>
              <w:bidi w:val="0"/>
              <w:spacing w:before="0" w:after="283"/>
              <w:jc w:val="right"/>
              <w:rPr/>
            </w:pPr>
            <w:r>
              <w:rPr/>
              <w:t> </w:t>
            </w:r>
          </w:p>
        </w:tc>
        <w:tc>
          <w:tcPr>
            <w:tcW w:w="5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jc w:val="right"/>
              <w:rPr/>
            </w:pPr>
            <w:r>
              <w:rPr/>
              <w:t> </w:t>
            </w:r>
          </w:p>
        </w:tc>
      </w:tr>
      <w:tr>
        <w:trPr/>
        <w:tc>
          <w:tcPr>
            <w:tcW w:w="310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 per common share, basic and diluted</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(0.65</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(2.31</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10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Weighted-average common shares outstanding used to calculate basic and diluted net loss per common share</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11,436,748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9,417,705</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10,443,186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8,045,513</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00"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546" w:type="dxa"/>
            <w:tcBorders/>
            <w:shd w:fill="FFFFFF" w:val="clear"/>
            <w:vAlign w:val="center"/>
          </w:tcPr>
          <w:p>
            <w:pPr>
              <w:pStyle w:val="TableContents"/>
              <w:bidi w:val="0"/>
              <w:spacing w:before="0" w:after="283"/>
              <w:jc w:val="left"/>
              <w:rPr/>
            </w:pPr>
            <w:r>
              <w:rPr/>
              <w:t> </w:t>
            </w:r>
          </w:p>
        </w:tc>
        <w:tc>
          <w:tcPr>
            <w:tcW w:w="5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val="false"/>
          <w:i/>
          <w:color w:val="000000"/>
          <w:sz w:val="20"/>
        </w:rPr>
        <w:t>See accompanying notes to condensed consolidated financial statements</w:t>
      </w:r>
      <w:r>
        <w:rPr>
          <w:rFonts w:ascii="Times New Roman" w:hAnsi="Times New Roman"/>
          <w:color w:val="000000"/>
          <w:sz w:val="20"/>
        </w:rPr>
        <w:t xml:space="preserve">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Soleno Therapeutics,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7" w:name="condensed_consolidated_statements_stockh"/>
      <w:bookmarkEnd w:id="7"/>
      <w:r>
        <w:rPr>
          <w:rFonts w:ascii="Times New Roman" w:hAnsi="Times New Roman"/>
          <w:b/>
          <w:color w:val="000000"/>
          <w:sz w:val="20"/>
        </w:rPr>
        <w:t>Condensed Consolidated Statements of Stockholders’ Equity</w:t>
      </w:r>
    </w:p>
    <w:p>
      <w:pPr>
        <w:pStyle w:val="TextBody"/>
        <w:bidi w:val="0"/>
        <w:jc w:val="center"/>
        <w:rPr>
          <w:rFonts w:ascii="Times New Roman" w:hAnsi="Times New Roman"/>
          <w:sz w:val="20"/>
        </w:rPr>
      </w:pPr>
      <w:r>
        <w:rPr>
          <w:rFonts w:ascii="Times New Roman" w:hAnsi="Times New Roman"/>
          <w:b/>
          <w:color w:val="000000"/>
          <w:sz w:val="20"/>
        </w:rPr>
        <w:t>For the Three and Nine Months Ended September 30, 2023 and 2022</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val="false"/>
          <w:i/>
          <w:color w:val="000000"/>
          <w:sz w:val="20"/>
        </w:rPr>
        <w:t>(in thousands, except share data)</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15"/>
        <w:gridCol w:w="146"/>
        <w:gridCol w:w="146"/>
        <w:gridCol w:w="916"/>
        <w:gridCol w:w="166"/>
        <w:gridCol w:w="146"/>
        <w:gridCol w:w="305"/>
        <w:gridCol w:w="446"/>
        <w:gridCol w:w="146"/>
        <w:gridCol w:w="146"/>
        <w:gridCol w:w="205"/>
        <w:gridCol w:w="726"/>
        <w:gridCol w:w="166"/>
        <w:gridCol w:w="146"/>
        <w:gridCol w:w="233"/>
        <w:gridCol w:w="893"/>
        <w:gridCol w:w="166"/>
        <w:gridCol w:w="146"/>
        <w:gridCol w:w="472"/>
        <w:gridCol w:w="834"/>
        <w:gridCol w:w="166"/>
        <w:gridCol w:w="146"/>
        <w:gridCol w:w="255"/>
        <w:gridCol w:w="861"/>
        <w:gridCol w:w="412"/>
      </w:tblGrid>
      <w:tr>
        <w:trPr/>
        <w:tc>
          <w:tcPr>
            <w:tcW w:w="18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181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25" w:type="dxa"/>
            <w:gridSpan w:val="6"/>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0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6" w:type="dxa"/>
            <w:gridSpan w:val="2"/>
            <w:tcBorders/>
            <w:shd w:fill="FFFFFF" w:val="clear"/>
            <w:vAlign w:val="center"/>
          </w:tcPr>
          <w:p>
            <w:pPr>
              <w:pStyle w:val="TableContents"/>
              <w:bidi w:val="0"/>
              <w:spacing w:before="0" w:after="283"/>
              <w:jc w:val="left"/>
              <w:rPr/>
            </w:pPr>
            <w:r>
              <w:rPr/>
              <w:t> </w:t>
            </w:r>
          </w:p>
        </w:tc>
        <w:tc>
          <w:tcPr>
            <w:tcW w:w="412" w:type="dxa"/>
            <w:tcBorders/>
            <w:shd w:fill="FFFFFF" w:val="clear"/>
            <w:vAlign w:val="center"/>
          </w:tcPr>
          <w:p>
            <w:pPr>
              <w:pStyle w:val="TableContents"/>
              <w:bidi w:val="0"/>
              <w:spacing w:before="0" w:after="283"/>
              <w:jc w:val="left"/>
              <w:rPr/>
            </w:pPr>
            <w:r>
              <w:rPr/>
              <w:t> </w:t>
            </w:r>
          </w:p>
        </w:tc>
      </w:tr>
      <w:tr>
        <w:trPr/>
        <w:tc>
          <w:tcPr>
            <w:tcW w:w="181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Additional</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0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Other</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412" w:type="dxa"/>
            <w:tcBorders/>
            <w:shd w:fill="FFFFFF" w:val="clear"/>
            <w:vAlign w:val="center"/>
          </w:tcPr>
          <w:p>
            <w:pPr>
              <w:pStyle w:val="TableContents"/>
              <w:bidi w:val="0"/>
              <w:spacing w:before="0" w:after="283"/>
              <w:jc w:val="center"/>
              <w:rPr/>
            </w:pPr>
            <w:r>
              <w:rPr/>
              <w:t> </w:t>
            </w:r>
          </w:p>
        </w:tc>
      </w:tr>
      <w:tr>
        <w:trPr/>
        <w:tc>
          <w:tcPr>
            <w:tcW w:w="181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Paid-In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0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Stockholders’</w:t>
            </w:r>
          </w:p>
        </w:tc>
        <w:tc>
          <w:tcPr>
            <w:tcW w:w="412" w:type="dxa"/>
            <w:tcBorders/>
            <w:shd w:fill="FFFFFF" w:val="clear"/>
            <w:vAlign w:val="center"/>
          </w:tcPr>
          <w:p>
            <w:pPr>
              <w:pStyle w:val="TableContents"/>
              <w:bidi w:val="0"/>
              <w:spacing w:before="0" w:after="283"/>
              <w:jc w:val="center"/>
              <w:rPr/>
            </w:pPr>
            <w:r>
              <w:rPr/>
              <w:t> </w:t>
            </w:r>
          </w:p>
        </w:tc>
      </w:tr>
      <w:tr>
        <w:trPr/>
        <w:tc>
          <w:tcPr>
            <w:tcW w:w="181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Equity</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15"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Balances at January 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8,159,382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44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72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247,762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93"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(237,422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472"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34"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6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10,348</w:t>
            </w:r>
          </w:p>
        </w:tc>
        <w:tc>
          <w:tcPr>
            <w:tcW w:w="412" w:type="dxa"/>
            <w:tcBorders/>
            <w:shd w:fill="CFF0FC" w:val="clear"/>
            <w:vAlign w:val="center"/>
          </w:tcPr>
          <w:p>
            <w:pPr>
              <w:pStyle w:val="TableContents"/>
              <w:bidi w:val="0"/>
              <w:spacing w:before="0" w:after="283"/>
              <w:ind w:left="0" w:right="0" w:firstLine="200"/>
              <w:jc w:val="left"/>
              <w:rPr/>
            </w:pPr>
            <w:r>
              <w:rPr/>
              <w:t> </w:t>
            </w:r>
          </w:p>
        </w:tc>
      </w:tr>
      <w:tr>
        <w:trPr/>
        <w:tc>
          <w:tcPr>
            <w:tcW w:w="1815"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44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495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72"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495</w:t>
            </w:r>
          </w:p>
        </w:tc>
        <w:tc>
          <w:tcPr>
            <w:tcW w:w="412" w:type="dxa"/>
            <w:tcBorders/>
            <w:shd w:fill="FFFFFF" w:val="clear"/>
            <w:vAlign w:val="center"/>
          </w:tcPr>
          <w:p>
            <w:pPr>
              <w:pStyle w:val="TableContents"/>
              <w:bidi w:val="0"/>
              <w:spacing w:before="0" w:after="283"/>
              <w:ind w:left="0" w:right="0" w:firstLine="200"/>
              <w:jc w:val="left"/>
              <w:rPr/>
            </w:pPr>
            <w:r>
              <w:rPr/>
              <w:t> </w:t>
            </w:r>
          </w:p>
        </w:tc>
      </w:tr>
      <w:tr>
        <w:trPr/>
        <w:tc>
          <w:tcPr>
            <w:tcW w:w="1815"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Issuance of restricted stock units under equity incentive plan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9,534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pPr>
            <w:r>
              <w:rPr/>
              <w:t> </w:t>
            </w:r>
          </w:p>
        </w:tc>
        <w:tc>
          <w:tcPr>
            <w:tcW w:w="44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136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72"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86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136</w:t>
            </w:r>
          </w:p>
        </w:tc>
        <w:tc>
          <w:tcPr>
            <w:tcW w:w="412" w:type="dxa"/>
            <w:tcBorders/>
            <w:shd w:fill="CFF0FC" w:val="clear"/>
            <w:vAlign w:val="center"/>
          </w:tcPr>
          <w:p>
            <w:pPr>
              <w:pStyle w:val="TableContents"/>
              <w:bidi w:val="0"/>
              <w:spacing w:before="0" w:after="283"/>
              <w:ind w:left="0" w:right="0" w:firstLine="200"/>
              <w:jc w:val="left"/>
              <w:rPr/>
            </w:pPr>
            <w:r>
              <w:rPr/>
              <w:t> </w:t>
            </w:r>
          </w:p>
        </w:tc>
      </w:tr>
      <w:tr>
        <w:trPr/>
        <w:tc>
          <w:tcPr>
            <w:tcW w:w="1815"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Tax withholding payments for net share-settled equity awards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(128</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44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72"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412" w:type="dxa"/>
            <w:tcBorders/>
            <w:shd w:fill="FFFFFF" w:val="clear"/>
            <w:vAlign w:val="center"/>
          </w:tcPr>
          <w:p>
            <w:pPr>
              <w:pStyle w:val="TableContents"/>
              <w:bidi w:val="0"/>
              <w:spacing w:before="0" w:after="283"/>
              <w:ind w:left="0" w:right="0" w:firstLine="200"/>
              <w:jc w:val="left"/>
              <w:rPr/>
            </w:pPr>
            <w:r>
              <w:rPr/>
              <w:t> </w:t>
            </w:r>
          </w:p>
        </w:tc>
      </w:tr>
      <w:tr>
        <w:trPr/>
        <w:tc>
          <w:tcPr>
            <w:tcW w:w="1815"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Foreign currency translation adjustment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pPr>
            <w:r>
              <w:rPr/>
              <w:t> </w:t>
            </w:r>
          </w:p>
        </w:tc>
        <w:tc>
          <w:tcPr>
            <w:tcW w:w="44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72"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86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16</w:t>
            </w:r>
          </w:p>
        </w:tc>
        <w:tc>
          <w:tcPr>
            <w:tcW w:w="412" w:type="dxa"/>
            <w:tcBorders/>
            <w:shd w:fill="CFF0FC" w:val="clear"/>
            <w:vAlign w:val="center"/>
          </w:tcPr>
          <w:p>
            <w:pPr>
              <w:pStyle w:val="TableContents"/>
              <w:bidi w:val="0"/>
              <w:spacing w:before="0" w:after="283"/>
              <w:ind w:left="0" w:right="0" w:firstLine="200"/>
              <w:jc w:val="left"/>
              <w:rPr/>
            </w:pPr>
            <w:r>
              <w:rPr/>
              <w:t> </w:t>
            </w:r>
          </w:p>
        </w:tc>
      </w:tr>
      <w:tr>
        <w:trPr/>
        <w:tc>
          <w:tcPr>
            <w:tcW w:w="1815"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(8,356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right"/>
              <w:rPr/>
            </w:pPr>
            <w:r>
              <w:rPr/>
              <w:t> </w:t>
            </w:r>
          </w:p>
        </w:tc>
        <w:tc>
          <w:tcPr>
            <w:tcW w:w="4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(8,356</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1815"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Balances at March 31,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8,168,788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pPr>
            <w:r>
              <w:rPr/>
              <w:t> </w:t>
            </w:r>
          </w:p>
        </w:tc>
        <w:tc>
          <w:tcPr>
            <w:tcW w:w="44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248,393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(245,778</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472"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86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2,639</w:t>
            </w:r>
          </w:p>
        </w:tc>
        <w:tc>
          <w:tcPr>
            <w:tcW w:w="412" w:type="dxa"/>
            <w:tcBorders/>
            <w:shd w:fill="CFF0FC" w:val="clear"/>
            <w:vAlign w:val="center"/>
          </w:tcPr>
          <w:p>
            <w:pPr>
              <w:pStyle w:val="TableContents"/>
              <w:bidi w:val="0"/>
              <w:spacing w:before="0" w:after="283"/>
              <w:ind w:left="0" w:right="0" w:firstLine="200"/>
              <w:jc w:val="left"/>
              <w:rPr/>
            </w:pPr>
            <w:r>
              <w:rPr/>
              <w:t> </w:t>
            </w:r>
          </w:p>
        </w:tc>
      </w:tr>
      <w:tr>
        <w:trPr/>
        <w:tc>
          <w:tcPr>
            <w:tcW w:w="1815"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44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1,204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72"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1,204</w:t>
            </w:r>
          </w:p>
        </w:tc>
        <w:tc>
          <w:tcPr>
            <w:tcW w:w="412" w:type="dxa"/>
            <w:tcBorders/>
            <w:shd w:fill="FFFFFF" w:val="clear"/>
            <w:vAlign w:val="center"/>
          </w:tcPr>
          <w:p>
            <w:pPr>
              <w:pStyle w:val="TableContents"/>
              <w:bidi w:val="0"/>
              <w:spacing w:before="0" w:after="283"/>
              <w:ind w:left="0" w:right="0" w:firstLine="200"/>
              <w:jc w:val="left"/>
              <w:rPr/>
            </w:pPr>
            <w:r>
              <w:rPr/>
              <w:t> </w:t>
            </w:r>
          </w:p>
        </w:tc>
      </w:tr>
      <w:tr>
        <w:trPr/>
        <w:tc>
          <w:tcPr>
            <w:tcW w:w="1815"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Issuance of common stock warrants, net of issuance costs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pPr>
            <w:r>
              <w:rPr/>
              <w:t> </w:t>
            </w:r>
          </w:p>
        </w:tc>
        <w:tc>
          <w:tcPr>
            <w:tcW w:w="44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9,973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72"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86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9,973</w:t>
            </w:r>
          </w:p>
        </w:tc>
        <w:tc>
          <w:tcPr>
            <w:tcW w:w="412" w:type="dxa"/>
            <w:tcBorders/>
            <w:shd w:fill="CFF0FC" w:val="clear"/>
            <w:vAlign w:val="center"/>
          </w:tcPr>
          <w:p>
            <w:pPr>
              <w:pStyle w:val="TableContents"/>
              <w:bidi w:val="0"/>
              <w:spacing w:before="0" w:after="283"/>
              <w:ind w:left="0" w:right="0" w:firstLine="200"/>
              <w:jc w:val="left"/>
              <w:rPr/>
            </w:pPr>
            <w:r>
              <w:rPr/>
              <w:t> </w:t>
            </w:r>
          </w:p>
        </w:tc>
      </w:tr>
      <w:tr>
        <w:trPr/>
        <w:tc>
          <w:tcPr>
            <w:tcW w:w="1815"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Sale of common stock, net of costs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1,772,397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44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7,099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72"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7,101</w:t>
            </w:r>
          </w:p>
        </w:tc>
        <w:tc>
          <w:tcPr>
            <w:tcW w:w="412" w:type="dxa"/>
            <w:tcBorders/>
            <w:shd w:fill="FFFFFF" w:val="clear"/>
            <w:vAlign w:val="center"/>
          </w:tcPr>
          <w:p>
            <w:pPr>
              <w:pStyle w:val="TableContents"/>
              <w:bidi w:val="0"/>
              <w:spacing w:before="0" w:after="283"/>
              <w:ind w:left="0" w:right="0" w:firstLine="200"/>
              <w:jc w:val="left"/>
              <w:rPr/>
            </w:pPr>
            <w:r>
              <w:rPr/>
              <w:t> </w:t>
            </w:r>
          </w:p>
        </w:tc>
      </w:tr>
      <w:tr>
        <w:trPr/>
        <w:tc>
          <w:tcPr>
            <w:tcW w:w="1815"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Foreign currency translation adjustment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pPr>
            <w:r>
              <w:rPr/>
              <w:t> </w:t>
            </w:r>
          </w:p>
        </w:tc>
        <w:tc>
          <w:tcPr>
            <w:tcW w:w="44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72"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(16</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86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(16</w:t>
            </w:r>
          </w:p>
        </w:tc>
        <w:tc>
          <w:tcPr>
            <w:tcW w:w="412"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w:t>
            </w:r>
          </w:p>
        </w:tc>
      </w:tr>
      <w:tr>
        <w:trPr/>
        <w:tc>
          <w:tcPr>
            <w:tcW w:w="1815"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(8,475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right"/>
              <w:rPr/>
            </w:pPr>
            <w:r>
              <w:rPr/>
              <w:t> </w:t>
            </w:r>
          </w:p>
        </w:tc>
        <w:tc>
          <w:tcPr>
            <w:tcW w:w="4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(8,475</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1815"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Balances at June 30,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9,941,185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pPr>
            <w:r>
              <w:rPr/>
              <w:t> </w:t>
            </w:r>
          </w:p>
        </w:tc>
        <w:tc>
          <w:tcPr>
            <w:tcW w:w="44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266,669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(254,253</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472"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86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12,426</w:t>
            </w:r>
          </w:p>
        </w:tc>
        <w:tc>
          <w:tcPr>
            <w:tcW w:w="412" w:type="dxa"/>
            <w:tcBorders/>
            <w:shd w:fill="CFF0FC" w:val="clear"/>
            <w:vAlign w:val="center"/>
          </w:tcPr>
          <w:p>
            <w:pPr>
              <w:pStyle w:val="TableContents"/>
              <w:bidi w:val="0"/>
              <w:spacing w:before="0" w:after="283"/>
              <w:ind w:left="0" w:right="0" w:firstLine="200"/>
              <w:jc w:val="left"/>
              <w:rPr/>
            </w:pPr>
            <w:r>
              <w:rPr/>
              <w:t> </w:t>
            </w:r>
          </w:p>
        </w:tc>
      </w:tr>
      <w:tr>
        <w:trPr/>
        <w:tc>
          <w:tcPr>
            <w:tcW w:w="1815"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44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2,201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72"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2,201</w:t>
            </w:r>
          </w:p>
        </w:tc>
        <w:tc>
          <w:tcPr>
            <w:tcW w:w="412" w:type="dxa"/>
            <w:tcBorders/>
            <w:shd w:fill="FFFFFF" w:val="clear"/>
            <w:vAlign w:val="center"/>
          </w:tcPr>
          <w:p>
            <w:pPr>
              <w:pStyle w:val="TableContents"/>
              <w:bidi w:val="0"/>
              <w:spacing w:before="0" w:after="283"/>
              <w:ind w:left="0" w:right="0" w:firstLine="200"/>
              <w:jc w:val="left"/>
              <w:rPr/>
            </w:pPr>
            <w:r>
              <w:rPr/>
              <w:t> </w:t>
            </w:r>
          </w:p>
        </w:tc>
      </w:tr>
      <w:tr>
        <w:trPr/>
        <w:tc>
          <w:tcPr>
            <w:tcW w:w="1815"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Exercise of common stock warrants, net of issuance costs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5,522,113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pPr>
            <w:r>
              <w:rPr/>
              <w:t> </w:t>
            </w:r>
          </w:p>
        </w:tc>
        <w:tc>
          <w:tcPr>
            <w:tcW w:w="44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19,440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72"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86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19,445</w:t>
            </w:r>
          </w:p>
        </w:tc>
        <w:tc>
          <w:tcPr>
            <w:tcW w:w="412" w:type="dxa"/>
            <w:tcBorders/>
            <w:shd w:fill="CFF0FC" w:val="clear"/>
            <w:vAlign w:val="center"/>
          </w:tcPr>
          <w:p>
            <w:pPr>
              <w:pStyle w:val="TableContents"/>
              <w:bidi w:val="0"/>
              <w:spacing w:before="0" w:after="283"/>
              <w:ind w:left="0" w:right="0" w:firstLine="200"/>
              <w:jc w:val="left"/>
              <w:rPr/>
            </w:pPr>
            <w:r>
              <w:rPr/>
              <w:t> </w:t>
            </w:r>
          </w:p>
        </w:tc>
      </w:tr>
      <w:tr>
        <w:trPr/>
        <w:tc>
          <w:tcPr>
            <w:tcW w:w="1815"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Exercise of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3,931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44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72"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w:t>
            </w:r>
          </w:p>
        </w:tc>
        <w:tc>
          <w:tcPr>
            <w:tcW w:w="412" w:type="dxa"/>
            <w:tcBorders/>
            <w:shd w:fill="FFFFFF" w:val="clear"/>
            <w:vAlign w:val="center"/>
          </w:tcPr>
          <w:p>
            <w:pPr>
              <w:pStyle w:val="TableContents"/>
              <w:bidi w:val="0"/>
              <w:spacing w:before="0" w:after="283"/>
              <w:ind w:left="0" w:right="0" w:firstLine="200"/>
              <w:jc w:val="left"/>
              <w:rPr/>
            </w:pPr>
            <w:r>
              <w:rPr/>
              <w:t> </w:t>
            </w:r>
          </w:p>
        </w:tc>
      </w:tr>
      <w:tr>
        <w:trPr/>
        <w:tc>
          <w:tcPr>
            <w:tcW w:w="1815"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Foreign currency translation adjustment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pPr>
            <w:r>
              <w:rPr/>
              <w:t> </w:t>
            </w:r>
          </w:p>
        </w:tc>
        <w:tc>
          <w:tcPr>
            <w:tcW w:w="44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72"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86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w:t>
            </w:r>
          </w:p>
        </w:tc>
        <w:tc>
          <w:tcPr>
            <w:tcW w:w="412"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w:t>
            </w:r>
          </w:p>
        </w:tc>
      </w:tr>
      <w:tr>
        <w:trPr/>
        <w:tc>
          <w:tcPr>
            <w:tcW w:w="1815"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(10,861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right"/>
              <w:rPr/>
            </w:pPr>
            <w:r>
              <w:rPr/>
              <w:t> </w:t>
            </w:r>
          </w:p>
        </w:tc>
        <w:tc>
          <w:tcPr>
            <w:tcW w:w="4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(10,861</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1815"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Balances at September 30,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15,467,229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4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288,320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(265,114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4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23,220</w:t>
            </w:r>
          </w:p>
        </w:tc>
        <w:tc>
          <w:tcPr>
            <w:tcW w:w="412"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815" w:type="dxa"/>
            <w:tcBorders/>
            <w:shd w:fill="FFFFFF" w:val="clear"/>
            <w:vAlign w:val="center"/>
          </w:tcPr>
          <w:p>
            <w:pPr>
              <w:pStyle w:val="TableContents"/>
              <w:bidi w:val="0"/>
              <w:spacing w:before="0" w:after="283"/>
              <w:ind w:left="200" w:right="0" w:firstLine="2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0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6" w:type="dxa"/>
            <w:gridSpan w:val="2"/>
            <w:tcBorders/>
            <w:shd w:fill="FFFFFF" w:val="clear"/>
            <w:vAlign w:val="center"/>
          </w:tcPr>
          <w:p>
            <w:pPr>
              <w:pStyle w:val="TableContents"/>
              <w:bidi w:val="0"/>
              <w:spacing w:before="0" w:after="283"/>
              <w:jc w:val="left"/>
              <w:rPr/>
            </w:pPr>
            <w:r>
              <w:rPr/>
              <w:t> </w:t>
            </w:r>
          </w:p>
        </w:tc>
        <w:tc>
          <w:tcPr>
            <w:tcW w:w="412" w:type="dxa"/>
            <w:tcBorders/>
            <w:shd w:fill="FFFFFF" w:val="clear"/>
            <w:vAlign w:val="center"/>
          </w:tcPr>
          <w:p>
            <w:pPr>
              <w:pStyle w:val="TableContents"/>
              <w:bidi w:val="0"/>
              <w:spacing w:before="0" w:after="283"/>
              <w:ind w:left="0" w:right="0" w:firstLine="200"/>
              <w:jc w:val="left"/>
              <w:rPr/>
            </w:pPr>
            <w:r>
              <w:rPr/>
              <w:t> </w:t>
            </w:r>
          </w:p>
        </w:tc>
      </w:tr>
      <w:tr>
        <w:trPr/>
        <w:tc>
          <w:tcPr>
            <w:tcW w:w="1815" w:type="dxa"/>
            <w:tcBorders/>
            <w:shd w:fill="FFFFFF" w:val="clear"/>
            <w:vAlign w:val="center"/>
          </w:tcPr>
          <w:p>
            <w:pPr>
              <w:pStyle w:val="TableContents"/>
              <w:bidi w:val="0"/>
              <w:spacing w:before="0" w:after="283"/>
              <w:ind w:left="200" w:right="0" w:firstLine="2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Additional</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0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Other</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412" w:type="dxa"/>
            <w:tcBorders/>
            <w:shd w:fill="FFFFFF" w:val="clear"/>
            <w:vAlign w:val="center"/>
          </w:tcPr>
          <w:p>
            <w:pPr>
              <w:pStyle w:val="TableContents"/>
              <w:bidi w:val="0"/>
              <w:spacing w:before="0" w:after="283"/>
              <w:jc w:val="center"/>
              <w:rPr/>
            </w:pPr>
            <w:r>
              <w:rPr/>
              <w:t> </w:t>
            </w:r>
          </w:p>
        </w:tc>
      </w:tr>
      <w:tr>
        <w:trPr/>
        <w:tc>
          <w:tcPr>
            <w:tcW w:w="181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Paid-In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0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Stockholders’</w:t>
            </w:r>
          </w:p>
        </w:tc>
        <w:tc>
          <w:tcPr>
            <w:tcW w:w="412" w:type="dxa"/>
            <w:tcBorders/>
            <w:shd w:fill="FFFFFF" w:val="clear"/>
            <w:vAlign w:val="center"/>
          </w:tcPr>
          <w:p>
            <w:pPr>
              <w:pStyle w:val="TableContents"/>
              <w:bidi w:val="0"/>
              <w:spacing w:before="0" w:after="283"/>
              <w:jc w:val="center"/>
              <w:rPr/>
            </w:pPr>
            <w:r>
              <w:rPr/>
              <w:t> </w:t>
            </w:r>
          </w:p>
        </w:tc>
      </w:tr>
      <w:tr>
        <w:trPr/>
        <w:tc>
          <w:tcPr>
            <w:tcW w:w="181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Equity</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15"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Balances at January 1, 2022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5,324,287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44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72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231,143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93"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(213,355</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right"/>
              <w:rPr/>
            </w:pPr>
            <w:r>
              <w:rPr/>
              <w:t> </w:t>
            </w:r>
          </w:p>
        </w:tc>
        <w:tc>
          <w:tcPr>
            <w:tcW w:w="472"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34"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6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17,793</w:t>
            </w:r>
          </w:p>
        </w:tc>
        <w:tc>
          <w:tcPr>
            <w:tcW w:w="412" w:type="dxa"/>
            <w:tcBorders/>
            <w:shd w:fill="FFFFFF" w:val="clear"/>
            <w:vAlign w:val="center"/>
          </w:tcPr>
          <w:p>
            <w:pPr>
              <w:pStyle w:val="TableContents"/>
              <w:bidi w:val="0"/>
              <w:spacing w:before="0" w:after="283"/>
              <w:ind w:left="0" w:right="0" w:firstLine="200"/>
              <w:jc w:val="left"/>
              <w:rPr/>
            </w:pPr>
            <w:r>
              <w:rPr/>
              <w:t> </w:t>
            </w:r>
          </w:p>
        </w:tc>
      </w:tr>
      <w:tr>
        <w:trPr/>
        <w:tc>
          <w:tcPr>
            <w:tcW w:w="1815"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Stock-based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pPr>
            <w:r>
              <w:rPr/>
              <w:t> </w:t>
            </w:r>
          </w:p>
        </w:tc>
        <w:tc>
          <w:tcPr>
            <w:tcW w:w="44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464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72"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86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464</w:t>
            </w:r>
          </w:p>
        </w:tc>
        <w:tc>
          <w:tcPr>
            <w:tcW w:w="412" w:type="dxa"/>
            <w:tcBorders/>
            <w:shd w:fill="CFF0FC" w:val="clear"/>
            <w:vAlign w:val="center"/>
          </w:tcPr>
          <w:p>
            <w:pPr>
              <w:pStyle w:val="TableContents"/>
              <w:bidi w:val="0"/>
              <w:spacing w:before="0" w:after="283"/>
              <w:ind w:left="0" w:right="0" w:firstLine="200"/>
              <w:jc w:val="left"/>
              <w:rPr/>
            </w:pPr>
            <w:r>
              <w:rPr/>
              <w:t> </w:t>
            </w:r>
          </w:p>
        </w:tc>
      </w:tr>
      <w:tr>
        <w:trPr/>
        <w:tc>
          <w:tcPr>
            <w:tcW w:w="1815"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Issuance of restricted stock units under equity incentive plan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18,650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44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180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72"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180</w:t>
            </w:r>
          </w:p>
        </w:tc>
        <w:tc>
          <w:tcPr>
            <w:tcW w:w="412" w:type="dxa"/>
            <w:tcBorders/>
            <w:shd w:fill="FFFFFF" w:val="clear"/>
            <w:vAlign w:val="center"/>
          </w:tcPr>
          <w:p>
            <w:pPr>
              <w:pStyle w:val="TableContents"/>
              <w:bidi w:val="0"/>
              <w:spacing w:before="0" w:after="283"/>
              <w:ind w:left="0" w:right="0" w:firstLine="200"/>
              <w:jc w:val="left"/>
              <w:rPr/>
            </w:pPr>
            <w:r>
              <w:rPr/>
              <w:t> </w:t>
            </w:r>
          </w:p>
        </w:tc>
      </w:tr>
      <w:tr>
        <w:trPr/>
        <w:tc>
          <w:tcPr>
            <w:tcW w:w="1815"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Tax withholding payments for net share-settled equity awards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(3,683</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pPr>
            <w:r>
              <w:rPr/>
              <w:t> </w:t>
            </w:r>
          </w:p>
        </w:tc>
        <w:tc>
          <w:tcPr>
            <w:tcW w:w="44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(16</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72"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86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(16</w:t>
            </w:r>
          </w:p>
        </w:tc>
        <w:tc>
          <w:tcPr>
            <w:tcW w:w="412"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w:t>
            </w:r>
          </w:p>
        </w:tc>
      </w:tr>
      <w:tr>
        <w:trPr/>
        <w:tc>
          <w:tcPr>
            <w:tcW w:w="1815"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Sale of common stock and pre-funded warrants in public offering, net of costs of $1,034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2,666,667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44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13,763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72"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13,766</w:t>
            </w:r>
          </w:p>
        </w:tc>
        <w:tc>
          <w:tcPr>
            <w:tcW w:w="412" w:type="dxa"/>
            <w:tcBorders/>
            <w:shd w:fill="FFFFFF" w:val="clear"/>
            <w:vAlign w:val="center"/>
          </w:tcPr>
          <w:p>
            <w:pPr>
              <w:pStyle w:val="TableContents"/>
              <w:bidi w:val="0"/>
              <w:spacing w:before="0" w:after="283"/>
              <w:ind w:left="0" w:right="0" w:firstLine="200"/>
              <w:jc w:val="left"/>
              <w:rPr/>
            </w:pPr>
            <w:r>
              <w:rPr/>
              <w:t> </w:t>
            </w:r>
          </w:p>
        </w:tc>
      </w:tr>
      <w:tr>
        <w:trPr/>
        <w:tc>
          <w:tcPr>
            <w:tcW w:w="1815"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Foreign currency translation adjustment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pPr>
            <w:r>
              <w:rPr/>
              <w:t> </w:t>
            </w:r>
          </w:p>
        </w:tc>
        <w:tc>
          <w:tcPr>
            <w:tcW w:w="44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72"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86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w:t>
            </w:r>
          </w:p>
        </w:tc>
        <w:tc>
          <w:tcPr>
            <w:tcW w:w="412"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w:t>
            </w:r>
          </w:p>
        </w:tc>
      </w:tr>
      <w:tr>
        <w:trPr/>
        <w:tc>
          <w:tcPr>
            <w:tcW w:w="1815"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(5,724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right"/>
              <w:rPr/>
            </w:pPr>
            <w:r>
              <w:rPr/>
              <w:t> </w:t>
            </w:r>
          </w:p>
        </w:tc>
        <w:tc>
          <w:tcPr>
            <w:tcW w:w="4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(5,724</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1815"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Balances at March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8,005,921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pPr>
            <w:r>
              <w:rPr/>
              <w:t> </w:t>
            </w:r>
          </w:p>
        </w:tc>
        <w:tc>
          <w:tcPr>
            <w:tcW w:w="44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245,534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(219,079</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472"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86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26,461</w:t>
            </w:r>
          </w:p>
        </w:tc>
        <w:tc>
          <w:tcPr>
            <w:tcW w:w="412" w:type="dxa"/>
            <w:tcBorders/>
            <w:shd w:fill="CFF0FC" w:val="clear"/>
            <w:vAlign w:val="center"/>
          </w:tcPr>
          <w:p>
            <w:pPr>
              <w:pStyle w:val="TableContents"/>
              <w:bidi w:val="0"/>
              <w:spacing w:before="0" w:after="283"/>
              <w:ind w:left="0" w:right="0" w:firstLine="200"/>
              <w:jc w:val="left"/>
              <w:rPr/>
            </w:pPr>
            <w:r>
              <w:rPr/>
              <w:t> </w:t>
            </w:r>
          </w:p>
        </w:tc>
      </w:tr>
      <w:tr>
        <w:trPr/>
        <w:tc>
          <w:tcPr>
            <w:tcW w:w="1815"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44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571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72"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571</w:t>
            </w:r>
          </w:p>
        </w:tc>
        <w:tc>
          <w:tcPr>
            <w:tcW w:w="412" w:type="dxa"/>
            <w:tcBorders/>
            <w:shd w:fill="FFFFFF" w:val="clear"/>
            <w:vAlign w:val="center"/>
          </w:tcPr>
          <w:p>
            <w:pPr>
              <w:pStyle w:val="TableContents"/>
              <w:bidi w:val="0"/>
              <w:spacing w:before="0" w:after="283"/>
              <w:ind w:left="0" w:right="0" w:firstLine="200"/>
              <w:jc w:val="left"/>
              <w:rPr/>
            </w:pPr>
            <w:r>
              <w:rPr/>
              <w:t> </w:t>
            </w:r>
          </w:p>
        </w:tc>
      </w:tr>
      <w:tr>
        <w:trPr/>
        <w:tc>
          <w:tcPr>
            <w:tcW w:w="1815"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Foreign currency translation adjustment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pPr>
            <w:r>
              <w:rPr/>
              <w:t> </w:t>
            </w:r>
          </w:p>
        </w:tc>
        <w:tc>
          <w:tcPr>
            <w:tcW w:w="44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72"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86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w:t>
            </w:r>
          </w:p>
        </w:tc>
        <w:tc>
          <w:tcPr>
            <w:tcW w:w="412" w:type="dxa"/>
            <w:tcBorders/>
            <w:shd w:fill="CFF0FC" w:val="clear"/>
            <w:vAlign w:val="center"/>
          </w:tcPr>
          <w:p>
            <w:pPr>
              <w:pStyle w:val="TableContents"/>
              <w:bidi w:val="0"/>
              <w:spacing w:before="0" w:after="283"/>
              <w:ind w:left="0" w:right="0" w:firstLine="200"/>
              <w:jc w:val="left"/>
              <w:rPr/>
            </w:pPr>
            <w:r>
              <w:rPr/>
              <w:t> </w:t>
            </w:r>
          </w:p>
        </w:tc>
      </w:tr>
      <w:tr>
        <w:trPr/>
        <w:tc>
          <w:tcPr>
            <w:tcW w:w="1815"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(6,725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right"/>
              <w:rPr/>
            </w:pPr>
            <w:r>
              <w:rPr/>
              <w:t> </w:t>
            </w:r>
          </w:p>
        </w:tc>
        <w:tc>
          <w:tcPr>
            <w:tcW w:w="4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(6,725</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1815"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Balances at June 30,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8,005,921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pPr>
            <w:r>
              <w:rPr/>
              <w:t> </w:t>
            </w:r>
          </w:p>
        </w:tc>
        <w:tc>
          <w:tcPr>
            <w:tcW w:w="44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246,105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(225,804</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472"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86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20,308</w:t>
            </w:r>
          </w:p>
        </w:tc>
        <w:tc>
          <w:tcPr>
            <w:tcW w:w="412" w:type="dxa"/>
            <w:tcBorders/>
            <w:shd w:fill="CFF0FC" w:val="clear"/>
            <w:vAlign w:val="center"/>
          </w:tcPr>
          <w:p>
            <w:pPr>
              <w:pStyle w:val="TableContents"/>
              <w:bidi w:val="0"/>
              <w:spacing w:before="0" w:after="283"/>
              <w:ind w:left="0" w:right="0" w:firstLine="200"/>
              <w:jc w:val="left"/>
              <w:rPr/>
            </w:pPr>
            <w:r>
              <w:rPr/>
              <w:t> </w:t>
            </w:r>
          </w:p>
        </w:tc>
      </w:tr>
      <w:tr>
        <w:trPr/>
        <w:tc>
          <w:tcPr>
            <w:tcW w:w="1815"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44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683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72"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683</w:t>
            </w:r>
          </w:p>
        </w:tc>
        <w:tc>
          <w:tcPr>
            <w:tcW w:w="412" w:type="dxa"/>
            <w:tcBorders/>
            <w:shd w:fill="FFFFFF" w:val="clear"/>
            <w:vAlign w:val="center"/>
          </w:tcPr>
          <w:p>
            <w:pPr>
              <w:pStyle w:val="TableContents"/>
              <w:bidi w:val="0"/>
              <w:spacing w:before="0" w:after="283"/>
              <w:ind w:left="0" w:right="0" w:firstLine="200"/>
              <w:jc w:val="left"/>
              <w:rPr/>
            </w:pPr>
            <w:r>
              <w:rPr/>
              <w:t> </w:t>
            </w:r>
          </w:p>
        </w:tc>
      </w:tr>
      <w:tr>
        <w:trPr/>
        <w:tc>
          <w:tcPr>
            <w:tcW w:w="1815"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Sale of common stock, net of costs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104,773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pPr>
            <w:r>
              <w:rPr/>
              <w:t> </w:t>
            </w:r>
          </w:p>
        </w:tc>
        <w:tc>
          <w:tcPr>
            <w:tcW w:w="44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342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72"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86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342</w:t>
            </w:r>
          </w:p>
        </w:tc>
        <w:tc>
          <w:tcPr>
            <w:tcW w:w="412" w:type="dxa"/>
            <w:tcBorders/>
            <w:shd w:fill="CFF0FC" w:val="clear"/>
            <w:vAlign w:val="center"/>
          </w:tcPr>
          <w:p>
            <w:pPr>
              <w:pStyle w:val="TableContents"/>
              <w:bidi w:val="0"/>
              <w:spacing w:before="0" w:after="283"/>
              <w:ind w:left="0" w:right="0" w:firstLine="200"/>
              <w:jc w:val="left"/>
              <w:rPr/>
            </w:pPr>
            <w:r>
              <w:rPr/>
              <w:t> </w:t>
            </w:r>
          </w:p>
        </w:tc>
      </w:tr>
      <w:tr>
        <w:trPr/>
        <w:tc>
          <w:tcPr>
            <w:tcW w:w="1815"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Exercise of common stock warrants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48,688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44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72"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412" w:type="dxa"/>
            <w:tcBorders/>
            <w:shd w:fill="FFFFFF" w:val="clear"/>
            <w:vAlign w:val="center"/>
          </w:tcPr>
          <w:p>
            <w:pPr>
              <w:pStyle w:val="TableContents"/>
              <w:bidi w:val="0"/>
              <w:spacing w:before="0" w:after="283"/>
              <w:ind w:left="0" w:right="0" w:firstLine="200"/>
              <w:jc w:val="left"/>
              <w:rPr/>
            </w:pPr>
            <w:r>
              <w:rPr/>
              <w:t> </w:t>
            </w:r>
          </w:p>
        </w:tc>
      </w:tr>
      <w:tr>
        <w:trPr/>
        <w:tc>
          <w:tcPr>
            <w:tcW w:w="1815"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Foreign currency translation adjustment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pPr>
            <w:r>
              <w:rPr/>
              <w:t> </w:t>
            </w:r>
          </w:p>
        </w:tc>
        <w:tc>
          <w:tcPr>
            <w:tcW w:w="44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72"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86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w:t>
            </w:r>
          </w:p>
        </w:tc>
        <w:tc>
          <w:tcPr>
            <w:tcW w:w="412"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w:t>
            </w:r>
          </w:p>
        </w:tc>
      </w:tr>
      <w:tr>
        <w:trPr/>
        <w:tc>
          <w:tcPr>
            <w:tcW w:w="1815"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(6,132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right"/>
              <w:rPr/>
            </w:pPr>
            <w:r>
              <w:rPr/>
              <w:t> </w:t>
            </w:r>
          </w:p>
        </w:tc>
        <w:tc>
          <w:tcPr>
            <w:tcW w:w="4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(6,132</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1815"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Balances at September 30, 2022</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8,159,382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4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247,130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(231,936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4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15,200</w:t>
            </w:r>
          </w:p>
        </w:tc>
        <w:tc>
          <w:tcPr>
            <w:tcW w:w="4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val="false"/>
          <w:i/>
          <w:color w:val="000000"/>
          <w:sz w:val="20"/>
        </w:rPr>
        <w:t>See accompanying notes to condensed consolidated financial statements</w:t>
      </w:r>
      <w:r>
        <w:rPr>
          <w:rFonts w:ascii="Times New Roman" w:hAnsi="Times New Roman"/>
          <w:color w:val="000000"/>
          <w:sz w:val="20"/>
        </w:rPr>
        <w:t xml:space="preserve">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Soleno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8" w:name="cndnsd_cnsolidated_statements_cash_flows"/>
      <w:bookmarkEnd w:id="8"/>
      <w:r>
        <w:rPr>
          <w:rFonts w:ascii="Times New Roman" w:hAnsi="Times New Roman"/>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val="false"/>
          <w:i/>
          <w:color w:val="000000"/>
          <w:sz w:val="20"/>
        </w:rPr>
        <w:t>(in thousands)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722"/>
        <w:gridCol w:w="146"/>
        <w:gridCol w:w="241"/>
        <w:gridCol w:w="843"/>
        <w:gridCol w:w="189"/>
        <w:gridCol w:w="166"/>
        <w:gridCol w:w="241"/>
        <w:gridCol w:w="843"/>
        <w:gridCol w:w="814"/>
      </w:tblGrid>
      <w:tr>
        <w:trPr/>
        <w:tc>
          <w:tcPr>
            <w:tcW w:w="67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r>
      <w:tr>
        <w:trPr/>
        <w:tc>
          <w:tcPr>
            <w:tcW w:w="672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2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2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left"/>
              <w:rPr/>
            </w:pPr>
            <w:r>
              <w:rPr/>
              <w:t> </w:t>
            </w:r>
          </w:p>
        </w:tc>
        <w:tc>
          <w:tcPr>
            <w:tcW w:w="10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2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vAlign w:val="center"/>
          </w:tcPr>
          <w:p>
            <w:pPr>
              <w:pStyle w:val="TableContents"/>
              <w:bidi w:val="0"/>
              <w:spacing w:before="0" w:after="283"/>
              <w:jc w:val="left"/>
              <w:rPr/>
            </w:pPr>
            <w:r>
              <w:rPr/>
              <w:t> </w:t>
            </w:r>
          </w:p>
        </w:tc>
        <w:tc>
          <w:tcPr>
            <w:tcW w:w="1084" w:type="dxa"/>
            <w:gridSpan w:val="2"/>
            <w:tcBorders/>
            <w:shd w:fill="CFF0FC" w:val="clear"/>
            <w:vAlign w:val="center"/>
          </w:tcPr>
          <w:p>
            <w:pPr>
              <w:pStyle w:val="TableContents"/>
              <w:bidi w:val="0"/>
              <w:spacing w:before="0" w:after="283"/>
              <w:jc w:val="right"/>
              <w:rPr/>
            </w:pPr>
            <w:r>
              <w:rPr/>
              <w:t> </w:t>
            </w:r>
          </w:p>
        </w:tc>
        <w:tc>
          <w:tcPr>
            <w:tcW w:w="189"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1084" w:type="dxa"/>
            <w:gridSpan w:val="2"/>
            <w:tcBorders/>
            <w:shd w:fill="CFF0FC" w:val="clear"/>
            <w:vAlign w:val="center"/>
          </w:tcPr>
          <w:p>
            <w:pPr>
              <w:pStyle w:val="TableContents"/>
              <w:bidi w:val="0"/>
              <w:spacing w:before="0" w:after="283"/>
              <w:jc w:val="right"/>
              <w:rPr/>
            </w:pPr>
            <w:r>
              <w:rPr/>
              <w:t> </w:t>
            </w:r>
          </w:p>
        </w:tc>
        <w:tc>
          <w:tcPr>
            <w:tcW w:w="814" w:type="dxa"/>
            <w:tcBorders/>
            <w:shd w:fill="CFF0FC" w:val="clear"/>
            <w:vAlign w:val="center"/>
          </w:tcPr>
          <w:p>
            <w:pPr>
              <w:pStyle w:val="TableContents"/>
              <w:bidi w:val="0"/>
              <w:spacing w:before="0" w:after="283"/>
              <w:jc w:val="right"/>
              <w:rPr/>
            </w:pPr>
            <w:r>
              <w:rPr/>
              <w:t> </w:t>
            </w:r>
          </w:p>
        </w:tc>
      </w:tr>
      <w:tr>
        <w:trPr/>
        <w:tc>
          <w:tcPr>
            <w:tcW w:w="672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(27,692</w:t>
            </w:r>
          </w:p>
        </w:tc>
        <w:tc>
          <w:tcPr>
            <w:tcW w:w="18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(18,581</w:t>
            </w:r>
          </w:p>
        </w:tc>
        <w:tc>
          <w:tcPr>
            <w:tcW w:w="81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72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Adjustments to reconcile net loss to 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1084" w:type="dxa"/>
            <w:gridSpan w:val="2"/>
            <w:tcBorders/>
            <w:shd w:fill="CFF0FC" w:val="clear"/>
            <w:vAlign w:val="center"/>
          </w:tcPr>
          <w:p>
            <w:pPr>
              <w:pStyle w:val="TableContents"/>
              <w:bidi w:val="0"/>
              <w:spacing w:before="0" w:after="283"/>
              <w:jc w:val="right"/>
              <w:rPr/>
            </w:pPr>
            <w:r>
              <w:rPr/>
              <w:t> </w:t>
            </w:r>
          </w:p>
        </w:tc>
        <w:tc>
          <w:tcPr>
            <w:tcW w:w="189"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1084" w:type="dxa"/>
            <w:gridSpan w:val="2"/>
            <w:tcBorders/>
            <w:shd w:fill="CFF0FC" w:val="clear"/>
            <w:vAlign w:val="center"/>
          </w:tcPr>
          <w:p>
            <w:pPr>
              <w:pStyle w:val="TableContents"/>
              <w:bidi w:val="0"/>
              <w:spacing w:before="0" w:after="283"/>
              <w:jc w:val="right"/>
              <w:rPr/>
            </w:pPr>
            <w:r>
              <w:rPr/>
              <w:t> </w:t>
            </w:r>
          </w:p>
        </w:tc>
        <w:tc>
          <w:tcPr>
            <w:tcW w:w="814" w:type="dxa"/>
            <w:tcBorders/>
            <w:shd w:fill="CFF0FC" w:val="clear"/>
            <w:vAlign w:val="center"/>
          </w:tcPr>
          <w:p>
            <w:pPr>
              <w:pStyle w:val="TableContents"/>
              <w:bidi w:val="0"/>
              <w:spacing w:before="0" w:after="283"/>
              <w:ind w:left="0" w:right="0" w:firstLine="200"/>
              <w:jc w:val="right"/>
              <w:rPr/>
            </w:pPr>
            <w:r>
              <w:rPr/>
              <w:t> </w:t>
            </w:r>
          </w:p>
        </w:tc>
      </w:tr>
      <w:tr>
        <w:trPr/>
        <w:tc>
          <w:tcPr>
            <w:tcW w:w="6722"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84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1,469</w:t>
            </w:r>
          </w:p>
        </w:tc>
        <w:tc>
          <w:tcPr>
            <w:tcW w:w="189"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84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1,476</w:t>
            </w:r>
          </w:p>
        </w:tc>
        <w:tc>
          <w:tcPr>
            <w:tcW w:w="814" w:type="dxa"/>
            <w:tcBorders/>
            <w:shd w:fill="FFFFFF" w:val="clear"/>
            <w:vAlign w:val="center"/>
          </w:tcPr>
          <w:p>
            <w:pPr>
              <w:pStyle w:val="TableContents"/>
              <w:bidi w:val="0"/>
              <w:spacing w:before="0" w:after="283"/>
              <w:ind w:left="0" w:right="0" w:firstLine="200"/>
              <w:jc w:val="left"/>
              <w:rPr/>
            </w:pPr>
            <w:r>
              <w:rPr/>
              <w:t> </w:t>
            </w:r>
          </w:p>
        </w:tc>
      </w:tr>
      <w:tr>
        <w:trPr/>
        <w:tc>
          <w:tcPr>
            <w:tcW w:w="6722"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Non-cash lease expense</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84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254</w:t>
            </w:r>
          </w:p>
        </w:tc>
        <w:tc>
          <w:tcPr>
            <w:tcW w:w="189"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84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215</w:t>
            </w:r>
          </w:p>
        </w:tc>
        <w:tc>
          <w:tcPr>
            <w:tcW w:w="814" w:type="dxa"/>
            <w:tcBorders/>
            <w:shd w:fill="CFF0FC" w:val="clear"/>
            <w:vAlign w:val="center"/>
          </w:tcPr>
          <w:p>
            <w:pPr>
              <w:pStyle w:val="TableContents"/>
              <w:bidi w:val="0"/>
              <w:spacing w:before="0" w:after="283"/>
              <w:ind w:left="0" w:right="0" w:firstLine="200"/>
              <w:jc w:val="left"/>
              <w:rPr/>
            </w:pPr>
            <w:r>
              <w:rPr/>
              <w:t> </w:t>
            </w:r>
          </w:p>
        </w:tc>
      </w:tr>
      <w:tr>
        <w:trPr/>
        <w:tc>
          <w:tcPr>
            <w:tcW w:w="6722"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84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4,036</w:t>
            </w:r>
          </w:p>
        </w:tc>
        <w:tc>
          <w:tcPr>
            <w:tcW w:w="189"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84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1,898</w:t>
            </w:r>
          </w:p>
        </w:tc>
        <w:tc>
          <w:tcPr>
            <w:tcW w:w="814" w:type="dxa"/>
            <w:tcBorders/>
            <w:shd w:fill="FFFFFF" w:val="clear"/>
            <w:vAlign w:val="center"/>
          </w:tcPr>
          <w:p>
            <w:pPr>
              <w:pStyle w:val="TableContents"/>
              <w:bidi w:val="0"/>
              <w:spacing w:before="0" w:after="283"/>
              <w:ind w:left="0" w:right="0" w:firstLine="200"/>
              <w:jc w:val="left"/>
              <w:rPr/>
            </w:pPr>
            <w:r>
              <w:rPr/>
              <w:t> </w:t>
            </w:r>
          </w:p>
        </w:tc>
      </w:tr>
      <w:tr>
        <w:trPr/>
        <w:tc>
          <w:tcPr>
            <w:tcW w:w="6722"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Change in fair value of stock warrants</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84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652</w:t>
            </w:r>
          </w:p>
        </w:tc>
        <w:tc>
          <w:tcPr>
            <w:tcW w:w="189"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84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w:t>
            </w:r>
          </w:p>
        </w:tc>
        <w:tc>
          <w:tcPr>
            <w:tcW w:w="814"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6722"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Change in fair value of contingent consideration</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84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1,633</w:t>
            </w:r>
          </w:p>
        </w:tc>
        <w:tc>
          <w:tcPr>
            <w:tcW w:w="189"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84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(110</w:t>
            </w:r>
          </w:p>
        </w:tc>
        <w:tc>
          <w:tcPr>
            <w:tcW w:w="814"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6722"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Other non-cash reconciling items</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84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18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84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c>
          <w:tcPr>
            <w:tcW w:w="814"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6722"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Change in operating assets and liabilities:</w:t>
            </w:r>
          </w:p>
        </w:tc>
        <w:tc>
          <w:tcPr>
            <w:tcW w:w="146" w:type="dxa"/>
            <w:tcBorders/>
            <w:shd w:fill="FFFFFF" w:val="clear"/>
            <w:vAlign w:val="center"/>
          </w:tcPr>
          <w:p>
            <w:pPr>
              <w:pStyle w:val="TableContents"/>
              <w:bidi w:val="0"/>
              <w:spacing w:before="0" w:after="283"/>
              <w:jc w:val="left"/>
              <w:rPr/>
            </w:pPr>
            <w:r>
              <w:rPr/>
              <w:t> </w:t>
            </w:r>
          </w:p>
        </w:tc>
        <w:tc>
          <w:tcPr>
            <w:tcW w:w="1084" w:type="dxa"/>
            <w:gridSpan w:val="2"/>
            <w:tcBorders/>
            <w:shd w:fill="FFFFFF" w:val="clear"/>
            <w:vAlign w:val="center"/>
          </w:tcPr>
          <w:p>
            <w:pPr>
              <w:pStyle w:val="TableContents"/>
              <w:bidi w:val="0"/>
              <w:spacing w:before="0" w:after="283"/>
              <w:jc w:val="right"/>
              <w:rPr/>
            </w:pPr>
            <w:r>
              <w:rPr/>
              <w:t> </w:t>
            </w:r>
          </w:p>
        </w:tc>
        <w:tc>
          <w:tcPr>
            <w:tcW w:w="189"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1084" w:type="dxa"/>
            <w:gridSpan w:val="2"/>
            <w:tcBorders/>
            <w:shd w:fill="FFFFFF" w:val="clear"/>
            <w:vAlign w:val="center"/>
          </w:tcPr>
          <w:p>
            <w:pPr>
              <w:pStyle w:val="TableContents"/>
              <w:bidi w:val="0"/>
              <w:spacing w:before="0" w:after="283"/>
              <w:jc w:val="right"/>
              <w:rPr/>
            </w:pPr>
            <w:r>
              <w:rPr/>
              <w:t> </w:t>
            </w:r>
          </w:p>
        </w:tc>
        <w:tc>
          <w:tcPr>
            <w:tcW w:w="814" w:type="dxa"/>
            <w:tcBorders/>
            <w:shd w:fill="FFFFFF" w:val="clear"/>
            <w:vAlign w:val="center"/>
          </w:tcPr>
          <w:p>
            <w:pPr>
              <w:pStyle w:val="TableContents"/>
              <w:bidi w:val="0"/>
              <w:spacing w:before="0" w:after="283"/>
              <w:ind w:left="0" w:right="0" w:firstLine="400"/>
              <w:jc w:val="right"/>
              <w:rPr/>
            </w:pPr>
            <w:r>
              <w:rPr/>
              <w:t> </w:t>
            </w:r>
          </w:p>
        </w:tc>
      </w:tr>
      <w:tr>
        <w:trPr/>
        <w:tc>
          <w:tcPr>
            <w:tcW w:w="6722"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Prepaid expenses, other current assets and other assets</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84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(177</w:t>
            </w:r>
          </w:p>
        </w:tc>
        <w:tc>
          <w:tcPr>
            <w:tcW w:w="18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84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337</w:t>
            </w:r>
          </w:p>
        </w:tc>
        <w:tc>
          <w:tcPr>
            <w:tcW w:w="814" w:type="dxa"/>
            <w:tcBorders/>
            <w:shd w:fill="CFF0FC" w:val="clear"/>
            <w:vAlign w:val="center"/>
          </w:tcPr>
          <w:p>
            <w:pPr>
              <w:pStyle w:val="TableContents"/>
              <w:bidi w:val="0"/>
              <w:spacing w:before="0" w:after="283"/>
              <w:ind w:left="0" w:right="0" w:firstLine="400"/>
              <w:jc w:val="left"/>
              <w:rPr/>
            </w:pPr>
            <w:r>
              <w:rPr/>
              <w:t> </w:t>
            </w:r>
          </w:p>
        </w:tc>
      </w:tr>
      <w:tr>
        <w:trPr/>
        <w:tc>
          <w:tcPr>
            <w:tcW w:w="6722"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Accounts payable</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84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1,338</w:t>
            </w:r>
          </w:p>
        </w:tc>
        <w:tc>
          <w:tcPr>
            <w:tcW w:w="189"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84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(930</w:t>
            </w:r>
          </w:p>
        </w:tc>
        <w:tc>
          <w:tcPr>
            <w:tcW w:w="814"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6722"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Accrued compensation</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84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(177</w:t>
            </w:r>
          </w:p>
        </w:tc>
        <w:tc>
          <w:tcPr>
            <w:tcW w:w="18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84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554</w:t>
            </w:r>
          </w:p>
        </w:tc>
        <w:tc>
          <w:tcPr>
            <w:tcW w:w="814" w:type="dxa"/>
            <w:tcBorders/>
            <w:shd w:fill="CFF0FC" w:val="clear"/>
            <w:vAlign w:val="center"/>
          </w:tcPr>
          <w:p>
            <w:pPr>
              <w:pStyle w:val="TableContents"/>
              <w:bidi w:val="0"/>
              <w:spacing w:before="0" w:after="283"/>
              <w:ind w:left="0" w:right="0" w:firstLine="400"/>
              <w:jc w:val="left"/>
              <w:rPr/>
            </w:pPr>
            <w:r>
              <w:rPr/>
              <w:t> </w:t>
            </w:r>
          </w:p>
        </w:tc>
      </w:tr>
      <w:tr>
        <w:trPr/>
        <w:tc>
          <w:tcPr>
            <w:tcW w:w="6722"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Accrued clinical trial site costs</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84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w:t>
            </w:r>
          </w:p>
        </w:tc>
        <w:tc>
          <w:tcPr>
            <w:tcW w:w="189"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84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(594</w:t>
            </w:r>
          </w:p>
        </w:tc>
        <w:tc>
          <w:tcPr>
            <w:tcW w:w="814"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6722"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Operating lease liabilities</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84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(242</w:t>
            </w:r>
          </w:p>
        </w:tc>
        <w:tc>
          <w:tcPr>
            <w:tcW w:w="18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84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(218</w:t>
            </w:r>
          </w:p>
        </w:tc>
        <w:tc>
          <w:tcPr>
            <w:tcW w:w="814" w:type="dxa"/>
            <w:tcBorders/>
            <w:shd w:fill="CFF0FC"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6722"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Other liabilities</w:t>
            </w:r>
          </w:p>
        </w:tc>
        <w:tc>
          <w:tcPr>
            <w:tcW w:w="146" w:type="dxa"/>
            <w:tcBorders/>
            <w:shd w:fill="FFFFFF" w:val="cle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266</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348</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722" w:type="dxa"/>
            <w:tcBorders/>
            <w:shd w:fill="CFF0FC" w:val="clear"/>
            <w:vAlign w:val="center"/>
          </w:tcPr>
          <w:p>
            <w:pPr>
              <w:pStyle w:val="TableContents"/>
              <w:bidi w:val="0"/>
              <w:spacing w:before="0" w:after="283"/>
              <w:ind w:left="600" w:right="0" w:firstLine="600"/>
              <w:jc w:val="left"/>
              <w:rPr>
                <w:rFonts w:ascii="Times New Roman" w:hAnsi="Times New Roman"/>
                <w:b/>
                <w:color w:val="000000"/>
                <w:sz w:val="20"/>
              </w:rPr>
            </w:pPr>
            <w:r>
              <w:rPr>
                <w:rFonts w:ascii="Times New Roman" w:hAnsi="Times New Roman"/>
                <w:b/>
                <w:color w:val="000000"/>
                <w:sz w:val="20"/>
              </w:rPr>
              <w:t>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(18,626</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6" w:type="dxa"/>
            <w:tcBorders/>
            <w:shd w:fill="CFF0FC" w:val="cle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(15,638</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722"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FFFFFF" w:val="clear"/>
            <w:vAlign w:val="center"/>
          </w:tcPr>
          <w:p>
            <w:pPr>
              <w:pStyle w:val="TableContents"/>
              <w:bidi w:val="0"/>
              <w:spacing w:before="0" w:after="283"/>
              <w:jc w:val="left"/>
              <w:rPr/>
            </w:pPr>
            <w:r>
              <w:rPr/>
              <w:t> </w:t>
            </w:r>
          </w:p>
        </w:tc>
        <w:tc>
          <w:tcPr>
            <w:tcW w:w="1084" w:type="dxa"/>
            <w:gridSpan w:val="2"/>
            <w:tcBorders/>
            <w:shd w:fill="FFFFFF" w:val="clear"/>
            <w:vAlign w:val="center"/>
          </w:tcPr>
          <w:p>
            <w:pPr>
              <w:pStyle w:val="TableContents"/>
              <w:bidi w:val="0"/>
              <w:spacing w:before="0" w:after="283"/>
              <w:jc w:val="right"/>
              <w:rPr/>
            </w:pPr>
            <w:r>
              <w:rPr/>
              <w:t> </w:t>
            </w:r>
          </w:p>
        </w:tc>
        <w:tc>
          <w:tcPr>
            <w:tcW w:w="189"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1084" w:type="dxa"/>
            <w:gridSpan w:val="2"/>
            <w:tcBorders/>
            <w:shd w:fill="FFFFFF" w:val="clear"/>
            <w:vAlign w:val="center"/>
          </w:tcPr>
          <w:p>
            <w:pPr>
              <w:pStyle w:val="TableContents"/>
              <w:bidi w:val="0"/>
              <w:spacing w:before="0" w:after="283"/>
              <w:jc w:val="right"/>
              <w:rPr/>
            </w:pPr>
            <w:r>
              <w:rPr/>
              <w:t> </w:t>
            </w:r>
          </w:p>
        </w:tc>
        <w:tc>
          <w:tcPr>
            <w:tcW w:w="814" w:type="dxa"/>
            <w:tcBorders/>
            <w:shd w:fill="FFFFFF" w:val="clear"/>
            <w:vAlign w:val="center"/>
          </w:tcPr>
          <w:p>
            <w:pPr>
              <w:pStyle w:val="TableContents"/>
              <w:bidi w:val="0"/>
              <w:spacing w:before="0" w:after="283"/>
              <w:jc w:val="right"/>
              <w:rPr/>
            </w:pPr>
            <w:r>
              <w:rPr/>
              <w:t> </w:t>
            </w:r>
          </w:p>
        </w:tc>
      </w:tr>
      <w:tr>
        <w:trPr/>
        <w:tc>
          <w:tcPr>
            <w:tcW w:w="672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Purchases of property and equipment</w:t>
            </w:r>
          </w:p>
        </w:tc>
        <w:tc>
          <w:tcPr>
            <w:tcW w:w="146" w:type="dxa"/>
            <w:tcBorders/>
            <w:shd w:fill="CFF0FC" w:val="cle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b w:val="false"/>
                <w:color w:val="000000"/>
                <w:sz w:val="20"/>
              </w:rPr>
            </w:pPr>
            <w:r>
              <w:rPr>
                <w:rFonts w:ascii="Times New Roman" w:hAnsi="Times New Roman"/>
                <w:b w:val="false"/>
                <w:color w:val="000000"/>
                <w:sz w:val="20"/>
              </w:rPr>
              <w:t>)</w:t>
            </w:r>
          </w:p>
        </w:tc>
      </w:tr>
      <w:tr>
        <w:trPr/>
        <w:tc>
          <w:tcPr>
            <w:tcW w:w="6722" w:type="dxa"/>
            <w:tcBorders/>
            <w:shd w:fill="FFFFFF" w:val="clear"/>
            <w:vAlign w:val="center"/>
          </w:tcPr>
          <w:p>
            <w:pPr>
              <w:pStyle w:val="TableContents"/>
              <w:bidi w:val="0"/>
              <w:spacing w:before="0" w:after="283"/>
              <w:ind w:left="600" w:right="0" w:firstLine="600"/>
              <w:jc w:val="left"/>
              <w:rPr>
                <w:rFonts w:ascii="Times New Roman" w:hAnsi="Times New Roman"/>
                <w:b/>
                <w:color w:val="000000"/>
                <w:sz w:val="20"/>
              </w:rPr>
            </w:pPr>
            <w:r>
              <w:rPr>
                <w:rFonts w:ascii="Times New Roman" w:hAnsi="Times New Roman"/>
                <w:b/>
                <w:color w:val="000000"/>
                <w:sz w:val="20"/>
              </w:rPr>
              <w:t>Net cash used in investing activities</w:t>
            </w:r>
          </w:p>
        </w:tc>
        <w:tc>
          <w:tcPr>
            <w:tcW w:w="146" w:type="dxa"/>
            <w:tcBorders/>
            <w:shd w:fill="FFFFFF" w:val="cle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72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CFF0FC" w:val="clear"/>
            <w:vAlign w:val="center"/>
          </w:tcPr>
          <w:p>
            <w:pPr>
              <w:pStyle w:val="TableContents"/>
              <w:bidi w:val="0"/>
              <w:spacing w:before="0" w:after="283"/>
              <w:jc w:val="left"/>
              <w:rPr/>
            </w:pPr>
            <w:r>
              <w:rPr/>
              <w:t> </w:t>
            </w:r>
          </w:p>
        </w:tc>
        <w:tc>
          <w:tcPr>
            <w:tcW w:w="1084" w:type="dxa"/>
            <w:gridSpan w:val="2"/>
            <w:tcBorders/>
            <w:shd w:fill="CFF0FC" w:val="clear"/>
            <w:vAlign w:val="center"/>
          </w:tcPr>
          <w:p>
            <w:pPr>
              <w:pStyle w:val="TableContents"/>
              <w:bidi w:val="0"/>
              <w:spacing w:before="0" w:after="283"/>
              <w:jc w:val="right"/>
              <w:rPr/>
            </w:pPr>
            <w:r>
              <w:rPr/>
              <w:t> </w:t>
            </w:r>
          </w:p>
        </w:tc>
        <w:tc>
          <w:tcPr>
            <w:tcW w:w="189"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1084" w:type="dxa"/>
            <w:gridSpan w:val="2"/>
            <w:tcBorders/>
            <w:shd w:fill="CFF0FC" w:val="clear"/>
            <w:vAlign w:val="center"/>
          </w:tcPr>
          <w:p>
            <w:pPr>
              <w:pStyle w:val="TableContents"/>
              <w:bidi w:val="0"/>
              <w:spacing w:before="0" w:after="283"/>
              <w:jc w:val="right"/>
              <w:rPr/>
            </w:pPr>
            <w:r>
              <w:rPr/>
              <w:t> </w:t>
            </w:r>
          </w:p>
        </w:tc>
        <w:tc>
          <w:tcPr>
            <w:tcW w:w="814" w:type="dxa"/>
            <w:tcBorders/>
            <w:shd w:fill="CFF0FC" w:val="clear"/>
            <w:vAlign w:val="center"/>
          </w:tcPr>
          <w:p>
            <w:pPr>
              <w:pStyle w:val="TableContents"/>
              <w:bidi w:val="0"/>
              <w:spacing w:before="0" w:after="283"/>
              <w:jc w:val="right"/>
              <w:rPr/>
            </w:pPr>
            <w:r>
              <w:rPr/>
              <w:t> </w:t>
            </w:r>
          </w:p>
        </w:tc>
      </w:tr>
      <w:tr>
        <w:trPr/>
        <w:tc>
          <w:tcPr>
            <w:tcW w:w="672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Proceeds from sale of common stock and common stock warrants, net of issuance costs</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84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17,074</w:t>
            </w:r>
          </w:p>
        </w:tc>
        <w:tc>
          <w:tcPr>
            <w:tcW w:w="189"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84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814" w:type="dxa"/>
            <w:tcBorders/>
            <w:shd w:fill="FFFFFF" w:val="clear"/>
            <w:vAlign w:val="center"/>
          </w:tcPr>
          <w:p>
            <w:pPr>
              <w:pStyle w:val="TableContents"/>
              <w:bidi w:val="0"/>
              <w:spacing w:before="0" w:after="283"/>
              <w:jc w:val="left"/>
              <w:rPr/>
            </w:pPr>
            <w:r>
              <w:rPr/>
              <w:t> </w:t>
            </w:r>
          </w:p>
        </w:tc>
      </w:tr>
      <w:tr>
        <w:trPr/>
        <w:tc>
          <w:tcPr>
            <w:tcW w:w="672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Proceeds from sale of common stock and pre-funded warrants, net of costs</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84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89"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84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14,108</w:t>
            </w:r>
          </w:p>
        </w:tc>
        <w:tc>
          <w:tcPr>
            <w:tcW w:w="814" w:type="dxa"/>
            <w:tcBorders/>
            <w:shd w:fill="CFF0FC" w:val="clear"/>
            <w:vAlign w:val="center"/>
          </w:tcPr>
          <w:p>
            <w:pPr>
              <w:pStyle w:val="TableContents"/>
              <w:bidi w:val="0"/>
              <w:spacing w:before="0" w:after="283"/>
              <w:jc w:val="left"/>
              <w:rPr/>
            </w:pPr>
            <w:r>
              <w:rPr/>
              <w:t> </w:t>
            </w:r>
          </w:p>
        </w:tc>
      </w:tr>
      <w:tr>
        <w:trPr/>
        <w:tc>
          <w:tcPr>
            <w:tcW w:w="672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Proceeds from exercise of common stock warrants, net of costs</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84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19,445</w:t>
            </w:r>
          </w:p>
        </w:tc>
        <w:tc>
          <w:tcPr>
            <w:tcW w:w="189"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84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814" w:type="dxa"/>
            <w:tcBorders/>
            <w:shd w:fill="FFFFFF" w:val="clear"/>
            <w:vAlign w:val="center"/>
          </w:tcPr>
          <w:p>
            <w:pPr>
              <w:pStyle w:val="TableContents"/>
              <w:bidi w:val="0"/>
              <w:spacing w:before="0" w:after="283"/>
              <w:jc w:val="left"/>
              <w:rPr/>
            </w:pPr>
            <w:r>
              <w:rPr/>
              <w:t> </w:t>
            </w:r>
          </w:p>
        </w:tc>
      </w:tr>
      <w:tr>
        <w:trPr/>
        <w:tc>
          <w:tcPr>
            <w:tcW w:w="672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Proceeds received prior to and for the issuance of common stock and pre-funded warrants</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84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19,932</w:t>
            </w:r>
          </w:p>
        </w:tc>
        <w:tc>
          <w:tcPr>
            <w:tcW w:w="189"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84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814" w:type="dxa"/>
            <w:tcBorders/>
            <w:shd w:fill="CFF0FC" w:val="clear"/>
            <w:vAlign w:val="center"/>
          </w:tcPr>
          <w:p>
            <w:pPr>
              <w:pStyle w:val="TableContents"/>
              <w:bidi w:val="0"/>
              <w:spacing w:before="0" w:after="283"/>
              <w:jc w:val="left"/>
              <w:rPr/>
            </w:pPr>
            <w:r>
              <w:rPr/>
              <w:t> </w:t>
            </w:r>
          </w:p>
        </w:tc>
      </w:tr>
      <w:tr>
        <w:trPr/>
        <w:tc>
          <w:tcPr>
            <w:tcW w:w="672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Proceeds from stock option exercises</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84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w:t>
            </w:r>
          </w:p>
        </w:tc>
        <w:tc>
          <w:tcPr>
            <w:tcW w:w="189"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84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814" w:type="dxa"/>
            <w:tcBorders/>
            <w:shd w:fill="FFFFFF" w:val="clear"/>
            <w:vAlign w:val="center"/>
          </w:tcPr>
          <w:p>
            <w:pPr>
              <w:pStyle w:val="TableContents"/>
              <w:bidi w:val="0"/>
              <w:spacing w:before="0" w:after="283"/>
              <w:jc w:val="left"/>
              <w:rPr/>
            </w:pPr>
            <w:r>
              <w:rPr/>
              <w:t> </w:t>
            </w:r>
          </w:p>
        </w:tc>
      </w:tr>
      <w:tr>
        <w:trPr/>
        <w:tc>
          <w:tcPr>
            <w:tcW w:w="672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Tax withholding payments for net share-settled equity awards</w:t>
            </w:r>
          </w:p>
        </w:tc>
        <w:tc>
          <w:tcPr>
            <w:tcW w:w="146" w:type="dxa"/>
            <w:tcBorders/>
            <w:shd w:fill="CFF0FC" w:val="cle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b w:val="false"/>
                <w:color w:val="000000"/>
                <w:sz w:val="20"/>
              </w:rPr>
            </w:pPr>
            <w:r>
              <w:rPr>
                <w:rFonts w:ascii="Times New Roman" w:hAnsi="Times New Roman"/>
                <w:b w:val="false"/>
                <w:color w:val="000000"/>
                <w:sz w:val="20"/>
              </w:rPr>
              <w:t>)</w:t>
            </w:r>
          </w:p>
        </w:tc>
      </w:tr>
      <w:tr>
        <w:trPr/>
        <w:tc>
          <w:tcPr>
            <w:tcW w:w="6722" w:type="dxa"/>
            <w:tcBorders/>
            <w:shd w:fill="FFFFFF" w:val="clear"/>
            <w:vAlign w:val="center"/>
          </w:tcPr>
          <w:p>
            <w:pPr>
              <w:pStyle w:val="TableContents"/>
              <w:bidi w:val="0"/>
              <w:spacing w:before="0" w:after="283"/>
              <w:ind w:left="600" w:right="0" w:firstLine="600"/>
              <w:jc w:val="left"/>
              <w:rPr>
                <w:rFonts w:ascii="Times New Roman" w:hAnsi="Times New Roman"/>
                <w:b/>
                <w:color w:val="000000"/>
                <w:sz w:val="20"/>
              </w:rPr>
            </w:pPr>
            <w:r>
              <w:rPr>
                <w:rFonts w:ascii="Times New Roman" w:hAnsi="Times New Roman"/>
                <w:b/>
                <w:color w:val="000000"/>
                <w:sz w:val="20"/>
              </w:rPr>
              <w:t>Net cash provided by financing activities</w:t>
            </w:r>
          </w:p>
        </w:tc>
        <w:tc>
          <w:tcPr>
            <w:tcW w:w="146" w:type="dxa"/>
            <w:tcBorders/>
            <w:shd w:fill="FFFFFF" w:val="cle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56,461</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14,092</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2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increase (decrease) in cash and cash equivalents</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84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37,835</w:t>
            </w:r>
          </w:p>
        </w:tc>
        <w:tc>
          <w:tcPr>
            <w:tcW w:w="189"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84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(1,553</w:t>
            </w:r>
          </w:p>
        </w:tc>
        <w:tc>
          <w:tcPr>
            <w:tcW w:w="81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72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and cash equivalents, beginning of period</w:t>
            </w:r>
          </w:p>
        </w:tc>
        <w:tc>
          <w:tcPr>
            <w:tcW w:w="146" w:type="dxa"/>
            <w:tcBorders/>
            <w:shd w:fill="FFFFFF" w:val="cle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14,602</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21,304</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2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and cash equivalents, end of period</w:t>
            </w:r>
          </w:p>
        </w:tc>
        <w:tc>
          <w:tcPr>
            <w:tcW w:w="146" w:type="dxa"/>
            <w:tcBorders/>
            <w:shd w:fill="CFF0FC" w:val="cle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52,437</w:t>
            </w:r>
          </w:p>
        </w:tc>
        <w:tc>
          <w:tcPr>
            <w:tcW w:w="1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19,751</w:t>
            </w:r>
          </w:p>
        </w:tc>
        <w:tc>
          <w:tcPr>
            <w:tcW w:w="8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2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084" w:type="dxa"/>
            <w:gridSpan w:val="2"/>
            <w:tcBorders/>
            <w:shd w:fill="FFFFFF" w:val="clear"/>
            <w:vAlign w:val="center"/>
          </w:tcPr>
          <w:p>
            <w:pPr>
              <w:pStyle w:val="TableContents"/>
              <w:bidi w:val="0"/>
              <w:spacing w:before="0" w:after="283"/>
              <w:jc w:val="right"/>
              <w:rPr/>
            </w:pPr>
            <w:r>
              <w:rPr/>
              <w:t> </w:t>
            </w:r>
          </w:p>
        </w:tc>
        <w:tc>
          <w:tcPr>
            <w:tcW w:w="189"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1084" w:type="dxa"/>
            <w:gridSpan w:val="2"/>
            <w:tcBorders/>
            <w:shd w:fill="FFFFFF" w:val="clear"/>
            <w:vAlign w:val="center"/>
          </w:tcPr>
          <w:p>
            <w:pPr>
              <w:pStyle w:val="TableContents"/>
              <w:bidi w:val="0"/>
              <w:spacing w:before="0" w:after="283"/>
              <w:jc w:val="right"/>
              <w:rPr/>
            </w:pPr>
            <w:r>
              <w:rPr/>
              <w:t> </w:t>
            </w:r>
          </w:p>
        </w:tc>
        <w:tc>
          <w:tcPr>
            <w:tcW w:w="814" w:type="dxa"/>
            <w:tcBorders/>
            <w:shd w:fill="FFFFFF" w:val="clear"/>
            <w:vAlign w:val="center"/>
          </w:tcPr>
          <w:p>
            <w:pPr>
              <w:pStyle w:val="TableContents"/>
              <w:bidi w:val="0"/>
              <w:spacing w:before="0" w:after="283"/>
              <w:jc w:val="right"/>
              <w:rPr/>
            </w:pPr>
            <w:r>
              <w:rPr/>
              <w:t> </w:t>
            </w:r>
          </w:p>
        </w:tc>
      </w:tr>
      <w:tr>
        <w:trPr/>
        <w:tc>
          <w:tcPr>
            <w:tcW w:w="672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non-cash financing information</w:t>
            </w:r>
          </w:p>
        </w:tc>
        <w:tc>
          <w:tcPr>
            <w:tcW w:w="146" w:type="dxa"/>
            <w:tcBorders/>
            <w:shd w:fill="CFF0FC" w:val="clear"/>
            <w:vAlign w:val="center"/>
          </w:tcPr>
          <w:p>
            <w:pPr>
              <w:pStyle w:val="TableContents"/>
              <w:bidi w:val="0"/>
              <w:spacing w:before="0" w:after="283"/>
              <w:jc w:val="left"/>
              <w:rPr/>
            </w:pPr>
            <w:r>
              <w:rPr/>
              <w:t> </w:t>
            </w:r>
          </w:p>
        </w:tc>
        <w:tc>
          <w:tcPr>
            <w:tcW w:w="1084" w:type="dxa"/>
            <w:gridSpan w:val="2"/>
            <w:tcBorders/>
            <w:shd w:fill="CFF0FC" w:val="clear"/>
            <w:vAlign w:val="center"/>
          </w:tcPr>
          <w:p>
            <w:pPr>
              <w:pStyle w:val="TableContents"/>
              <w:bidi w:val="0"/>
              <w:spacing w:before="0" w:after="283"/>
              <w:jc w:val="right"/>
              <w:rPr/>
            </w:pPr>
            <w:r>
              <w:rPr/>
              <w:t> </w:t>
            </w:r>
          </w:p>
        </w:tc>
        <w:tc>
          <w:tcPr>
            <w:tcW w:w="189"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1084" w:type="dxa"/>
            <w:gridSpan w:val="2"/>
            <w:tcBorders/>
            <w:shd w:fill="CFF0FC" w:val="clear"/>
            <w:vAlign w:val="center"/>
          </w:tcPr>
          <w:p>
            <w:pPr>
              <w:pStyle w:val="TableContents"/>
              <w:bidi w:val="0"/>
              <w:spacing w:before="0" w:after="283"/>
              <w:jc w:val="right"/>
              <w:rPr/>
            </w:pPr>
            <w:r>
              <w:rPr/>
              <w:t> </w:t>
            </w:r>
          </w:p>
        </w:tc>
        <w:tc>
          <w:tcPr>
            <w:tcW w:w="814" w:type="dxa"/>
            <w:tcBorders/>
            <w:shd w:fill="CFF0FC" w:val="clear"/>
            <w:vAlign w:val="center"/>
          </w:tcPr>
          <w:p>
            <w:pPr>
              <w:pStyle w:val="TableContents"/>
              <w:bidi w:val="0"/>
              <w:spacing w:before="0" w:after="283"/>
              <w:ind w:left="0" w:right="0" w:firstLine="600"/>
              <w:jc w:val="right"/>
              <w:rPr/>
            </w:pPr>
            <w:r>
              <w:rPr/>
              <w:t> </w:t>
            </w:r>
          </w:p>
        </w:tc>
      </w:tr>
      <w:tr>
        <w:trPr/>
        <w:tc>
          <w:tcPr>
            <w:tcW w:w="6722" w:type="dxa"/>
            <w:tcBorders/>
            <w:shd w:fill="FFFFFF" w:val="clear"/>
            <w:vAlign w:val="center"/>
          </w:tcPr>
          <w:p>
            <w:pPr>
              <w:pStyle w:val="TableContents"/>
              <w:bidi w:val="0"/>
              <w:spacing w:before="0" w:after="283"/>
              <w:ind w:left="600" w:right="0" w:firstLine="600"/>
              <w:jc w:val="left"/>
              <w:rPr>
                <w:rFonts w:ascii="Times New Roman" w:hAnsi="Times New Roman"/>
                <w:b w:val="false"/>
                <w:color w:val="000000"/>
                <w:sz w:val="20"/>
              </w:rPr>
            </w:pPr>
            <w:r>
              <w:rPr>
                <w:rFonts w:ascii="Times New Roman" w:hAnsi="Times New Roman"/>
                <w:b w:val="false"/>
                <w:color w:val="000000"/>
                <w:sz w:val="20"/>
              </w:rPr>
              <w:t>Operating lease right-of-use assets obtained in exchange for operating lease obligations</w:t>
            </w:r>
          </w:p>
        </w:tc>
        <w:tc>
          <w:tcPr>
            <w:tcW w:w="146" w:type="dxa"/>
            <w:tcBorders/>
            <w:shd w:fill="FFFFFF" w:val="cle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597</w:t>
            </w:r>
          </w:p>
        </w:tc>
        <w:tc>
          <w:tcPr>
            <w:tcW w:w="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814"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722" w:type="dxa"/>
            <w:tcBorders/>
            <w:shd w:fill="CFF0FC" w:val="clear"/>
            <w:vAlign w:val="center"/>
          </w:tcPr>
          <w:p>
            <w:pPr>
              <w:pStyle w:val="TableContents"/>
              <w:bidi w:val="0"/>
              <w:spacing w:before="0" w:after="283"/>
              <w:ind w:left="600" w:right="0" w:firstLine="600"/>
              <w:jc w:val="left"/>
              <w:rPr>
                <w:rFonts w:ascii="Times New Roman" w:hAnsi="Times New Roman"/>
                <w:b w:val="false"/>
                <w:color w:val="000000"/>
                <w:sz w:val="20"/>
              </w:rPr>
            </w:pPr>
            <w:r>
              <w:rPr>
                <w:rFonts w:ascii="Times New Roman" w:hAnsi="Times New Roman"/>
                <w:b w:val="false"/>
                <w:color w:val="000000"/>
                <w:sz w:val="20"/>
              </w:rPr>
              <w:t>Unpaid financing costs included in accounts payable and accrued liabilities</w:t>
            </w:r>
          </w:p>
        </w:tc>
        <w:tc>
          <w:tcPr>
            <w:tcW w:w="146" w:type="dxa"/>
            <w:tcBorders/>
            <w:shd w:fill="CFF0FC" w:val="cle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199</w:t>
            </w:r>
          </w:p>
        </w:tc>
        <w:tc>
          <w:tcPr>
            <w:tcW w:w="1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8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val="false"/>
          <w:i/>
          <w:color w:val="000000"/>
          <w:sz w:val="20"/>
        </w:rPr>
        <w:t>See accompanying notes to condensed consolidated financial statements.</w:t>
      </w:r>
      <w:r>
        <w:rPr>
          <w:rFonts w:ascii="Times New Roman" w:hAnsi="Times New Roman"/>
          <w:color w:val="000000"/>
          <w:sz w:val="20"/>
        </w:rPr>
        <w:t xml:space="preserve">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18"/>
        </w:rPr>
        <w:t>Soleno Therapeutics, Inc.</w:t>
      </w:r>
      <w:r>
        <w:rPr>
          <w:rFonts w:ascii="Times New Roman" w:hAnsi="Times New Roman"/>
          <w:color w:val="000000"/>
          <w:sz w:val="20"/>
        </w:rPr>
        <w:t xml:space="preserve"> </w:t>
      </w:r>
    </w:p>
    <w:p>
      <w:pPr>
        <w:pStyle w:val="TextBody"/>
        <w:bidi w:val="0"/>
        <w:jc w:val="center"/>
        <w:rPr>
          <w:rFonts w:ascii="Times New Roman" w:hAnsi="Times New Roman"/>
          <w:b/>
          <w:color w:val="000000"/>
          <w:sz w:val="18"/>
        </w:rPr>
      </w:pPr>
      <w:r>
        <w:rPr>
          <w:rFonts w:ascii="Times New Roman" w:hAnsi="Times New Roman"/>
          <w:b/>
          <w:color w:val="000000"/>
          <w:sz w:val="18"/>
        </w:rPr>
        <w:t>September 30, 2023</w:t>
      </w:r>
    </w:p>
    <w:p>
      <w:pPr>
        <w:pStyle w:val="TextBody"/>
        <w:bidi w:val="0"/>
        <w:jc w:val="center"/>
        <w:rPr>
          <w:rFonts w:ascii="Times New Roman" w:hAnsi="Times New Roman"/>
          <w:sz w:val="20"/>
        </w:rPr>
      </w:pPr>
      <w:bookmarkStart w:id="9" w:name="notes_consolidated_financial_statements"/>
      <w:bookmarkEnd w:id="9"/>
      <w:r>
        <w:rPr>
          <w:rFonts w:ascii="Times New Roman" w:hAnsi="Times New Roman"/>
          <w:b/>
          <w:color w:val="000000"/>
          <w:sz w:val="18"/>
        </w:rPr>
        <w:t>Notes to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8"/>
        </w:rPr>
        <w:t>(unaudited)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Note 1. Overview</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Soleno Therapeutics, Inc. (the Company or Soleno) is focused on the development and commercialization of novel therapeutics for the treatment of rare diseases. Its lead candidate is DCCR (Diazoxide Choline) Extended-Release tablets, a once-daily oral tablet for the treatment of Prader-Willi syndrome (PWS). DCCR has received orphan designation for the treatment of PWS in the United States (U.S.) as well as in the European Union (E.U.).</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Company incorporated in the State of Delaware on August 25, 1999, and is located in Redwood City, California. It initially established its operations as Capnia, a diversified healthcare company that developed and commercialized innovative diagnostics, devices and therapeutics addressing unmet medical needs. During 2017, the Company merged with Essentialis, Inc (Essentialis) and subsequently received stockholder approval to amend its Amended and Restated Certificate of Incorporation to change its name from “Capnia, Inc.” to “Soleno Therapeutics, Inc.”. Essentialis was a privately held clinical-stage company focused on the development of breakthrough medicines for the treatment of rare diseases where there is increased mortality and risk of cardiovascular and endocrine complications. After the merger, the Company’s primary focus has been the development and commercialization of novel therapeutics for the treatment of rare diseases and the Company divested all prior business efforts.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2. Liquidity</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 had a net loss of $27.7</w:t>
      </w:r>
      <w:r>
        <w:rPr>
          <w:rFonts w:ascii="Times New Roman" w:hAnsi="Times New Roman"/>
          <w:color w:val="000000"/>
          <w:sz w:val="20"/>
        </w:rPr>
        <w:t xml:space="preserve"> </w:t>
      </w:r>
      <w:r>
        <w:rPr>
          <w:rFonts w:ascii="Times New Roman" w:hAnsi="Times New Roman"/>
          <w:b w:val="false"/>
          <w:color w:val="000000"/>
          <w:sz w:val="20"/>
        </w:rPr>
        <w:t>million during the nine months ended September 30, 2023 and has an accumulated deficit of $265.1</w:t>
      </w:r>
      <w:r>
        <w:rPr>
          <w:rFonts w:ascii="Times New Roman" w:hAnsi="Times New Roman"/>
          <w:color w:val="000000"/>
          <w:sz w:val="20"/>
        </w:rPr>
        <w:t xml:space="preserve"> </w:t>
      </w:r>
      <w:r>
        <w:rPr>
          <w:rFonts w:ascii="Times New Roman" w:hAnsi="Times New Roman"/>
          <w:b w:val="false"/>
          <w:color w:val="000000"/>
          <w:sz w:val="20"/>
        </w:rPr>
        <w:t>million at September 30, 2023 resulting from having incurred losses since its inception. The Company had $52.4</w:t>
      </w:r>
      <w:r>
        <w:rPr>
          <w:rFonts w:ascii="Times New Roman" w:hAnsi="Times New Roman"/>
          <w:color w:val="000000"/>
          <w:sz w:val="20"/>
        </w:rPr>
        <w:t xml:space="preserve"> </w:t>
      </w:r>
      <w:r>
        <w:rPr>
          <w:rFonts w:ascii="Times New Roman" w:hAnsi="Times New Roman"/>
          <w:b w:val="false"/>
          <w:color w:val="000000"/>
          <w:sz w:val="20"/>
        </w:rPr>
        <w:t>million of cash and cash equivalents on hand at September 30, 2023 and used $18.6</w:t>
      </w:r>
      <w:r>
        <w:rPr>
          <w:rFonts w:ascii="Times New Roman" w:hAnsi="Times New Roman"/>
          <w:color w:val="000000"/>
          <w:sz w:val="20"/>
        </w:rPr>
        <w:t xml:space="preserve"> </w:t>
      </w:r>
      <w:r>
        <w:rPr>
          <w:rFonts w:ascii="Times New Roman" w:hAnsi="Times New Roman"/>
          <w:b w:val="false"/>
          <w:color w:val="000000"/>
          <w:sz w:val="20"/>
        </w:rPr>
        <w:t>million of cash in its operating activities during the nine months ended September 30, 2023.</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 has financed its operations principally through issuance of equity securities. On October 2, 2023, the Company closed a public and concurrent private financing with gross proceeds of $129.0</w:t>
      </w:r>
      <w:r>
        <w:rPr>
          <w:rFonts w:ascii="Times New Roman" w:hAnsi="Times New Roman"/>
          <w:color w:val="000000"/>
          <w:sz w:val="20"/>
        </w:rPr>
        <w:t xml:space="preserve"> </w:t>
      </w:r>
      <w:r>
        <w:rPr>
          <w:rFonts w:ascii="Times New Roman" w:hAnsi="Times New Roman"/>
          <w:b w:val="false"/>
          <w:color w:val="000000"/>
          <w:sz w:val="20"/>
        </w:rPr>
        <w:t>million. $16.0</w:t>
      </w:r>
      <w:r>
        <w:rPr>
          <w:rFonts w:ascii="Times New Roman" w:hAnsi="Times New Roman"/>
          <w:color w:val="000000"/>
          <w:sz w:val="20"/>
        </w:rPr>
        <w:t xml:space="preserve"> </w:t>
      </w:r>
      <w:r>
        <w:rPr>
          <w:rFonts w:ascii="Times New Roman" w:hAnsi="Times New Roman"/>
          <w:b w:val="false"/>
          <w:color w:val="000000"/>
          <w:sz w:val="20"/>
        </w:rPr>
        <w:t>million was received prior to September 30, 2023, and was included in cash and cash equivalents and current liabilities as of the quarter end. The remaining gross proceeds of $113.0</w:t>
      </w:r>
      <w:r>
        <w:rPr>
          <w:rFonts w:ascii="Times New Roman" w:hAnsi="Times New Roman"/>
          <w:color w:val="000000"/>
          <w:sz w:val="20"/>
        </w:rPr>
        <w:t xml:space="preserve"> </w:t>
      </w:r>
      <w:r>
        <w:rPr>
          <w:rFonts w:ascii="Times New Roman" w:hAnsi="Times New Roman"/>
          <w:b w:val="false"/>
          <w:color w:val="000000"/>
          <w:sz w:val="20"/>
        </w:rPr>
        <w:t>million were received in October 2023.</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December 2022, the Company entered into a Securities Purchase Agreement providing for the sale of up to $60.0</w:t>
      </w:r>
      <w:r>
        <w:rPr>
          <w:rFonts w:ascii="Times New Roman" w:hAnsi="Times New Roman"/>
          <w:color w:val="000000"/>
          <w:sz w:val="20"/>
        </w:rPr>
        <w:t xml:space="preserve"> </w:t>
      </w:r>
      <w:r>
        <w:rPr>
          <w:rFonts w:ascii="Times New Roman" w:hAnsi="Times New Roman"/>
          <w:b w:val="false"/>
          <w:color w:val="000000"/>
          <w:sz w:val="20"/>
        </w:rPr>
        <w:t>million in warrants (Tranche A and Tranche B) and the common stock issuable upon the exercise thereof. The Company completed the closing of the sale and issued both tranches of warrants for $10.0</w:t>
      </w:r>
      <w:r>
        <w:rPr>
          <w:rFonts w:ascii="Times New Roman" w:hAnsi="Times New Roman"/>
          <w:color w:val="000000"/>
          <w:sz w:val="20"/>
        </w:rPr>
        <w:t xml:space="preserve"> </w:t>
      </w:r>
      <w:r>
        <w:rPr>
          <w:rFonts w:ascii="Times New Roman" w:hAnsi="Times New Roman"/>
          <w:b w:val="false"/>
          <w:color w:val="000000"/>
          <w:sz w:val="20"/>
        </w:rPr>
        <w:t>million in May 2023. The announcement of positive top-line data from the randomized withdrawal period of Study C602 triggered the mandatory exercise of the Tranche A warrants, and as of September 30, 2023, the Company had received $15.0</w:t>
      </w:r>
      <w:r>
        <w:rPr>
          <w:rFonts w:ascii="Times New Roman" w:hAnsi="Times New Roman"/>
          <w:color w:val="000000"/>
          <w:sz w:val="20"/>
        </w:rPr>
        <w:t xml:space="preserve"> </w:t>
      </w:r>
      <w:r>
        <w:rPr>
          <w:rFonts w:ascii="Times New Roman" w:hAnsi="Times New Roman"/>
          <w:b w:val="false"/>
          <w:color w:val="000000"/>
          <w:sz w:val="20"/>
        </w:rPr>
        <w:t>million. In October 2023, certain investors exercised their Tranche B warrants and the Company received $17.5</w:t>
      </w:r>
      <w:r>
        <w:rPr>
          <w:rFonts w:ascii="Times New Roman" w:hAnsi="Times New Roman"/>
          <w:color w:val="000000"/>
          <w:sz w:val="20"/>
        </w:rPr>
        <w:t xml:space="preserve"> </w:t>
      </w:r>
      <w:r>
        <w:rPr>
          <w:rFonts w:ascii="Times New Roman" w:hAnsi="Times New Roman"/>
          <w:b w:val="false"/>
          <w:color w:val="000000"/>
          <w:sz w:val="20"/>
        </w:rPr>
        <w:t>million. The exercise of the remaining Tranche B warrants for up to $17.5</w:t>
      </w:r>
      <w:r>
        <w:rPr>
          <w:rFonts w:ascii="Times New Roman" w:hAnsi="Times New Roman"/>
          <w:color w:val="000000"/>
          <w:sz w:val="20"/>
        </w:rPr>
        <w:t xml:space="preserve"> </w:t>
      </w:r>
      <w:r>
        <w:rPr>
          <w:rFonts w:ascii="Times New Roman" w:hAnsi="Times New Roman"/>
          <w:b w:val="false"/>
          <w:color w:val="000000"/>
          <w:sz w:val="20"/>
        </w:rPr>
        <w:t>million is contingent upon the future performance of the Company. The Company also received $8.4</w:t>
      </w:r>
      <w:r>
        <w:rPr>
          <w:rFonts w:ascii="Times New Roman" w:hAnsi="Times New Roman"/>
          <w:color w:val="000000"/>
          <w:sz w:val="20"/>
        </w:rPr>
        <w:t xml:space="preserve"> </w:t>
      </w:r>
      <w:r>
        <w:rPr>
          <w:rFonts w:ascii="Times New Roman" w:hAnsi="Times New Roman"/>
          <w:b w:val="false"/>
          <w:color w:val="000000"/>
          <w:sz w:val="20"/>
        </w:rPr>
        <w:t>million in gross proceeds from the exercise of certain March 2022 warrants during the three months ended September 30, 2023.</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Company expects to continue incurring losses for the foreseeable future. However, the Company expects that its current cash and cash equivalents balances together with the cash received in October 2023 will be sufficient to enable the Company to meet its obligations for at least the next twelve months from the date of this filing.</w:t>
      </w:r>
    </w:p>
    <w:p>
      <w:pPr>
        <w:pStyle w:val="TextBody"/>
        <w:bidi w:val="0"/>
        <w:spacing w:before="120" w:after="283"/>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Note 3. Basis of Presentation and Summary of Significant Accounting Policies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Significant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There have been no material changes to the significant accounting policies during the three and nine months ended September 30, 2023 as compared to the significant accounting policies described in Note 3 of the “Notes to Consolidated Financial Statements” in the Company’s Annual Report on Form 10-K for the year ended December 31, 2022.</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accompanying unaudited condensed consolidated financial statements of the Company have been prepared on a going concern basis in accordance with GAAP for interim financial reporting and as required by Regulation S-X, Rule 10-01. Accordingly, they do not include all of the information and footnotes required by GAAP for complete financial statements. In the opinion of management, all adjustments (including those which are normal and recurring) considered necessary for a fair presentation of the</w:t>
      </w:r>
      <w:r>
        <w:rPr>
          <w:rFonts w:ascii="Times New Roman" w:hAnsi="Times New Roman"/>
          <w:color w:val="000000"/>
          <w:sz w:val="20"/>
        </w:rPr>
        <w:t xml:space="preserve">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interim financial information have been included. When preparing financial statements in conformity with GAAP, the Company must make estimates and assumptions that affect the reported amounts of assets, liabilities, revenues, expenses and related disclosures at the date of the financial statements. Actual results could differ from those estimates. Additionally, operating results for the three and nine months ended September 30, 2023, are not necessarily indicative of the results that may be expected for any other interim period or for the fiscal year ending December 31, 2023. For further information, refer to the financial statements and footnotes included in the Company’s annual financial statements for the fiscal year ended December 31, 2022, which are included in the Company’s annual report on Form 10-K filed with the SEC on March 22, 2023.</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Reverse Stock Split</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On August 26, 2022, the Company filed a Certificate of Amendment to its Amended and Restated Certificate of Incorporation in order to effectuate a reverse stock split of the Company’s issued and outstanding common stock on a one-for-fifteen</w:t>
      </w:r>
      <w:r>
        <w:rPr>
          <w:rFonts w:ascii="Times New Roman" w:hAnsi="Times New Roman"/>
          <w:color w:val="000000"/>
          <w:sz w:val="20"/>
        </w:rPr>
        <w:t xml:space="preserve"> </w:t>
      </w:r>
      <w:r>
        <w:rPr>
          <w:rFonts w:ascii="Times New Roman" w:hAnsi="Times New Roman"/>
          <w:b w:val="false"/>
          <w:color w:val="000000"/>
          <w:sz w:val="20"/>
        </w:rPr>
        <w:t>basis. All common share and per share data are retrospectively restated to give effect of the split for all periods presented herein. After giving effect to the reverse stock split, the total number of shares of all classes of capital stock that the Corporation is authorized to issue is 110,000,000</w:t>
      </w:r>
      <w:r>
        <w:rPr>
          <w:rFonts w:ascii="Times New Roman" w:hAnsi="Times New Roman"/>
          <w:color w:val="000000"/>
          <w:sz w:val="20"/>
        </w:rPr>
        <w:t xml:space="preserve"> </w:t>
      </w:r>
      <w:r>
        <w:rPr>
          <w:rFonts w:ascii="Times New Roman" w:hAnsi="Times New Roman"/>
          <w:b w:val="false"/>
          <w:color w:val="000000"/>
          <w:sz w:val="20"/>
        </w:rPr>
        <w:t>shares, consisting of 100,000,000</w:t>
      </w:r>
      <w:r>
        <w:rPr>
          <w:rFonts w:ascii="Times New Roman" w:hAnsi="Times New Roman"/>
          <w:color w:val="000000"/>
          <w:sz w:val="20"/>
        </w:rPr>
        <w:t xml:space="preserve"> </w:t>
      </w:r>
      <w:r>
        <w:rPr>
          <w:rFonts w:ascii="Times New Roman" w:hAnsi="Times New Roman"/>
          <w:b w:val="false"/>
          <w:color w:val="000000"/>
          <w:sz w:val="20"/>
        </w:rPr>
        <w:t>shares of common stock, having a par value of $0.001</w:t>
      </w:r>
      <w:r>
        <w:rPr>
          <w:rFonts w:ascii="Times New Roman" w:hAnsi="Times New Roman"/>
          <w:color w:val="000000"/>
          <w:sz w:val="20"/>
        </w:rPr>
        <w:t xml:space="preserve"> </w:t>
      </w:r>
      <w:r>
        <w:rPr>
          <w:rFonts w:ascii="Times New Roman" w:hAnsi="Times New Roman"/>
          <w:b w:val="false"/>
          <w:color w:val="000000"/>
          <w:sz w:val="20"/>
        </w:rPr>
        <w:t>and 10,000,000</w:t>
      </w:r>
      <w:r>
        <w:rPr>
          <w:rFonts w:ascii="Times New Roman" w:hAnsi="Times New Roman"/>
          <w:color w:val="000000"/>
          <w:sz w:val="20"/>
        </w:rPr>
        <w:t xml:space="preserve"> </w:t>
      </w:r>
      <w:r>
        <w:rPr>
          <w:rFonts w:ascii="Times New Roman" w:hAnsi="Times New Roman"/>
          <w:b w:val="false"/>
          <w:color w:val="000000"/>
          <w:sz w:val="20"/>
        </w:rPr>
        <w:t>shares of preferred stock, having a par value of $0.001.</w:t>
      </w:r>
    </w:p>
    <w:p>
      <w:pPr>
        <w:pStyle w:val="TextBody"/>
        <w:bidi w:val="0"/>
        <w:spacing w:before="240" w:after="283"/>
        <w:jc w:val="left"/>
        <w:rPr>
          <w:rFonts w:ascii="Times New Roman" w:hAnsi="Times New Roman"/>
          <w:sz w:val="20"/>
        </w:rPr>
      </w:pPr>
      <w:r>
        <w:rPr>
          <w:rFonts w:ascii="Times New Roman" w:hAnsi="Times New Roman"/>
          <w:b/>
          <w:i/>
          <w:color w:val="000000"/>
          <w:sz w:val="20"/>
        </w:rPr>
        <w:t>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preparation of condensed consolidated financial statements in conformity with GAAP requires management to make estimates and assumptions that affect the reported amounts of assets and liabilities, disclosure of contingent assets and liabilities, and reported amounts of expenses in the financial statements and accompanying notes. Actual results could differ from those estimates. Key estimates included in the financial statements include the valuation of deferred income tax assets, the valuation of financial instruments, stock-based compensation, accrued costs for services rendered in connection with third-party contractor clinical trial activities, and the valuation of contingent liabilities for the purchase price of assets obtained through acquisition.</w:t>
      </w:r>
    </w:p>
    <w:p>
      <w:pPr>
        <w:pStyle w:val="TextBody"/>
        <w:bidi w:val="0"/>
        <w:spacing w:before="240" w:after="283"/>
        <w:jc w:val="left"/>
        <w:rPr>
          <w:rFonts w:ascii="Times New Roman" w:hAnsi="Times New Roman"/>
          <w:sz w:val="20"/>
        </w:rPr>
      </w:pPr>
      <w:r>
        <w:rPr>
          <w:rFonts w:ascii="Times New Roman" w:hAnsi="Times New Roman"/>
          <w:b/>
          <w:i/>
          <w:color w:val="000000"/>
          <w:sz w:val="20"/>
        </w:rPr>
        <w:t>Recently Adopted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From time to time, new accounting pronouncements are issued by the Financial Accounting Standards Board (FASB) or other standard setting bodies that are adopted by the Company as of the specified effective date.</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 xml:space="preserve">In June 2016, the FASB issued ASU No. 2016-13, </w:t>
      </w:r>
      <w:r>
        <w:rPr>
          <w:rFonts w:ascii="Times New Roman" w:hAnsi="Times New Roman"/>
          <w:b w:val="false"/>
          <w:i/>
          <w:color w:val="000000"/>
          <w:sz w:val="20"/>
        </w:rPr>
        <w:t>Financial Instruments - Credit Losses (Topic 326): Measurement of Credit Losses of Financial Instruments</w:t>
      </w:r>
      <w:r>
        <w:rPr>
          <w:rFonts w:ascii="Times New Roman" w:hAnsi="Times New Roman"/>
          <w:b w:val="false"/>
          <w:color w:val="000000"/>
          <w:sz w:val="20"/>
        </w:rPr>
        <w:t>, which, together with subsequent amendments, amends the requirement on the measurement and recognition of expected credit losses for financial assets held. ASU 2016-13 is effective for the Company for the annual periods beginning after December 15, 2022, including interim periods within those fiscal years, with early adoption permitted. The Company adopted this ASU effective January 1, 2023. There was no</w:t>
      </w:r>
      <w:r>
        <w:rPr>
          <w:rFonts w:ascii="Times New Roman" w:hAnsi="Times New Roman"/>
          <w:color w:val="000000"/>
          <w:sz w:val="20"/>
        </w:rPr>
        <w:t xml:space="preserve"> </w:t>
      </w:r>
      <w:r>
        <w:rPr>
          <w:rFonts w:ascii="Times New Roman" w:hAnsi="Times New Roman"/>
          <w:b w:val="false"/>
          <w:color w:val="000000"/>
          <w:sz w:val="20"/>
        </w:rPr>
        <w:t>impact on the Company's financial statements upon the adoption</w:t>
      </w:r>
      <w:r>
        <w:rPr>
          <w:rFonts w:ascii="Times New Roman" w:hAnsi="Times New Roman"/>
          <w:color w:val="000000"/>
          <w:sz w:val="20"/>
        </w:rPr>
        <w:t xml:space="preserve"> </w:t>
      </w:r>
      <w:r>
        <w:rPr>
          <w:rFonts w:ascii="Times New Roman" w:hAnsi="Times New Roman"/>
          <w:b w:val="false"/>
          <w:color w:val="000000"/>
          <w:sz w:val="20"/>
        </w:rPr>
        <w:t>of this ASU.</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Other accounting standards that have been issued or proposed by FASB or other standards-setting bodies that do not require adoption until a future date are not currently expected to have a material impact on the Company’s financial statements upon adoption.</w:t>
      </w:r>
    </w:p>
    <w:p>
      <w:pPr>
        <w:pStyle w:val="TextBody"/>
        <w:bidi w:val="0"/>
        <w:spacing w:before="360" w:after="283"/>
        <w:jc w:val="left"/>
        <w:rPr>
          <w:rFonts w:ascii="Times New Roman" w:hAnsi="Times New Roman"/>
          <w:sz w:val="20"/>
        </w:rPr>
      </w:pPr>
      <w:r>
        <w:rPr>
          <w:rFonts w:ascii="Times New Roman" w:hAnsi="Times New Roman"/>
          <w:b/>
          <w:color w:val="000000"/>
          <w:sz w:val="20"/>
        </w:rPr>
        <w:t>Note 4. Fair Value of Financial Instruments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carrying value of the Company’s cash, cash equivalents and accounts payable, approximate fair value due to the short-term nature of these items.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Fair value is defined as the exchange price that would be received for an asset or an exit price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fair value hierarchy defines a three-level valuation hierarchy for disclosure of fair value measurements as follows:</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Level I — Unadjusted quoted prices in active markets for identical assets or liabilities;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Level II — Inputs other than quoted prices included within Level I that are observable, unadjusted quoted prices in markets that are not active, or other inputs that are observable or can be corroborated by observable market data for substantially the full term of the related assets or liabilities;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Level III — Unobservable inputs that are supported by little or no market activity for the related assets or liabilities.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categorization of a financial instrument within the valuation hierarchy is based upon the lowest level of input that is significant to the fair value measurement.</w:t>
      </w:r>
      <w:r>
        <w:rPr>
          <w:rFonts w:ascii="Times New Roman" w:hAnsi="Times New Roman"/>
          <w:color w:val="000000"/>
          <w:sz w:val="20"/>
        </w:rPr>
        <w:t xml:space="preserve">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following table sets forth the Company’s financial instruments that were measured at fair value on a recurring basis by level within the fair value hierarchy (in thousands):</w:t>
      </w:r>
      <w:r>
        <w:rPr>
          <w:rFonts w:ascii="Times New Roman" w:hAnsi="Times New Roman"/>
          <w:color w:val="000000"/>
          <w:sz w:val="20"/>
        </w:rPr>
        <w:t xml:space="preserve"> </w:t>
      </w:r>
    </w:p>
    <w:p>
      <w:pPr>
        <w:pStyle w:val="TextBody"/>
        <w:bidi w:val="0"/>
        <w:jc w:val="left"/>
        <w:rPr/>
      </w:pPr>
      <w:r>
        <w:rPr/>
        <w:t> </w:t>
      </w:r>
    </w:p>
    <w:tbl>
      <w:tblPr>
        <w:tblW w:w="8423" w:type="dxa"/>
        <w:jc w:val="left"/>
        <w:tblInd w:w="0" w:type="dxa"/>
        <w:tblLayout w:type="fixed"/>
        <w:tblCellMar>
          <w:top w:w="28" w:type="dxa"/>
          <w:left w:w="28" w:type="dxa"/>
          <w:bottom w:w="28" w:type="dxa"/>
          <w:right w:w="28" w:type="dxa"/>
        </w:tblCellMar>
      </w:tblPr>
      <w:tblGrid>
        <w:gridCol w:w="3976"/>
        <w:gridCol w:w="146"/>
        <w:gridCol w:w="211"/>
        <w:gridCol w:w="676"/>
        <w:gridCol w:w="146"/>
        <w:gridCol w:w="146"/>
        <w:gridCol w:w="239"/>
        <w:gridCol w:w="391"/>
        <w:gridCol w:w="146"/>
        <w:gridCol w:w="146"/>
        <w:gridCol w:w="239"/>
        <w:gridCol w:w="391"/>
        <w:gridCol w:w="146"/>
        <w:gridCol w:w="146"/>
        <w:gridCol w:w="211"/>
        <w:gridCol w:w="676"/>
        <w:gridCol w:w="391"/>
      </w:tblGrid>
      <w:tr>
        <w:trPr/>
        <w:tc>
          <w:tcPr>
            <w:tcW w:w="3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91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 September 30,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7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39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2018 PIPE warrant liability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653</w:t>
            </w:r>
          </w:p>
        </w:tc>
        <w:tc>
          <w:tcPr>
            <w:tcW w:w="391" w:type="dxa"/>
            <w:tcBorders/>
            <w:shd w:fill="FFFFFF" w:val="clear"/>
            <w:vAlign w:val="center"/>
          </w:tcPr>
          <w:p>
            <w:pPr>
              <w:pStyle w:val="TableContents"/>
              <w:bidi w:val="0"/>
              <w:spacing w:before="0" w:after="283"/>
              <w:jc w:val="left"/>
              <w:rPr/>
            </w:pPr>
            <w:r>
              <w:rPr/>
              <w:t> </w:t>
            </w:r>
          </w:p>
        </w:tc>
      </w:tr>
      <w:tr>
        <w:trPr/>
        <w:tc>
          <w:tcPr>
            <w:tcW w:w="39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Essentialis purchase price contingency liability</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10,468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10,468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7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common stock warrant and contingent</w:t>
              <w:br/>
              <w:t>   consideration liability</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11,121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11,121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237" w:type="dxa"/>
        <w:jc w:val="left"/>
        <w:tblInd w:w="0" w:type="dxa"/>
        <w:tblLayout w:type="fixed"/>
        <w:tblCellMar>
          <w:top w:w="28" w:type="dxa"/>
          <w:left w:w="28" w:type="dxa"/>
          <w:bottom w:w="28" w:type="dxa"/>
          <w:right w:w="28" w:type="dxa"/>
        </w:tblCellMar>
      </w:tblPr>
      <w:tblGrid>
        <w:gridCol w:w="3976"/>
        <w:gridCol w:w="146"/>
        <w:gridCol w:w="213"/>
        <w:gridCol w:w="578"/>
        <w:gridCol w:w="147"/>
        <w:gridCol w:w="147"/>
        <w:gridCol w:w="238"/>
        <w:gridCol w:w="392"/>
        <w:gridCol w:w="147"/>
        <w:gridCol w:w="147"/>
        <w:gridCol w:w="238"/>
        <w:gridCol w:w="392"/>
        <w:gridCol w:w="147"/>
        <w:gridCol w:w="147"/>
        <w:gridCol w:w="213"/>
        <w:gridCol w:w="578"/>
        <w:gridCol w:w="391"/>
      </w:tblGrid>
      <w:tr>
        <w:trPr/>
        <w:tc>
          <w:tcPr>
            <w:tcW w:w="3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72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 December 31, 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vAlign w:val="center"/>
          </w:tcPr>
          <w:p>
            <w:pPr>
              <w:pStyle w:val="TableContents"/>
              <w:bidi w:val="0"/>
              <w:spacing w:before="0" w:after="283"/>
              <w:jc w:val="left"/>
              <w:rPr/>
            </w:pPr>
            <w:r>
              <w:rPr/>
              <w:t> </w:t>
            </w:r>
          </w:p>
        </w:tc>
        <w:tc>
          <w:tcPr>
            <w:tcW w:w="7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7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CFF0FC" w:val="clear"/>
            <w:vAlign w:val="center"/>
          </w:tcPr>
          <w:p>
            <w:pPr>
              <w:pStyle w:val="TableContents"/>
              <w:bidi w:val="0"/>
              <w:spacing w:before="0" w:after="283"/>
              <w:jc w:val="left"/>
              <w:rPr/>
            </w:pPr>
            <w:r>
              <w:rPr/>
              <w:t> </w:t>
            </w:r>
          </w:p>
        </w:tc>
        <w:tc>
          <w:tcPr>
            <w:tcW w:w="791" w:type="dxa"/>
            <w:gridSpan w:val="2"/>
            <w:tcBorders/>
            <w:shd w:fill="CFF0FC" w:val="clear"/>
            <w:vAlign w:val="center"/>
          </w:tcPr>
          <w:p>
            <w:pPr>
              <w:pStyle w:val="TableContents"/>
              <w:bidi w:val="0"/>
              <w:spacing w:before="0" w:after="283"/>
              <w:jc w:val="right"/>
              <w:rPr/>
            </w:pPr>
            <w:r>
              <w:rPr/>
              <w:t> </w:t>
            </w:r>
          </w:p>
        </w:tc>
        <w:tc>
          <w:tcPr>
            <w:tcW w:w="147" w:type="dxa"/>
            <w:tcBorders/>
            <w:shd w:fill="CFF0FC" w:val="clear"/>
            <w:vAlign w:val="center"/>
          </w:tcPr>
          <w:p>
            <w:pPr>
              <w:pStyle w:val="TableContents"/>
              <w:bidi w:val="0"/>
              <w:spacing w:before="0" w:after="283"/>
              <w:jc w:val="right"/>
              <w:rPr/>
            </w:pPr>
            <w:r>
              <w:rPr/>
              <w:t> </w:t>
            </w:r>
          </w:p>
        </w:tc>
        <w:tc>
          <w:tcPr>
            <w:tcW w:w="147" w:type="dxa"/>
            <w:tcBorders/>
            <w:shd w:fill="CFF0FC" w:val="clear"/>
            <w:vAlign w:val="center"/>
          </w:tcPr>
          <w:p>
            <w:pPr>
              <w:pStyle w:val="TableContents"/>
              <w:bidi w:val="0"/>
              <w:spacing w:before="0" w:after="283"/>
              <w:jc w:val="left"/>
              <w:rPr/>
            </w:pPr>
            <w:r>
              <w:rPr/>
              <w:t> </w:t>
            </w:r>
          </w:p>
        </w:tc>
        <w:tc>
          <w:tcPr>
            <w:tcW w:w="630" w:type="dxa"/>
            <w:gridSpan w:val="2"/>
            <w:tcBorders/>
            <w:shd w:fill="CFF0FC" w:val="clear"/>
            <w:vAlign w:val="center"/>
          </w:tcPr>
          <w:p>
            <w:pPr>
              <w:pStyle w:val="TableContents"/>
              <w:bidi w:val="0"/>
              <w:spacing w:before="0" w:after="283"/>
              <w:jc w:val="right"/>
              <w:rPr/>
            </w:pPr>
            <w:r>
              <w:rPr/>
              <w:t> </w:t>
            </w:r>
          </w:p>
        </w:tc>
        <w:tc>
          <w:tcPr>
            <w:tcW w:w="147" w:type="dxa"/>
            <w:tcBorders/>
            <w:shd w:fill="CFF0FC" w:val="clear"/>
            <w:vAlign w:val="center"/>
          </w:tcPr>
          <w:p>
            <w:pPr>
              <w:pStyle w:val="TableContents"/>
              <w:bidi w:val="0"/>
              <w:spacing w:before="0" w:after="283"/>
              <w:jc w:val="right"/>
              <w:rPr/>
            </w:pPr>
            <w:r>
              <w:rPr/>
              <w:t> </w:t>
            </w:r>
          </w:p>
        </w:tc>
        <w:tc>
          <w:tcPr>
            <w:tcW w:w="147" w:type="dxa"/>
            <w:tcBorders/>
            <w:shd w:fill="CFF0FC" w:val="clear"/>
            <w:vAlign w:val="center"/>
          </w:tcPr>
          <w:p>
            <w:pPr>
              <w:pStyle w:val="TableContents"/>
              <w:bidi w:val="0"/>
              <w:spacing w:before="0" w:after="283"/>
              <w:jc w:val="left"/>
              <w:rPr/>
            </w:pPr>
            <w:r>
              <w:rPr/>
              <w:t> </w:t>
            </w:r>
          </w:p>
        </w:tc>
        <w:tc>
          <w:tcPr>
            <w:tcW w:w="630" w:type="dxa"/>
            <w:gridSpan w:val="2"/>
            <w:tcBorders/>
            <w:shd w:fill="CFF0FC" w:val="clear"/>
            <w:vAlign w:val="center"/>
          </w:tcPr>
          <w:p>
            <w:pPr>
              <w:pStyle w:val="TableContents"/>
              <w:bidi w:val="0"/>
              <w:spacing w:before="0" w:after="283"/>
              <w:jc w:val="right"/>
              <w:rPr/>
            </w:pPr>
            <w:r>
              <w:rPr/>
              <w:t> </w:t>
            </w:r>
          </w:p>
        </w:tc>
        <w:tc>
          <w:tcPr>
            <w:tcW w:w="147" w:type="dxa"/>
            <w:tcBorders/>
            <w:shd w:fill="CFF0FC" w:val="clear"/>
            <w:vAlign w:val="center"/>
          </w:tcPr>
          <w:p>
            <w:pPr>
              <w:pStyle w:val="TableContents"/>
              <w:bidi w:val="0"/>
              <w:spacing w:before="0" w:after="283"/>
              <w:jc w:val="right"/>
              <w:rPr/>
            </w:pPr>
            <w:r>
              <w:rPr/>
              <w:t> </w:t>
            </w:r>
          </w:p>
        </w:tc>
        <w:tc>
          <w:tcPr>
            <w:tcW w:w="147" w:type="dxa"/>
            <w:tcBorders/>
            <w:shd w:fill="CFF0FC" w:val="clear"/>
            <w:vAlign w:val="center"/>
          </w:tcPr>
          <w:p>
            <w:pPr>
              <w:pStyle w:val="TableContents"/>
              <w:bidi w:val="0"/>
              <w:spacing w:before="0" w:after="283"/>
              <w:jc w:val="left"/>
              <w:rPr/>
            </w:pPr>
            <w:r>
              <w:rPr/>
              <w:t> </w:t>
            </w:r>
          </w:p>
        </w:tc>
        <w:tc>
          <w:tcPr>
            <w:tcW w:w="791"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39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2018 PIPE warrant liability</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14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92" w:type="dxa"/>
            <w:tcBorders/>
            <w:shd w:fill="FFFFFF" w:val="clear"/>
            <w:vAlign w:val="center"/>
          </w:tcPr>
          <w:p>
            <w:pPr>
              <w:pStyle w:val="TableContents"/>
              <w:bidi w:val="0"/>
              <w:spacing w:before="0" w:after="283"/>
              <w:jc w:val="right"/>
              <w:rPr>
                <w:color w:val="000000"/>
              </w:rPr>
            </w:pPr>
            <w:r>
              <w:rPr>
                <w:color w:val="000000"/>
              </w:rPr>
              <w:t>—</w:t>
            </w:r>
          </w:p>
        </w:tc>
        <w:tc>
          <w:tcPr>
            <w:tcW w:w="14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92" w:type="dxa"/>
            <w:tcBorders/>
            <w:shd w:fill="FFFFFF" w:val="clear"/>
            <w:vAlign w:val="center"/>
          </w:tcPr>
          <w:p>
            <w:pPr>
              <w:pStyle w:val="TableContents"/>
              <w:bidi w:val="0"/>
              <w:spacing w:before="0" w:after="283"/>
              <w:jc w:val="right"/>
              <w:rPr>
                <w:color w:val="000000"/>
              </w:rPr>
            </w:pPr>
            <w:r>
              <w:rPr>
                <w:color w:val="000000"/>
              </w:rPr>
              <w:t>—</w:t>
            </w:r>
          </w:p>
        </w:tc>
        <w:tc>
          <w:tcPr>
            <w:tcW w:w="14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391" w:type="dxa"/>
            <w:tcBorders/>
            <w:shd w:fill="FFFFFF" w:val="clear"/>
            <w:vAlign w:val="center"/>
          </w:tcPr>
          <w:p>
            <w:pPr>
              <w:pStyle w:val="TableContents"/>
              <w:bidi w:val="0"/>
              <w:spacing w:before="0" w:after="283"/>
              <w:jc w:val="left"/>
              <w:rPr/>
            </w:pPr>
            <w:r>
              <w:rPr/>
              <w:t> </w:t>
            </w:r>
          </w:p>
        </w:tc>
      </w:tr>
      <w:tr>
        <w:trPr/>
        <w:tc>
          <w:tcPr>
            <w:tcW w:w="39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Essentialis purchase price contingency liability</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8,835</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8,835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7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common stock warrant and contingent</w:t>
              <w:br/>
              <w:t>   consideration liability</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8,836</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8,836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b w:val="false"/>
          <w:color w:val="000000"/>
          <w:sz w:val="20"/>
        </w:rPr>
        <w:t>The Company’s estimated fair value of the 2018 PIPE Warrants was calculated using a Black-Scholes pricing model. The Black-Scholes pricing model requires the input of highly subjective assumptions including the expected stock price volatility, the expected term, the expected dividend yield and the risk-free interest rate.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Based on the terms of the Company’s completed merger with Essentialis on March 7, 2017, the Company is obligated to make cash earnout payments of up to a maximum of $21.2</w:t>
      </w:r>
      <w:r>
        <w:rPr>
          <w:rFonts w:ascii="Times New Roman" w:hAnsi="Times New Roman"/>
          <w:color w:val="000000"/>
          <w:sz w:val="20"/>
        </w:rPr>
        <w:t xml:space="preserve"> </w:t>
      </w:r>
      <w:r>
        <w:rPr>
          <w:rFonts w:ascii="Times New Roman" w:hAnsi="Times New Roman"/>
          <w:b w:val="false"/>
          <w:color w:val="000000"/>
          <w:sz w:val="20"/>
        </w:rPr>
        <w:t>million to the former Essentialis stockholders. The fair value of the Essentialis purchase price contingent liability is estimated using scenario-based methods based upon the Company’s analysis of the likelihood of obtaining specified approvals from the U.S. Food and Drug Administration (FDA) as well as achieving two commercial sales milestones of $100</w:t>
      </w:r>
      <w:r>
        <w:rPr>
          <w:rFonts w:ascii="Times New Roman" w:hAnsi="Times New Roman"/>
          <w:color w:val="000000"/>
          <w:sz w:val="20"/>
        </w:rPr>
        <w:t xml:space="preserve"> </w:t>
      </w:r>
      <w:r>
        <w:rPr>
          <w:rFonts w:ascii="Times New Roman" w:hAnsi="Times New Roman"/>
          <w:b w:val="false"/>
          <w:color w:val="000000"/>
          <w:sz w:val="20"/>
        </w:rPr>
        <w:t>million and $200</w:t>
      </w:r>
      <w:r>
        <w:rPr>
          <w:rFonts w:ascii="Times New Roman" w:hAnsi="Times New Roman"/>
          <w:color w:val="000000"/>
          <w:sz w:val="20"/>
        </w:rPr>
        <w:t xml:space="preserve"> </w:t>
      </w:r>
      <w:r>
        <w:rPr>
          <w:rFonts w:ascii="Times New Roman" w:hAnsi="Times New Roman"/>
          <w:b w:val="false"/>
          <w:color w:val="000000"/>
          <w:sz w:val="20"/>
        </w:rPr>
        <w:t>million in cumulative revenue. The Level 3 estimates are based, in part, on subjective assumptions. In determining the likelihood of this occurring, the analysis relied on published research relating to clinical development success rates. Based on management’s assessment, an 88% and a 72% probability of achieving all three milestones was determined to be reasonable as of September 30, 2023 and December 31, 2022, respectively. During the periods presented, the Company has not changed the manner in which it values its Essentialis purchase price contingent liability.</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 recognizes transfers between levels of the fair value hierarchy as of the end of the reporting period. There were no transfers between levels within the hierarchy during the periods presented.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following table sets forth a summary of the changes in the fair value of the Company’s Level 3 liabilities for the nine months ended September 30, 2023 and 2022 (dollars in thousands):</w:t>
      </w:r>
      <w:r>
        <w:rPr>
          <w:rFonts w:ascii="Times New Roman" w:hAnsi="Times New Roman"/>
          <w:color w:val="000000"/>
          <w:sz w:val="20"/>
        </w:rPr>
        <w:t xml:space="preserve"> </w:t>
      </w:r>
    </w:p>
    <w:p>
      <w:pPr>
        <w:pStyle w:val="TextBody"/>
        <w:bidi w:val="0"/>
        <w:jc w:val="left"/>
        <w:rPr/>
      </w:pPr>
      <w:r>
        <w:rPr/>
        <w:t> </w:t>
      </w:r>
    </w:p>
    <w:tbl>
      <w:tblPr>
        <w:tblW w:w="7083" w:type="dxa"/>
        <w:jc w:val="left"/>
        <w:tblInd w:w="0" w:type="dxa"/>
        <w:tblLayout w:type="fixed"/>
        <w:tblCellMar>
          <w:top w:w="28" w:type="dxa"/>
          <w:left w:w="28" w:type="dxa"/>
          <w:bottom w:w="28" w:type="dxa"/>
          <w:right w:w="28" w:type="dxa"/>
        </w:tblCellMar>
      </w:tblPr>
      <w:tblGrid>
        <w:gridCol w:w="3331"/>
        <w:gridCol w:w="146"/>
        <w:gridCol w:w="157"/>
        <w:gridCol w:w="728"/>
        <w:gridCol w:w="146"/>
        <w:gridCol w:w="146"/>
        <w:gridCol w:w="240"/>
        <w:gridCol w:w="481"/>
        <w:gridCol w:w="166"/>
        <w:gridCol w:w="146"/>
        <w:gridCol w:w="282"/>
        <w:gridCol w:w="903"/>
        <w:gridCol w:w="211"/>
      </w:tblGrid>
      <w:tr>
        <w:trPr/>
        <w:tc>
          <w:tcPr>
            <w:tcW w:w="3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2018 PIPE Warrants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Purchase Price</w:t>
            </w:r>
          </w:p>
        </w:tc>
        <w:tc>
          <w:tcPr>
            <w:tcW w:w="211" w:type="dxa"/>
            <w:tcBorders/>
            <w:shd w:fill="FFFFFF" w:val="clear"/>
            <w:vAlign w:val="center"/>
          </w:tcPr>
          <w:p>
            <w:pPr>
              <w:pStyle w:val="TableContents"/>
              <w:bidi w:val="0"/>
              <w:spacing w:before="0" w:after="283"/>
              <w:jc w:val="center"/>
              <w:rPr/>
            </w:pPr>
            <w:r>
              <w:rPr/>
              <w:t> </w:t>
            </w:r>
          </w:p>
        </w:tc>
      </w:tr>
      <w:tr>
        <w:trPr/>
        <w:tc>
          <w:tcPr>
            <w:tcW w:w="33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Warrants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Liability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Contingent</w:t>
              <w:br/>
              <w:t>Liability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Balance at January 1, 2023</w:t>
            </w:r>
          </w:p>
        </w:tc>
        <w:tc>
          <w:tcPr>
            <w:tcW w:w="146" w:type="dxa"/>
            <w:tcBorders/>
            <w:shd w:fill="FFFFFF" w:val="clear"/>
            <w:vAlign w:val="center"/>
          </w:tcPr>
          <w:p>
            <w:pPr>
              <w:pStyle w:val="TableContents"/>
              <w:bidi w:val="0"/>
              <w:spacing w:before="0" w:after="283"/>
              <w:jc w:val="right"/>
              <w:rPr/>
            </w:pPr>
            <w:r>
              <w:rPr/>
              <w:t> </w:t>
            </w:r>
          </w:p>
        </w:tc>
        <w:tc>
          <w:tcPr>
            <w:tcW w:w="157"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34,241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0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8,835</w:t>
            </w:r>
          </w:p>
        </w:tc>
        <w:tc>
          <w:tcPr>
            <w:tcW w:w="211" w:type="dxa"/>
            <w:tcBorders/>
            <w:shd w:fill="FFFFFF" w:val="clear"/>
            <w:vAlign w:val="center"/>
          </w:tcPr>
          <w:p>
            <w:pPr>
              <w:pStyle w:val="TableContents"/>
              <w:bidi w:val="0"/>
              <w:spacing w:before="0" w:after="283"/>
              <w:jc w:val="left"/>
              <w:rPr/>
            </w:pPr>
            <w:r>
              <w:rPr/>
              <w:t> </w:t>
            </w:r>
          </w:p>
        </w:tc>
      </w:tr>
      <w:tr>
        <w:trPr/>
        <w:tc>
          <w:tcPr>
            <w:tcW w:w="33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Change in value of 2018 PIPE Warrants</w:t>
            </w:r>
          </w:p>
        </w:tc>
        <w:tc>
          <w:tcPr>
            <w:tcW w:w="146" w:type="dxa"/>
            <w:tcBorders/>
            <w:shd w:fill="CFF0FC" w:val="clear"/>
            <w:vAlign w:val="center"/>
          </w:tcPr>
          <w:p>
            <w:pPr>
              <w:pStyle w:val="TableContents"/>
              <w:bidi w:val="0"/>
              <w:spacing w:before="0" w:after="283"/>
              <w:jc w:val="right"/>
              <w:rPr/>
            </w:pPr>
            <w:r>
              <w:rPr/>
              <w:t> </w:t>
            </w:r>
          </w:p>
        </w:tc>
        <w:tc>
          <w:tcPr>
            <w:tcW w:w="157" w:type="dxa"/>
            <w:tcBorders/>
            <w:shd w:fill="CFF0FC" w:val="clear"/>
            <w:vAlign w:val="center"/>
          </w:tcPr>
          <w:p>
            <w:pPr>
              <w:pStyle w:val="TableContents"/>
              <w:bidi w:val="0"/>
              <w:spacing w:before="0" w:after="283"/>
              <w:jc w:val="left"/>
              <w:rPr/>
            </w:pPr>
            <w:r>
              <w:rPr/>
              <w:t> </w:t>
            </w:r>
          </w:p>
        </w:tc>
        <w:tc>
          <w:tcPr>
            <w:tcW w:w="72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33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Change in value of contingent liability</w:t>
            </w:r>
          </w:p>
        </w:tc>
        <w:tc>
          <w:tcPr>
            <w:tcW w:w="146" w:type="dxa"/>
            <w:tcBorders/>
            <w:shd w:fill="FFFFFF" w:val="clear"/>
            <w:vAlign w:val="center"/>
          </w:tcPr>
          <w:p>
            <w:pPr>
              <w:pStyle w:val="TableContents"/>
              <w:bidi w:val="0"/>
              <w:spacing w:before="0" w:after="283"/>
              <w:jc w:val="righ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1,633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Balance at September 30, 2023</w:t>
            </w:r>
          </w:p>
        </w:tc>
        <w:tc>
          <w:tcPr>
            <w:tcW w:w="146" w:type="dxa"/>
            <w:tcBorders/>
            <w:shd w:fill="CFF0FC" w:val="clear"/>
            <w:vAlign w:val="center"/>
          </w:tcPr>
          <w:p>
            <w:pPr>
              <w:pStyle w:val="TableContents"/>
              <w:bidi w:val="0"/>
              <w:spacing w:before="0" w:after="283"/>
              <w:jc w:val="right"/>
              <w:rPr/>
            </w:pPr>
            <w:r>
              <w:rPr/>
              <w:t> </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34,241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10,468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88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85"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33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2018 PIPE Warrants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Purchase Price</w:t>
            </w:r>
          </w:p>
        </w:tc>
        <w:tc>
          <w:tcPr>
            <w:tcW w:w="211" w:type="dxa"/>
            <w:tcBorders/>
            <w:shd w:fill="FFFFFF" w:val="clear"/>
            <w:vAlign w:val="center"/>
          </w:tcPr>
          <w:p>
            <w:pPr>
              <w:pStyle w:val="TableContents"/>
              <w:bidi w:val="0"/>
              <w:spacing w:before="0" w:after="283"/>
              <w:jc w:val="center"/>
              <w:rPr/>
            </w:pPr>
            <w:r>
              <w:rPr/>
              <w:t> </w:t>
            </w:r>
          </w:p>
        </w:tc>
      </w:tr>
      <w:tr>
        <w:trPr/>
        <w:tc>
          <w:tcPr>
            <w:tcW w:w="33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Warrants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Liability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Contingent</w:t>
              <w:br/>
              <w:t>Liability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Balance at January 1, 2022</w:t>
            </w:r>
          </w:p>
        </w:tc>
        <w:tc>
          <w:tcPr>
            <w:tcW w:w="146"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72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34,241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0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9,547</w:t>
            </w:r>
          </w:p>
        </w:tc>
        <w:tc>
          <w:tcPr>
            <w:tcW w:w="211" w:type="dxa"/>
            <w:tcBorders/>
            <w:shd w:fill="CFF0FC" w:val="clear"/>
            <w:vAlign w:val="center"/>
          </w:tcPr>
          <w:p>
            <w:pPr>
              <w:pStyle w:val="TableContents"/>
              <w:bidi w:val="0"/>
              <w:spacing w:before="0" w:after="283"/>
              <w:jc w:val="left"/>
              <w:rPr/>
            </w:pPr>
            <w:r>
              <w:rPr/>
              <w:t> </w:t>
            </w:r>
          </w:p>
        </w:tc>
      </w:tr>
      <w:tr>
        <w:trPr/>
        <w:tc>
          <w:tcPr>
            <w:tcW w:w="33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Change in value of 2018 PIPE Warrants</w:t>
            </w:r>
          </w:p>
        </w:tc>
        <w:tc>
          <w:tcPr>
            <w:tcW w:w="146"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33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Change in value of contingent liability</w:t>
            </w:r>
          </w:p>
        </w:tc>
        <w:tc>
          <w:tcPr>
            <w:tcW w:w="146" w:type="dxa"/>
            <w:tcBorders/>
            <w:shd w:fill="CFF0FC" w:val="cle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3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Balance at September 30, 2022</w:t>
            </w:r>
          </w:p>
        </w:tc>
        <w:tc>
          <w:tcPr>
            <w:tcW w:w="146" w:type="dxa"/>
            <w:tcBorders/>
            <w:shd w:fill="FFFFFF" w:val="clear"/>
            <w:vAlign w:val="center"/>
          </w:tcPr>
          <w:p>
            <w:pPr>
              <w:pStyle w:val="TableContents"/>
              <w:bidi w:val="0"/>
              <w:spacing w:before="0" w:after="283"/>
              <w:jc w:val="left"/>
              <w:rPr/>
            </w:pPr>
            <w:r>
              <w:rPr/>
              <w:t> </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34,241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9,437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Note 5. Warrants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 xml:space="preserve">The Company has issued multiple warrant series, of which the 2018 PIPE Warrants were determined to be liabilities pursuant to the guidance established by </w:t>
      </w:r>
      <w:r>
        <w:rPr>
          <w:rFonts w:ascii="Times New Roman" w:hAnsi="Times New Roman"/>
          <w:b w:val="false"/>
          <w:i/>
          <w:color w:val="000000"/>
          <w:sz w:val="20"/>
        </w:rPr>
        <w:t>ASC 815 Derivatives and Hedging.</w:t>
      </w:r>
      <w:r>
        <w:rPr>
          <w:rFonts w:ascii="Times New Roman" w:hAnsi="Times New Roman"/>
          <w:color w:val="000000"/>
          <w:sz w:val="20"/>
        </w:rPr>
        <w:t xml:space="preserve">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Warrants Issued as Part of the Units in the 2018 PIPE Offering</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2018 PIPE Warrants were issued on December 19, 2018 in the 2018 PIPE Offering, pursuant to a Warrant Agreement with each of the investors in the 2018 PIPE Offering, and entitle the holders to purchase 34,241</w:t>
      </w:r>
      <w:r>
        <w:rPr>
          <w:rFonts w:ascii="Times New Roman" w:hAnsi="Times New Roman"/>
          <w:color w:val="000000"/>
          <w:sz w:val="20"/>
        </w:rPr>
        <w:t xml:space="preserve"> </w:t>
      </w:r>
      <w:r>
        <w:rPr>
          <w:rFonts w:ascii="Times New Roman" w:hAnsi="Times New Roman"/>
          <w:b w:val="false"/>
          <w:color w:val="000000"/>
          <w:sz w:val="20"/>
        </w:rPr>
        <w:t>shares of the Company’s common stock at an exercise price equal to $30.00</w:t>
      </w:r>
      <w:r>
        <w:rPr>
          <w:rFonts w:ascii="Times New Roman" w:hAnsi="Times New Roman"/>
          <w:color w:val="000000"/>
          <w:sz w:val="20"/>
        </w:rPr>
        <w:t xml:space="preserve"> </w:t>
      </w:r>
      <w:r>
        <w:rPr>
          <w:rFonts w:ascii="Times New Roman" w:hAnsi="Times New Roman"/>
          <w:b w:val="false"/>
          <w:color w:val="000000"/>
          <w:sz w:val="20"/>
        </w:rPr>
        <w:t xml:space="preserve">per share, subject to adjustment as discussed below, at any time commencing upon issuance of the 2018 PIPE Warrants and terminating on December 21, 2023.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exercise price and number of shares of common stock issuable upon exercise of the 2018 PIPE Warrants may be adjusted in certain circumstances, including the event of a stock split, stock dividend, extraordinary dividend, or recapitalization, reorganization, merger or consolidation. However, the exercise price of the 2018 PIPE Warrants will not be reduced below $30.00.</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the event of a change of control of the Company, the holders of unexercised warrants may present their unexercised warrants to the Company, or its successor, to be purchased by the Company, or its successor, in an amount equal to the per share value determined by the Black Scholes methodology.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Since the Company may be obligated to settle the 2018 PIPE Warrants in cash, the Company classified the 2018 PIPE Warrants as long-term liabilities at their fair value and will re-measure the warrants at each balance sheet date until they are exercised or expire. Any change in the fair value is recognized as Other income (expense) in the Company’s condensed consolidated statements of operations and comprehensive loss.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As of September 30, 2023 and December 31, 2022, the fair value of the 2018 PIPE Warrants was estimated at approximately $653,000</w:t>
      </w:r>
      <w:r>
        <w:rPr>
          <w:rFonts w:ascii="Times New Roman" w:hAnsi="Times New Roman"/>
          <w:color w:val="000000"/>
          <w:sz w:val="20"/>
        </w:rPr>
        <w:t xml:space="preserve"> </w:t>
      </w:r>
      <w:r>
        <w:rPr>
          <w:rFonts w:ascii="Times New Roman" w:hAnsi="Times New Roman"/>
          <w:b w:val="false"/>
          <w:color w:val="000000"/>
          <w:sz w:val="20"/>
        </w:rPr>
        <w:t>and $1,000, respectively.</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Company has calculated the fair value of the 2018 PIPE Warrants using a Black-Scholes pricing model. The following summarizes certain key assumptions used in estimating the fair value: </w:t>
      </w:r>
    </w:p>
    <w:p>
      <w:pPr>
        <w:pStyle w:val="TextBody"/>
        <w:bidi w:val="0"/>
        <w:jc w:val="left"/>
        <w:rPr/>
      </w:pPr>
      <w:r>
        <w:rPr/>
        <w:t> </w:t>
      </w:r>
    </w:p>
    <w:tbl>
      <w:tblPr>
        <w:tblW w:w="5245" w:type="dxa"/>
        <w:jc w:val="left"/>
        <w:tblInd w:w="0" w:type="dxa"/>
        <w:tblLayout w:type="fixed"/>
        <w:tblCellMar>
          <w:top w:w="28" w:type="dxa"/>
          <w:left w:w="28" w:type="dxa"/>
          <w:bottom w:w="28" w:type="dxa"/>
          <w:right w:w="28" w:type="dxa"/>
        </w:tblCellMar>
      </w:tblPr>
      <w:tblGrid>
        <w:gridCol w:w="2131"/>
        <w:gridCol w:w="146"/>
        <w:gridCol w:w="271"/>
        <w:gridCol w:w="869"/>
        <w:gridCol w:w="271"/>
        <w:gridCol w:w="146"/>
        <w:gridCol w:w="261"/>
        <w:gridCol w:w="834"/>
        <w:gridCol w:w="316"/>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Volatility</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86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392</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117</w:t>
            </w:r>
          </w:p>
        </w:tc>
        <w:tc>
          <w:tcPr>
            <w:tcW w:w="3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1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Contractual term (years)</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0.2</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w:t>
            </w:r>
          </w:p>
        </w:tc>
        <w:tc>
          <w:tcPr>
            <w:tcW w:w="316" w:type="dxa"/>
            <w:tcBorders/>
            <w:shd w:fill="FFFFFF" w:val="clear"/>
            <w:vAlign w:val="center"/>
          </w:tcPr>
          <w:p>
            <w:pPr>
              <w:pStyle w:val="TableContents"/>
              <w:bidi w:val="0"/>
              <w:spacing w:before="0" w:after="283"/>
              <w:jc w:val="left"/>
              <w:rPr/>
            </w:pPr>
            <w:r>
              <w:rPr/>
              <w:t> </w:t>
            </w:r>
          </w:p>
        </w:tc>
      </w:tr>
      <w:tr>
        <w:trPr/>
        <w:tc>
          <w:tcPr>
            <w:tcW w:w="21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Expected dividend yield</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869" w:type="dxa"/>
            <w:tcBorders/>
            <w:shd w:fill="CFF0FC" w:val="clear"/>
            <w:vAlign w:val="center"/>
          </w:tcPr>
          <w:p>
            <w:pPr>
              <w:pStyle w:val="TableContents"/>
              <w:bidi w:val="0"/>
              <w:spacing w:before="0" w:after="283"/>
              <w:jc w:val="right"/>
              <w:rPr>
                <w:color w:val="000000"/>
              </w:rPr>
            </w:pPr>
            <w:r>
              <w:rPr>
                <w:color w:val="000000"/>
              </w:rPr>
              <w:t>—</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3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1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Risk-free rate</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5.58</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4.74</w:t>
            </w:r>
          </w:p>
        </w:tc>
        <w:tc>
          <w:tcPr>
            <w:tcW w:w="3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The Black-Scholes pricing model requires the use of highly subjective assumptions to estimate the fair value of stock-based awards. These assumptions include the following estimates: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val="false"/>
          <w:i/>
          <w:color w:val="000000"/>
          <w:sz w:val="20"/>
        </w:rPr>
        <w:t>Volatility:</w:t>
      </w:r>
      <w:r>
        <w:rPr>
          <w:color w:val="000000"/>
        </w:rPr>
        <w:t xml:space="preserve"> </w:t>
      </w:r>
      <w:r>
        <w:rPr>
          <w:rFonts w:ascii="Times New Roman" w:hAnsi="Times New Roman"/>
          <w:b w:val="false"/>
          <w:color w:val="000000"/>
          <w:sz w:val="20"/>
        </w:rPr>
        <w:t xml:space="preserve">The Company calculated the estimated volatility rate based on its historical volatility over the expected life of the warrants.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val="false"/>
          <w:i/>
          <w:color w:val="000000"/>
          <w:sz w:val="20"/>
        </w:rPr>
        <w:t>Contractual term:</w:t>
      </w:r>
      <w:r>
        <w:rPr>
          <w:color w:val="000000"/>
        </w:rPr>
        <w:t xml:space="preserve"> </w:t>
      </w:r>
      <w:r>
        <w:rPr>
          <w:rFonts w:ascii="Times New Roman" w:hAnsi="Times New Roman"/>
          <w:b w:val="false"/>
          <w:color w:val="000000"/>
          <w:sz w:val="20"/>
        </w:rPr>
        <w:t>The expected life of the warrants, which is based on the contractual term of the warrants.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val="false"/>
          <w:i/>
          <w:color w:val="000000"/>
          <w:sz w:val="20"/>
        </w:rPr>
        <w:t>Expected dividend yield:</w:t>
      </w:r>
      <w:r>
        <w:rPr>
          <w:color w:val="000000"/>
        </w:rPr>
        <w:t xml:space="preserve"> </w:t>
      </w:r>
      <w:r>
        <w:rPr>
          <w:rFonts w:ascii="Times New Roman" w:hAnsi="Times New Roman"/>
          <w:b w:val="false"/>
          <w:color w:val="000000"/>
          <w:sz w:val="20"/>
        </w:rPr>
        <w:t>The Company has never declared or paid any cash dividends and does not currently plan to pay cash dividends in the foreseeable future. Consequently, the Company used an expected dividend yield of zero.</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val="false"/>
          <w:i/>
          <w:color w:val="000000"/>
          <w:sz w:val="20"/>
        </w:rPr>
        <w:t>Risk-free rate:</w:t>
      </w:r>
      <w:r>
        <w:rPr>
          <w:color w:val="000000"/>
        </w:rPr>
        <w:t xml:space="preserve"> </w:t>
      </w:r>
      <w:r>
        <w:rPr>
          <w:rFonts w:ascii="Times New Roman" w:hAnsi="Times New Roman"/>
          <w:b w:val="false"/>
          <w:color w:val="000000"/>
          <w:sz w:val="20"/>
        </w:rPr>
        <w:t>The risk-free interest rate is based on the U.S. Treasury rate for similar periods as the expected life of the warrants.</w:t>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Note 6. Commitments and 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Facility Leases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Company’s operating lease for its headquarters facility office space in Redwood City, California began in June 2021</w:t>
      </w:r>
      <w:r>
        <w:rPr>
          <w:rFonts w:ascii="Times New Roman" w:hAnsi="Times New Roman"/>
          <w:color w:val="000000"/>
          <w:sz w:val="20"/>
        </w:rPr>
        <w:t xml:space="preserve"> </w:t>
      </w:r>
      <w:r>
        <w:rPr>
          <w:rFonts w:ascii="Times New Roman" w:hAnsi="Times New Roman"/>
          <w:b w:val="false"/>
          <w:color w:val="000000"/>
          <w:sz w:val="20"/>
        </w:rPr>
        <w:t>and expired in May 2023.</w:t>
      </w:r>
      <w:r>
        <w:rPr>
          <w:rFonts w:ascii="Times New Roman" w:hAnsi="Times New Roman"/>
          <w:color w:val="000000"/>
          <w:sz w:val="20"/>
        </w:rPr>
        <w:t xml:space="preserve"> </w:t>
      </w:r>
      <w:r>
        <w:rPr>
          <w:rFonts w:ascii="Times New Roman" w:hAnsi="Times New Roman"/>
          <w:b w:val="false"/>
          <w:color w:val="000000"/>
          <w:sz w:val="20"/>
        </w:rPr>
        <w:t>In April 2023, the Company entered into a twenty-four month lease extension commencing on June 1, 2023. The term of the lease extension expires in May 2025.</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Company recorded an increase to its right-of-use asset by $0.6</w:t>
      </w:r>
      <w:r>
        <w:rPr>
          <w:rFonts w:ascii="Times New Roman" w:hAnsi="Times New Roman"/>
          <w:color w:val="000000"/>
          <w:sz w:val="20"/>
        </w:rPr>
        <w:t xml:space="preserve"> </w:t>
      </w:r>
      <w:r>
        <w:rPr>
          <w:rFonts w:ascii="Times New Roman" w:hAnsi="Times New Roman"/>
          <w:b w:val="false"/>
          <w:color w:val="000000"/>
          <w:sz w:val="20"/>
        </w:rPr>
        <w:t>million and an increase to its lease liability by $0.6</w:t>
      </w:r>
      <w:r>
        <w:rPr>
          <w:rFonts w:ascii="Times New Roman" w:hAnsi="Times New Roman"/>
          <w:color w:val="000000"/>
          <w:sz w:val="20"/>
        </w:rPr>
        <w:t xml:space="preserve"> </w:t>
      </w:r>
      <w:r>
        <w:rPr>
          <w:rFonts w:ascii="Times New Roman" w:hAnsi="Times New Roman"/>
          <w:b w:val="false"/>
          <w:color w:val="000000"/>
          <w:sz w:val="20"/>
        </w:rPr>
        <w:t>million as a result of the lease extension. The weighted average discount rate related to the Company's lease liabilities as of September 30, 2023 was 8.25% over a remaining term of 20</w:t>
      </w:r>
      <w:r>
        <w:rPr>
          <w:rFonts w:ascii="Times New Roman" w:hAnsi="Times New Roman"/>
          <w:color w:val="000000"/>
          <w:sz w:val="20"/>
        </w:rPr>
        <w:t xml:space="preserve"> </w:t>
      </w:r>
      <w:r>
        <w:rPr>
          <w:rFonts w:ascii="Times New Roman" w:hAnsi="Times New Roman"/>
          <w:b w:val="false"/>
          <w:color w:val="000000"/>
          <w:sz w:val="20"/>
        </w:rPr>
        <w:t>months. The weighted average discount rate related to the Company's lease liabilities as of December 31, 2022 was 9% over a remaining term of 5 months. The discount rate was determined based on estimates of the Company’s incremental borrowing rate, as the discount rate implicit in the lease cannot be readily determined.</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following is a schedule by year of future maturities of the Company's operating lease liabilities as of September 30, 2023 (in thousands):</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t> </w:t>
      </w:r>
    </w:p>
    <w:tbl>
      <w:tblPr>
        <w:tblW w:w="3605" w:type="dxa"/>
        <w:jc w:val="left"/>
        <w:tblInd w:w="0" w:type="dxa"/>
        <w:tblLayout w:type="fixed"/>
        <w:tblCellMar>
          <w:top w:w="28" w:type="dxa"/>
          <w:left w:w="28" w:type="dxa"/>
          <w:bottom w:w="28" w:type="dxa"/>
          <w:right w:w="28" w:type="dxa"/>
        </w:tblCellMar>
      </w:tblPr>
      <w:tblGrid>
        <w:gridCol w:w="2416"/>
        <w:gridCol w:w="211"/>
        <w:gridCol w:w="146"/>
        <w:gridCol w:w="421"/>
        <w:gridCol w:w="411"/>
      </w:tblGrid>
      <w:tr>
        <w:trPr/>
        <w:tc>
          <w:tcPr>
            <w:tcW w:w="24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4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2023 (remainder of the year)</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w:t>
            </w:r>
          </w:p>
        </w:tc>
        <w:tc>
          <w:tcPr>
            <w:tcW w:w="411" w:type="dxa"/>
            <w:tcBorders/>
            <w:shd w:fill="CFF0FC" w:val="clear"/>
            <w:vAlign w:val="center"/>
          </w:tcPr>
          <w:p>
            <w:pPr>
              <w:pStyle w:val="TableContents"/>
              <w:bidi w:val="0"/>
              <w:spacing w:before="0" w:after="283"/>
              <w:jc w:val="left"/>
              <w:rPr/>
            </w:pPr>
            <w:r>
              <w:rPr/>
              <w:t> </w:t>
            </w:r>
          </w:p>
        </w:tc>
      </w:tr>
      <w:tr>
        <w:trPr/>
        <w:tc>
          <w:tcPr>
            <w:tcW w:w="24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2024</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287</w:t>
            </w:r>
          </w:p>
        </w:tc>
        <w:tc>
          <w:tcPr>
            <w:tcW w:w="411" w:type="dxa"/>
            <w:tcBorders/>
            <w:shd w:fill="FFFFFF" w:val="clear"/>
            <w:vAlign w:val="center"/>
          </w:tcPr>
          <w:p>
            <w:pPr>
              <w:pStyle w:val="TableContents"/>
              <w:bidi w:val="0"/>
              <w:spacing w:before="0" w:after="283"/>
              <w:jc w:val="left"/>
              <w:rPr/>
            </w:pPr>
            <w:r>
              <w:rPr/>
              <w:t> </w:t>
            </w:r>
          </w:p>
        </w:tc>
      </w:tr>
      <w:tr>
        <w:trPr/>
        <w:tc>
          <w:tcPr>
            <w:tcW w:w="24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2025</w:t>
            </w:r>
          </w:p>
        </w:tc>
        <w:tc>
          <w:tcPr>
            <w:tcW w:w="211"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1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lease payments</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506</w:t>
            </w:r>
          </w:p>
        </w:tc>
        <w:tc>
          <w:tcPr>
            <w:tcW w:w="411" w:type="dxa"/>
            <w:tcBorders/>
            <w:shd w:fill="FFFFFF" w:val="clear"/>
            <w:vAlign w:val="center"/>
          </w:tcPr>
          <w:p>
            <w:pPr>
              <w:pStyle w:val="TableContents"/>
              <w:bidi w:val="0"/>
              <w:spacing w:before="0" w:after="283"/>
              <w:jc w:val="left"/>
              <w:rPr/>
            </w:pPr>
            <w:r>
              <w:rPr/>
              <w:t> </w:t>
            </w:r>
          </w:p>
        </w:tc>
      </w:tr>
      <w:tr>
        <w:trPr/>
        <w:tc>
          <w:tcPr>
            <w:tcW w:w="24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Less interest</w:t>
            </w:r>
          </w:p>
        </w:tc>
        <w:tc>
          <w:tcPr>
            <w:tcW w:w="211"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241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components of lease expense during the three and nine months ended September 30, 2023 and 2022 were as follows (in thousands):</w:t>
      </w:r>
    </w:p>
    <w:p>
      <w:pPr>
        <w:pStyle w:val="TextBody"/>
        <w:bidi w:val="0"/>
        <w:spacing w:before="120" w:after="283"/>
        <w:jc w:val="left"/>
        <w:rPr/>
      </w:pPr>
      <w:r>
        <w:rPr/>
        <w:t> </w:t>
      </w:r>
    </w:p>
    <w:tbl>
      <w:tblPr>
        <w:tblW w:w="6049" w:type="dxa"/>
        <w:jc w:val="left"/>
        <w:tblInd w:w="0" w:type="dxa"/>
        <w:tblLayout w:type="fixed"/>
        <w:tblCellMar>
          <w:top w:w="28" w:type="dxa"/>
          <w:left w:w="28" w:type="dxa"/>
          <w:bottom w:w="28" w:type="dxa"/>
          <w:right w:w="28" w:type="dxa"/>
        </w:tblCellMar>
      </w:tblPr>
      <w:tblGrid>
        <w:gridCol w:w="2206"/>
        <w:gridCol w:w="251"/>
        <w:gridCol w:w="377"/>
        <w:gridCol w:w="174"/>
        <w:gridCol w:w="174"/>
        <w:gridCol w:w="251"/>
        <w:gridCol w:w="377"/>
        <w:gridCol w:w="146"/>
        <w:gridCol w:w="146"/>
        <w:gridCol w:w="211"/>
        <w:gridCol w:w="421"/>
        <w:gridCol w:w="146"/>
        <w:gridCol w:w="146"/>
        <w:gridCol w:w="211"/>
        <w:gridCol w:w="421"/>
        <w:gridCol w:w="391"/>
      </w:tblGrid>
      <w:tr>
        <w:trPr/>
        <w:tc>
          <w:tcPr>
            <w:tcW w:w="220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vAlign w:val="center"/>
          </w:tcPr>
          <w:p>
            <w:pPr>
              <w:pStyle w:val="TableContents"/>
              <w:bidi w:val="0"/>
              <w:spacing w:before="0" w:after="283"/>
              <w:jc w:val="left"/>
              <w:rPr/>
            </w:pPr>
            <w:r>
              <w:rPr/>
              <w:t> </w:t>
            </w:r>
          </w:p>
        </w:tc>
        <w:tc>
          <w:tcPr>
            <w:tcW w:w="160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6" w:type="dxa"/>
            <w:tcBorders/>
            <w:shd w:fill="FFFFFF" w:val="clear"/>
            <w:vAlign w:val="center"/>
          </w:tcPr>
          <w:p>
            <w:pPr>
              <w:pStyle w:val="TableContents"/>
              <w:bidi w:val="0"/>
              <w:spacing w:before="0" w:after="283"/>
              <w:jc w:val="left"/>
              <w:rPr/>
            </w:pPr>
            <w:r>
              <w:rPr/>
              <w:t> </w:t>
            </w:r>
          </w:p>
        </w:tc>
        <w:tc>
          <w:tcPr>
            <w:tcW w:w="6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shd w:fill="FFFFFF" w:val="clear"/>
            <w:vAlign w:val="center"/>
          </w:tcPr>
          <w:p>
            <w:pPr>
              <w:pStyle w:val="TableContents"/>
              <w:bidi w:val="0"/>
              <w:spacing w:before="0" w:after="283"/>
              <w:jc w:val="center"/>
              <w:rPr/>
            </w:pPr>
            <w:r>
              <w:rPr/>
              <w:t> </w:t>
            </w:r>
          </w:p>
        </w:tc>
        <w:tc>
          <w:tcPr>
            <w:tcW w:w="6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lease cost:</w:t>
            </w:r>
          </w:p>
        </w:tc>
        <w:tc>
          <w:tcPr>
            <w:tcW w:w="628" w:type="dxa"/>
            <w:gridSpan w:val="2"/>
            <w:tcBorders/>
            <w:shd w:fill="CFF0FC" w:val="clear"/>
            <w:vAlign w:val="center"/>
          </w:tcPr>
          <w:p>
            <w:pPr>
              <w:pStyle w:val="TableContents"/>
              <w:bidi w:val="0"/>
              <w:spacing w:before="0" w:after="283"/>
              <w:jc w:val="right"/>
              <w:rPr/>
            </w:pPr>
            <w:r>
              <w:rPr/>
              <w:t> </w:t>
            </w:r>
          </w:p>
        </w:tc>
        <w:tc>
          <w:tcPr>
            <w:tcW w:w="174" w:type="dxa"/>
            <w:tcBorders/>
            <w:shd w:fill="CFF0FC" w:val="clear"/>
            <w:vAlign w:val="center"/>
          </w:tcPr>
          <w:p>
            <w:pPr>
              <w:pStyle w:val="TableContents"/>
              <w:bidi w:val="0"/>
              <w:spacing w:before="0" w:after="283"/>
              <w:jc w:val="right"/>
              <w:rPr/>
            </w:pPr>
            <w:r>
              <w:rPr/>
              <w:t> </w:t>
            </w:r>
          </w:p>
        </w:tc>
        <w:tc>
          <w:tcPr>
            <w:tcW w:w="174" w:type="dxa"/>
            <w:tcBorders/>
            <w:shd w:fill="CFF0FC" w:val="clear"/>
            <w:vAlign w:val="center"/>
          </w:tcPr>
          <w:p>
            <w:pPr>
              <w:pStyle w:val="TableContents"/>
              <w:bidi w:val="0"/>
              <w:spacing w:before="0" w:after="283"/>
              <w:jc w:val="left"/>
              <w:rPr/>
            </w:pPr>
            <w:r>
              <w:rPr/>
              <w:t> </w:t>
            </w:r>
          </w:p>
        </w:tc>
        <w:tc>
          <w:tcPr>
            <w:tcW w:w="628"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3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220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Operating lease cost</w:t>
            </w:r>
          </w:p>
        </w:tc>
        <w:tc>
          <w:tcPr>
            <w:tcW w:w="2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7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w:t>
            </w:r>
          </w:p>
        </w:tc>
        <w:tc>
          <w:tcPr>
            <w:tcW w:w="1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7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242</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20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Short-term lease cost</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0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operating lease cost</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06" w:type="dxa"/>
            <w:tcBorders/>
            <w:shd w:fill="FFFFFF" w:val="clear"/>
            <w:vAlign w:val="center"/>
          </w:tcPr>
          <w:p>
            <w:pPr>
              <w:pStyle w:val="TableContents"/>
              <w:bidi w:val="0"/>
              <w:spacing w:before="0" w:after="283"/>
              <w:jc w:val="left"/>
              <w:rPr/>
            </w:pPr>
            <w:r>
              <w:rPr/>
              <w:t> </w:t>
            </w:r>
          </w:p>
        </w:tc>
        <w:tc>
          <w:tcPr>
            <w:tcW w:w="628" w:type="dxa"/>
            <w:gridSpan w:val="2"/>
            <w:tcBorders/>
            <w:shd w:fill="FFFFFF" w:val="clear"/>
            <w:vAlign w:val="center"/>
          </w:tcPr>
          <w:p>
            <w:pPr>
              <w:pStyle w:val="TableContents"/>
              <w:bidi w:val="0"/>
              <w:spacing w:before="0" w:after="283"/>
              <w:jc w:val="right"/>
              <w:rPr/>
            </w:pPr>
            <w:r>
              <w:rPr/>
              <w:t> </w:t>
            </w:r>
          </w:p>
        </w:tc>
        <w:tc>
          <w:tcPr>
            <w:tcW w:w="174" w:type="dxa"/>
            <w:tcBorders/>
            <w:shd w:fill="FFFFFF" w:val="clear"/>
            <w:vAlign w:val="center"/>
          </w:tcPr>
          <w:p>
            <w:pPr>
              <w:pStyle w:val="TableContents"/>
              <w:bidi w:val="0"/>
              <w:spacing w:before="0" w:after="283"/>
              <w:jc w:val="right"/>
              <w:rPr/>
            </w:pPr>
            <w:r>
              <w:rPr/>
              <w:t> </w:t>
            </w:r>
          </w:p>
        </w:tc>
        <w:tc>
          <w:tcPr>
            <w:tcW w:w="174" w:type="dxa"/>
            <w:tcBorders/>
            <w:shd w:fill="FFFFFF" w:val="clear"/>
            <w:vAlign w:val="center"/>
          </w:tcPr>
          <w:p>
            <w:pPr>
              <w:pStyle w:val="TableContents"/>
              <w:bidi w:val="0"/>
              <w:spacing w:before="0" w:after="283"/>
              <w:jc w:val="left"/>
              <w:rPr/>
            </w:pPr>
            <w:r>
              <w:rPr/>
              <w:t> </w:t>
            </w:r>
          </w:p>
        </w:tc>
        <w:tc>
          <w:tcPr>
            <w:tcW w:w="628"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bl>
    <w:p>
      <w:pPr>
        <w:pStyle w:val="TextBody"/>
        <w:bidi w:val="0"/>
        <w:spacing w:before="360" w:after="283"/>
        <w:jc w:val="left"/>
        <w:rPr>
          <w:rFonts w:ascii="Times New Roman" w:hAnsi="Times New Roman"/>
          <w:sz w:val="20"/>
        </w:rPr>
      </w:pPr>
      <w:r>
        <w:rPr>
          <w:rFonts w:ascii="Times New Roman" w:hAnsi="Times New Roman"/>
          <w:b/>
          <w:i/>
          <w:color w:val="000000"/>
          <w:sz w:val="20"/>
        </w:rPr>
        <w:t>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have not yet been made. The Company accrues a liability for such matters when it is probable that future expenditures will be made, and such expenditures can be reasonably estimated.</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Note 7. Stockholders’ Equity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Convertible Preferred Stock</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 is authorized to issue 10,000,000</w:t>
      </w:r>
      <w:r>
        <w:rPr>
          <w:rFonts w:ascii="Times New Roman" w:hAnsi="Times New Roman"/>
          <w:color w:val="000000"/>
          <w:sz w:val="20"/>
        </w:rPr>
        <w:t xml:space="preserve"> </w:t>
      </w:r>
      <w:r>
        <w:rPr>
          <w:rFonts w:ascii="Times New Roman" w:hAnsi="Times New Roman"/>
          <w:b w:val="false"/>
          <w:color w:val="000000"/>
          <w:sz w:val="20"/>
        </w:rPr>
        <w:t>shares of Preferred Stock.</w:t>
      </w:r>
      <w:r>
        <w:rPr>
          <w:rFonts w:ascii="Times New Roman" w:hAnsi="Times New Roman"/>
          <w:color w:val="000000"/>
          <w:sz w:val="20"/>
        </w:rPr>
        <w:t xml:space="preserve"> </w:t>
      </w:r>
    </w:p>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Securities Purchase Agreement</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On December 16, 2022, the Company entered into a Securities Purchase Agreement for a private placement (Private Placement) with certain entities and members of management (collectively, Purchasers). Pursuant to the Securities Purchase Agreement, the Company agreed to sell to the Purchasers warrants to purchase up to an aggregate of 22,598,870</w:t>
      </w:r>
      <w:r>
        <w:rPr>
          <w:rFonts w:ascii="Times New Roman" w:hAnsi="Times New Roman"/>
          <w:color w:val="000000"/>
          <w:sz w:val="20"/>
        </w:rPr>
        <w:t xml:space="preserve"> </w:t>
      </w:r>
      <w:r>
        <w:rPr>
          <w:rFonts w:ascii="Times New Roman" w:hAnsi="Times New Roman"/>
          <w:b w:val="false"/>
          <w:color w:val="000000"/>
          <w:sz w:val="20"/>
        </w:rPr>
        <w:t>shares of the Company’s common stock, at a purchase price of $0.4425</w:t>
      </w:r>
      <w:r>
        <w:rPr>
          <w:rFonts w:ascii="Times New Roman" w:hAnsi="Times New Roman"/>
          <w:color w:val="000000"/>
          <w:sz w:val="20"/>
        </w:rPr>
        <w:t xml:space="preserve"> </w:t>
      </w:r>
      <w:r>
        <w:rPr>
          <w:rFonts w:ascii="Times New Roman" w:hAnsi="Times New Roman"/>
          <w:b w:val="false"/>
          <w:color w:val="000000"/>
          <w:sz w:val="20"/>
        </w:rPr>
        <w:t>per warrant. The closing of the Private Placement occurred on May 8, 2023 (the Issue Date), following the satisfaction of certain closing conditions, including</w:t>
      </w:r>
      <w:r>
        <w:rPr>
          <w:rFonts w:ascii="Times New Roman" w:hAnsi="Times New Roman"/>
          <w:color w:val="000000"/>
          <w:sz w:val="20"/>
        </w:rPr>
        <w:t xml:space="preserve"> </w:t>
      </w:r>
      <w:r>
        <w:rPr>
          <w:rFonts w:ascii="Times New Roman" w:hAnsi="Times New Roman"/>
          <w:b w:val="false"/>
          <w:color w:val="000000"/>
          <w:sz w:val="20"/>
        </w:rPr>
        <w:t>the completion of enrollment in the randomized withdrawal period of Study C602, an ongoing open-label extension study of DCCR for the treatment of PWS. The Company received gross proceeds of $10.0</w:t>
      </w:r>
      <w:r>
        <w:rPr>
          <w:rFonts w:ascii="Times New Roman" w:hAnsi="Times New Roman"/>
          <w:color w:val="000000"/>
          <w:sz w:val="20"/>
        </w:rPr>
        <w:t xml:space="preserve"> </w:t>
      </w:r>
      <w:r>
        <w:rPr>
          <w:rFonts w:ascii="Times New Roman" w:hAnsi="Times New Roman"/>
          <w:b w:val="false"/>
          <w:color w:val="000000"/>
          <w:sz w:val="20"/>
        </w:rPr>
        <w:t>million for the sale and issuance of warrants to purchase common stock.</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warrants are separated into two tranches with 8,598,870</w:t>
      </w:r>
      <w:r>
        <w:rPr>
          <w:rFonts w:ascii="Times New Roman" w:hAnsi="Times New Roman"/>
          <w:color w:val="000000"/>
          <w:sz w:val="20"/>
        </w:rPr>
        <w:t xml:space="preserve"> </w:t>
      </w:r>
      <w:r>
        <w:rPr>
          <w:rFonts w:ascii="Times New Roman" w:hAnsi="Times New Roman"/>
          <w:b w:val="false"/>
          <w:color w:val="000000"/>
          <w:sz w:val="20"/>
        </w:rPr>
        <w:t>Tranche A Warrants and 14,000,000</w:t>
      </w:r>
      <w:r>
        <w:rPr>
          <w:rFonts w:ascii="Times New Roman" w:hAnsi="Times New Roman"/>
          <w:color w:val="000000"/>
          <w:sz w:val="20"/>
        </w:rPr>
        <w:t xml:space="preserve"> </w:t>
      </w:r>
      <w:r>
        <w:rPr>
          <w:rFonts w:ascii="Times New Roman" w:hAnsi="Times New Roman"/>
          <w:b w:val="false"/>
          <w:color w:val="000000"/>
          <w:sz w:val="20"/>
        </w:rPr>
        <w:t>Tranche B Warrants. The Tranche A warrants are exercisable for $1.75</w:t>
      </w:r>
      <w:r>
        <w:rPr>
          <w:rFonts w:ascii="Times New Roman" w:hAnsi="Times New Roman"/>
          <w:color w:val="000000"/>
          <w:sz w:val="20"/>
        </w:rPr>
        <w:t xml:space="preserve"> </w:t>
      </w:r>
      <w:r>
        <w:rPr>
          <w:rFonts w:ascii="Times New Roman" w:hAnsi="Times New Roman"/>
          <w:b w:val="false"/>
          <w:color w:val="000000"/>
          <w:sz w:val="20"/>
        </w:rPr>
        <w:t>per share, with an aggregate exercise price of up to approximately $15.0</w:t>
      </w:r>
      <w:r>
        <w:rPr>
          <w:rFonts w:ascii="Times New Roman" w:hAnsi="Times New Roman"/>
          <w:color w:val="000000"/>
          <w:sz w:val="20"/>
        </w:rPr>
        <w:t xml:space="preserve"> </w:t>
      </w:r>
      <w:r>
        <w:rPr>
          <w:rFonts w:ascii="Times New Roman" w:hAnsi="Times New Roman"/>
          <w:b w:val="false"/>
          <w:color w:val="000000"/>
          <w:sz w:val="20"/>
        </w:rPr>
        <w:t>million, and the Tranche B warrants are exercisable for $2.50</w:t>
      </w:r>
      <w:r>
        <w:rPr>
          <w:rFonts w:ascii="Times New Roman" w:hAnsi="Times New Roman"/>
          <w:color w:val="000000"/>
          <w:sz w:val="20"/>
        </w:rPr>
        <w:t xml:space="preserve"> </w:t>
      </w:r>
      <w:r>
        <w:rPr>
          <w:rFonts w:ascii="Times New Roman" w:hAnsi="Times New Roman"/>
          <w:b w:val="false"/>
          <w:color w:val="000000"/>
          <w:sz w:val="20"/>
        </w:rPr>
        <w:t>per share, with an aggregate exercise price of up to $35.0</w:t>
      </w:r>
      <w:r>
        <w:rPr>
          <w:rFonts w:ascii="Times New Roman" w:hAnsi="Times New Roman"/>
          <w:color w:val="000000"/>
          <w:sz w:val="20"/>
        </w:rPr>
        <w:t xml:space="preserve"> </w:t>
      </w:r>
      <w:r>
        <w:rPr>
          <w:rFonts w:ascii="Times New Roman" w:hAnsi="Times New Roman"/>
          <w:b w:val="false"/>
          <w:color w:val="000000"/>
          <w:sz w:val="20"/>
        </w:rPr>
        <w:t>million. The Tranche A warrants were immediately exercisable and were required to be exercised within 30</w:t>
      </w:r>
      <w:r>
        <w:rPr>
          <w:rFonts w:ascii="Times New Roman" w:hAnsi="Times New Roman"/>
          <w:color w:val="000000"/>
          <w:sz w:val="20"/>
        </w:rPr>
        <w:t xml:space="preserve"> </w:t>
      </w:r>
      <w:r>
        <w:rPr>
          <w:rFonts w:ascii="Times New Roman" w:hAnsi="Times New Roman"/>
          <w:b w:val="false"/>
          <w:color w:val="000000"/>
          <w:sz w:val="20"/>
        </w:rPr>
        <w:t>days of announcement of positive top-line data from the randomized withdrawal period of Study C602. The Tranche B warrants are also immediately exercisable and expire upon the earlier of 3.5 years from the date of issuance or 30 days following receipt of the U.S. Food and Drug Administration approval of DCCR for the treatment of PWS. On September 26, 2023, the Company announced positive top-line data and the Tranche A warrants were exercised for gross proceeds of $15.0</w:t>
      </w:r>
      <w:r>
        <w:rPr>
          <w:rFonts w:ascii="Times New Roman" w:hAnsi="Times New Roman"/>
          <w:color w:val="000000"/>
          <w:sz w:val="20"/>
        </w:rPr>
        <w:t xml:space="preserve"> </w:t>
      </w:r>
      <w:r>
        <w:rPr>
          <w:rFonts w:ascii="Times New Roman" w:hAnsi="Times New Roman"/>
          <w:b w:val="false"/>
          <w:color w:val="000000"/>
          <w:sz w:val="20"/>
        </w:rPr>
        <w:t>million with 3,310,568</w:t>
      </w:r>
      <w:r>
        <w:rPr>
          <w:rFonts w:ascii="Times New Roman" w:hAnsi="Times New Roman"/>
          <w:color w:val="000000"/>
          <w:sz w:val="20"/>
        </w:rPr>
        <w:t xml:space="preserve"> </w:t>
      </w:r>
      <w:r>
        <w:rPr>
          <w:rFonts w:ascii="Times New Roman" w:hAnsi="Times New Roman"/>
          <w:b w:val="false"/>
          <w:color w:val="000000"/>
          <w:sz w:val="20"/>
        </w:rPr>
        <w:t>shares and 2,420,394</w:t>
      </w:r>
      <w:r>
        <w:rPr>
          <w:rFonts w:ascii="Times New Roman" w:hAnsi="Times New Roman"/>
          <w:color w:val="000000"/>
          <w:sz w:val="20"/>
        </w:rPr>
        <w:t xml:space="preserve"> </w:t>
      </w:r>
      <w:r>
        <w:rPr>
          <w:rFonts w:ascii="Times New Roman" w:hAnsi="Times New Roman"/>
          <w:b w:val="false"/>
          <w:color w:val="000000"/>
          <w:sz w:val="20"/>
        </w:rPr>
        <w:t>pre-funded exchange warrants being issued prior to the quarter end, and 526,741</w:t>
      </w:r>
      <w:r>
        <w:rPr>
          <w:rFonts w:ascii="Times New Roman" w:hAnsi="Times New Roman"/>
          <w:color w:val="000000"/>
          <w:sz w:val="20"/>
        </w:rPr>
        <w:t xml:space="preserve"> </w:t>
      </w:r>
      <w:r>
        <w:rPr>
          <w:rFonts w:ascii="Times New Roman" w:hAnsi="Times New Roman"/>
          <w:b w:val="false"/>
          <w:color w:val="000000"/>
          <w:sz w:val="20"/>
        </w:rPr>
        <w:t>shares and 2,341,167</w:t>
      </w:r>
      <w:r>
        <w:rPr>
          <w:rFonts w:ascii="Times New Roman" w:hAnsi="Times New Roman"/>
          <w:color w:val="000000"/>
          <w:sz w:val="20"/>
        </w:rPr>
        <w:t xml:space="preserve"> </w:t>
      </w:r>
      <w:r>
        <w:rPr>
          <w:rFonts w:ascii="Times New Roman" w:hAnsi="Times New Roman"/>
          <w:b w:val="false"/>
          <w:color w:val="000000"/>
          <w:sz w:val="20"/>
        </w:rPr>
        <w:t>pre-funded exchange warrants being issued after the quarter end.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Underwritten Public Offering</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On March 31, 2022, the Company sold 2,666,667</w:t>
      </w:r>
      <w:r>
        <w:rPr>
          <w:rFonts w:ascii="Times New Roman" w:hAnsi="Times New Roman"/>
          <w:color w:val="000000"/>
          <w:sz w:val="20"/>
        </w:rPr>
        <w:t xml:space="preserve"> </w:t>
      </w:r>
      <w:r>
        <w:rPr>
          <w:rFonts w:ascii="Times New Roman" w:hAnsi="Times New Roman"/>
          <w:b w:val="false"/>
          <w:color w:val="000000"/>
          <w:sz w:val="20"/>
        </w:rPr>
        <w:t>shares of its common stock at a public offering price of $3.75, and for certain investors, in lieu of common stock, pre-funded warrants (the 2022 pre-funded warrants) to purchase 1,333,333</w:t>
      </w:r>
      <w:r>
        <w:rPr>
          <w:rFonts w:ascii="Times New Roman" w:hAnsi="Times New Roman"/>
          <w:color w:val="000000"/>
          <w:sz w:val="20"/>
        </w:rPr>
        <w:t xml:space="preserve"> </w:t>
      </w:r>
      <w:r>
        <w:rPr>
          <w:rFonts w:ascii="Times New Roman" w:hAnsi="Times New Roman"/>
          <w:b w:val="false"/>
          <w:color w:val="000000"/>
          <w:sz w:val="20"/>
        </w:rPr>
        <w:t>shares of its common stock at a public offering price $3.60</w:t>
      </w:r>
      <w:r>
        <w:rPr>
          <w:rFonts w:ascii="Times New Roman" w:hAnsi="Times New Roman"/>
          <w:color w:val="000000"/>
          <w:sz w:val="20"/>
        </w:rPr>
        <w:t xml:space="preserve"> </w:t>
      </w:r>
      <w:r>
        <w:rPr>
          <w:rFonts w:ascii="Times New Roman" w:hAnsi="Times New Roman"/>
          <w:b w:val="false"/>
          <w:color w:val="000000"/>
          <w:sz w:val="20"/>
        </w:rPr>
        <w:t>per pre-funded warrant, which represents the per share public offering price for the common stock less the $0.15</w:t>
      </w:r>
      <w:r>
        <w:rPr>
          <w:rFonts w:ascii="Times New Roman" w:hAnsi="Times New Roman"/>
          <w:color w:val="000000"/>
          <w:sz w:val="20"/>
        </w:rPr>
        <w:t xml:space="preserve"> </w:t>
      </w:r>
      <w:r>
        <w:rPr>
          <w:rFonts w:ascii="Times New Roman" w:hAnsi="Times New Roman"/>
          <w:b w:val="false"/>
          <w:color w:val="000000"/>
          <w:sz w:val="20"/>
        </w:rPr>
        <w:t>per share exercise price for each 2022 pre-funded warrant. The 2022 pre-funded warrants are immediately exercisable and may be exercised at any time until all 2022 pre-funded warrants are exercised in full. Each share of common stock or</w:t>
      </w:r>
      <w:r>
        <w:rPr>
          <w:rFonts w:ascii="Times New Roman" w:hAnsi="Times New Roman"/>
          <w:color w:val="000000"/>
          <w:sz w:val="20"/>
        </w:rPr>
        <w:t xml:space="preserve">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2022 pre-funded warrant was sold together with one, immediately exercisable, common warrant (the 2022 common warrants) with a five-year</w:t>
      </w:r>
      <w:r>
        <w:rPr>
          <w:rFonts w:ascii="Times New Roman" w:hAnsi="Times New Roman"/>
          <w:color w:val="000000"/>
          <w:sz w:val="20"/>
        </w:rPr>
        <w:t xml:space="preserve"> </w:t>
      </w:r>
      <w:r>
        <w:rPr>
          <w:rFonts w:ascii="Times New Roman" w:hAnsi="Times New Roman"/>
          <w:b w:val="false"/>
          <w:color w:val="000000"/>
          <w:sz w:val="20"/>
        </w:rPr>
        <w:t>term to purchase one share of common stock at an exercise price of $4.50</w:t>
      </w:r>
      <w:r>
        <w:rPr>
          <w:rFonts w:ascii="Times New Roman" w:hAnsi="Times New Roman"/>
          <w:color w:val="000000"/>
          <w:sz w:val="20"/>
        </w:rPr>
        <w:t xml:space="preserve"> </w:t>
      </w:r>
      <w:r>
        <w:rPr>
          <w:rFonts w:ascii="Times New Roman" w:hAnsi="Times New Roman"/>
          <w:b w:val="false"/>
          <w:color w:val="000000"/>
          <w:sz w:val="20"/>
        </w:rPr>
        <w:t>per share. The net proceeds of the offering were $13.8</w:t>
      </w:r>
      <w:r>
        <w:rPr>
          <w:rFonts w:ascii="Times New Roman" w:hAnsi="Times New Roman"/>
          <w:color w:val="000000"/>
          <w:sz w:val="20"/>
        </w:rPr>
        <w:t xml:space="preserve"> </w:t>
      </w:r>
      <w:r>
        <w:rPr>
          <w:rFonts w:ascii="Times New Roman" w:hAnsi="Times New Roman"/>
          <w:b w:val="false"/>
          <w:color w:val="000000"/>
          <w:sz w:val="20"/>
        </w:rPr>
        <w:t>million, after deducting the underwriting discount and other offering expenses.</w:t>
      </w:r>
      <w:r>
        <w:rPr>
          <w:rFonts w:ascii="Times New Roman" w:hAnsi="Times New Roman"/>
          <w:color w:val="000000"/>
          <w:sz w:val="20"/>
        </w:rPr>
        <w:t xml:space="preserve"> </w:t>
      </w:r>
      <w:r>
        <w:rPr>
          <w:rFonts w:ascii="Times New Roman" w:hAnsi="Times New Roman"/>
          <w:b w:val="false"/>
          <w:color w:val="000000"/>
          <w:sz w:val="20"/>
        </w:rPr>
        <w:t>The Company is not required under any circumstance to settle any of the 2022 pre-funded warrants or the 2022 common warrants for cash, and therefore classified both types of warrants as permanent equity.</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During the three months ended September 30, 2023, 1,869,327</w:t>
      </w:r>
      <w:r>
        <w:rPr>
          <w:rFonts w:ascii="Times New Roman" w:hAnsi="Times New Roman"/>
          <w:color w:val="000000"/>
          <w:sz w:val="20"/>
        </w:rPr>
        <w:t xml:space="preserve"> </w:t>
      </w:r>
      <w:r>
        <w:rPr>
          <w:rFonts w:ascii="Times New Roman" w:hAnsi="Times New Roman"/>
          <w:b w:val="false"/>
          <w:color w:val="000000"/>
          <w:sz w:val="20"/>
        </w:rPr>
        <w:t>warrants were exercised for gross proceeds of $8.4</w:t>
      </w:r>
      <w:r>
        <w:rPr>
          <w:rFonts w:ascii="Times New Roman" w:hAnsi="Times New Roman"/>
          <w:color w:val="000000"/>
          <w:sz w:val="20"/>
        </w:rPr>
        <w:t xml:space="preserve"> </w:t>
      </w:r>
      <w:r>
        <w:rPr>
          <w:rFonts w:ascii="Times New Roman" w:hAnsi="Times New Roman"/>
          <w:b w:val="false"/>
          <w:color w:val="000000"/>
          <w:sz w:val="20"/>
        </w:rPr>
        <w:t>million and 353,155</w:t>
      </w:r>
      <w:r>
        <w:rPr>
          <w:rFonts w:ascii="Times New Roman" w:hAnsi="Times New Roman"/>
          <w:color w:val="000000"/>
          <w:sz w:val="20"/>
        </w:rPr>
        <w:t xml:space="preserve"> </w:t>
      </w:r>
      <w:r>
        <w:rPr>
          <w:rFonts w:ascii="Times New Roman" w:hAnsi="Times New Roman"/>
          <w:b w:val="false"/>
          <w:color w:val="000000"/>
          <w:sz w:val="20"/>
        </w:rPr>
        <w:t>pre-funded warrants were exercised using the cashless exercise option with no</w:t>
      </w:r>
      <w:r>
        <w:rPr>
          <w:rFonts w:ascii="Times New Roman" w:hAnsi="Times New Roman"/>
          <w:color w:val="000000"/>
          <w:sz w:val="20"/>
        </w:rPr>
        <w:t xml:space="preserve"> </w:t>
      </w:r>
      <w:r>
        <w:rPr>
          <w:rFonts w:ascii="Times New Roman" w:hAnsi="Times New Roman"/>
          <w:b w:val="false"/>
          <w:color w:val="000000"/>
          <w:sz w:val="20"/>
        </w:rPr>
        <w:t>additional proceeds received by the Company.</w:t>
      </w:r>
    </w:p>
    <w:p>
      <w:pPr>
        <w:pStyle w:val="TextBody"/>
        <w:bidi w:val="0"/>
        <w:spacing w:before="240" w:after="283"/>
        <w:jc w:val="left"/>
        <w:rPr>
          <w:rFonts w:ascii="Times New Roman" w:hAnsi="Times New Roman"/>
          <w:sz w:val="20"/>
        </w:rPr>
      </w:pPr>
      <w:r>
        <w:rPr>
          <w:rFonts w:ascii="Times New Roman" w:hAnsi="Times New Roman"/>
          <w:b/>
          <w:i/>
          <w:color w:val="000000"/>
          <w:sz w:val="20"/>
        </w:rPr>
        <w:t>At the Market Offering</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July 2021, the Company entered into a Controlled Equity Offering Sales Agreement under which the Company may sell shares of its common stock having an aggregate offering price of up to $25.0</w:t>
      </w:r>
      <w:r>
        <w:rPr>
          <w:rFonts w:ascii="Times New Roman" w:hAnsi="Times New Roman"/>
          <w:color w:val="000000"/>
          <w:sz w:val="20"/>
        </w:rPr>
        <w:t xml:space="preserve"> </w:t>
      </w:r>
      <w:r>
        <w:rPr>
          <w:rFonts w:ascii="Times New Roman" w:hAnsi="Times New Roman"/>
          <w:b w:val="false"/>
          <w:color w:val="000000"/>
          <w:sz w:val="20"/>
        </w:rPr>
        <w:t>million from time to time in any method permitted by law deemed to be an “at the market” Rule 415 under the Securities Act of 1933, as amended. As of September 30, 2023, the Company has sold an aggregate of 1,877,170</w:t>
      </w:r>
      <w:r>
        <w:rPr>
          <w:rFonts w:ascii="Times New Roman" w:hAnsi="Times New Roman"/>
          <w:color w:val="000000"/>
          <w:sz w:val="20"/>
        </w:rPr>
        <w:t xml:space="preserve"> </w:t>
      </w:r>
      <w:r>
        <w:rPr>
          <w:rFonts w:ascii="Times New Roman" w:hAnsi="Times New Roman"/>
          <w:b w:val="false"/>
          <w:color w:val="000000"/>
          <w:sz w:val="20"/>
        </w:rPr>
        <w:t>shares of common stock through the at the market program, totaling $7.4</w:t>
      </w:r>
      <w:r>
        <w:rPr>
          <w:rFonts w:ascii="Times New Roman" w:hAnsi="Times New Roman"/>
          <w:color w:val="000000"/>
          <w:sz w:val="20"/>
        </w:rPr>
        <w:t xml:space="preserve"> </w:t>
      </w:r>
      <w:r>
        <w:rPr>
          <w:rFonts w:ascii="Times New Roman" w:hAnsi="Times New Roman"/>
          <w:b w:val="false"/>
          <w:color w:val="000000"/>
          <w:sz w:val="20"/>
        </w:rPr>
        <w:t>million in net proceeds. The Controlled Equity Offering Sales Agreement was terminated in connection with the October 2, 2023 financing.</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Other Common Stock Warrants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As of September 30, 2023, the Company had 6,804</w:t>
      </w:r>
      <w:r>
        <w:rPr>
          <w:rFonts w:ascii="Times New Roman" w:hAnsi="Times New Roman"/>
          <w:color w:val="000000"/>
          <w:sz w:val="20"/>
        </w:rPr>
        <w:t xml:space="preserve"> </w:t>
      </w:r>
      <w:r>
        <w:rPr>
          <w:rFonts w:ascii="Times New Roman" w:hAnsi="Times New Roman"/>
          <w:b w:val="false"/>
          <w:color w:val="000000"/>
          <w:sz w:val="20"/>
        </w:rPr>
        <w:t>common stock warrants outstanding from the 2010/2012 convertible notes, with an exercise price of $365.25</w:t>
      </w:r>
      <w:r>
        <w:rPr>
          <w:rFonts w:ascii="Times New Roman" w:hAnsi="Times New Roman"/>
          <w:color w:val="000000"/>
          <w:sz w:val="20"/>
        </w:rPr>
        <w:t xml:space="preserve"> </w:t>
      </w:r>
      <w:r>
        <w:rPr>
          <w:rFonts w:ascii="Times New Roman" w:hAnsi="Times New Roman"/>
          <w:b w:val="false"/>
          <w:color w:val="000000"/>
          <w:sz w:val="20"/>
        </w:rPr>
        <w:t>and a term of 10</w:t>
      </w:r>
      <w:r>
        <w:rPr>
          <w:rFonts w:ascii="Times New Roman" w:hAnsi="Times New Roman"/>
          <w:color w:val="000000"/>
          <w:sz w:val="20"/>
        </w:rPr>
        <w:t xml:space="preserve"> </w:t>
      </w:r>
      <w:r>
        <w:rPr>
          <w:rFonts w:ascii="Times New Roman" w:hAnsi="Times New Roman"/>
          <w:b w:val="false"/>
          <w:color w:val="000000"/>
          <w:sz w:val="20"/>
        </w:rPr>
        <w:t>years expiring in November 2024. The Company also had 1,100</w:t>
      </w:r>
      <w:r>
        <w:rPr>
          <w:rFonts w:ascii="Times New Roman" w:hAnsi="Times New Roman"/>
          <w:color w:val="000000"/>
          <w:sz w:val="20"/>
        </w:rPr>
        <w:t xml:space="preserve"> </w:t>
      </w:r>
      <w:r>
        <w:rPr>
          <w:rFonts w:ascii="Times New Roman" w:hAnsi="Times New Roman"/>
          <w:b w:val="false"/>
          <w:color w:val="000000"/>
          <w:sz w:val="20"/>
        </w:rPr>
        <w:t>common stock warrants issued to the underwriter in the Company’s IPO, with an exercise price of $535.50</w:t>
      </w:r>
      <w:r>
        <w:rPr>
          <w:rFonts w:ascii="Times New Roman" w:hAnsi="Times New Roman"/>
          <w:color w:val="000000"/>
          <w:sz w:val="20"/>
        </w:rPr>
        <w:t xml:space="preserve"> </w:t>
      </w:r>
      <w:r>
        <w:rPr>
          <w:rFonts w:ascii="Times New Roman" w:hAnsi="Times New Roman"/>
          <w:b w:val="false"/>
          <w:color w:val="000000"/>
          <w:sz w:val="20"/>
        </w:rPr>
        <w:t>and a term of 10</w:t>
      </w:r>
      <w:r>
        <w:rPr>
          <w:rFonts w:ascii="Times New Roman" w:hAnsi="Times New Roman"/>
          <w:color w:val="000000"/>
          <w:sz w:val="20"/>
        </w:rPr>
        <w:t xml:space="preserve"> </w:t>
      </w:r>
      <w:r>
        <w:rPr>
          <w:rFonts w:ascii="Times New Roman" w:hAnsi="Times New Roman"/>
          <w:b w:val="false"/>
          <w:color w:val="000000"/>
          <w:sz w:val="20"/>
        </w:rPr>
        <w:t>years, expiring in November 2024.</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As of September 30, 2023 and December 31, 2022, the following table summarizes the Company's outstanding common stock warrants:</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637"/>
        <w:gridCol w:w="146"/>
        <w:gridCol w:w="196"/>
        <w:gridCol w:w="1396"/>
        <w:gridCol w:w="146"/>
        <w:gridCol w:w="146"/>
        <w:gridCol w:w="354"/>
        <w:gridCol w:w="1136"/>
        <w:gridCol w:w="146"/>
        <w:gridCol w:w="146"/>
        <w:gridCol w:w="205"/>
        <w:gridCol w:w="1309"/>
        <w:gridCol w:w="146"/>
        <w:gridCol w:w="146"/>
        <w:gridCol w:w="354"/>
        <w:gridCol w:w="1136"/>
        <w:gridCol w:w="146"/>
        <w:gridCol w:w="146"/>
        <w:gridCol w:w="1168"/>
      </w:tblGrid>
      <w:tr>
        <w:trPr/>
        <w:tc>
          <w:tcPr>
            <w:tcW w:w="16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r>
      <w:tr>
        <w:trPr/>
        <w:tc>
          <w:tcPr>
            <w:tcW w:w="163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3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center"/>
              <w:rPr/>
            </w:pPr>
            <w:r>
              <w:rPr/>
              <w:t> </w:t>
            </w:r>
          </w:p>
        </w:tc>
      </w:tr>
      <w:tr>
        <w:trPr/>
        <w:tc>
          <w:tcPr>
            <w:tcW w:w="163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Common Warrant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Exercise Price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Common Warrant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Exercise Price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Expiration Date</w:t>
            </w:r>
          </w:p>
        </w:tc>
      </w:tr>
      <w:tr>
        <w:trPr/>
        <w:tc>
          <w:tcPr>
            <w:tcW w:w="163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Common stock warrants</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139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388.94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5" w:type="dxa"/>
            <w:tcBorders/>
            <w:shd w:fill="FFFFFF" w:val="clear"/>
            <w:vAlign w:val="center"/>
          </w:tcPr>
          <w:p>
            <w:pPr>
              <w:pStyle w:val="TableContents"/>
              <w:bidi w:val="0"/>
              <w:spacing w:before="0" w:after="283"/>
              <w:jc w:val="left"/>
              <w:rPr/>
            </w:pPr>
            <w:r>
              <w:rPr/>
              <w:t> </w:t>
            </w:r>
          </w:p>
        </w:tc>
        <w:tc>
          <w:tcPr>
            <w:tcW w:w="130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388.94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November 2024</w:t>
            </w:r>
          </w:p>
        </w:tc>
      </w:tr>
      <w:tr>
        <w:trPr/>
        <w:tc>
          <w:tcPr>
            <w:tcW w:w="163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2018 PIPE warrants</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139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34,241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5" w:type="dxa"/>
            <w:tcBorders/>
            <w:shd w:fill="CFF0FC" w:val="clear"/>
            <w:vAlign w:val="center"/>
          </w:tcPr>
          <w:p>
            <w:pPr>
              <w:pStyle w:val="TableContents"/>
              <w:bidi w:val="0"/>
              <w:spacing w:before="0" w:after="283"/>
              <w:jc w:val="left"/>
              <w:rPr/>
            </w:pPr>
            <w:r>
              <w:rPr/>
              <w:t> </w:t>
            </w:r>
          </w:p>
        </w:tc>
        <w:tc>
          <w:tcPr>
            <w:tcW w:w="130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34,241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68"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December 2023</w:t>
            </w:r>
          </w:p>
        </w:tc>
      </w:tr>
      <w:tr>
        <w:trPr/>
        <w:tc>
          <w:tcPr>
            <w:tcW w:w="163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March 2022 Common warrants</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139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2,130,656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5" w:type="dxa"/>
            <w:tcBorders/>
            <w:shd w:fill="FFFFFF" w:val="clear"/>
            <w:vAlign w:val="center"/>
          </w:tcPr>
          <w:p>
            <w:pPr>
              <w:pStyle w:val="TableContents"/>
              <w:bidi w:val="0"/>
              <w:spacing w:before="0" w:after="283"/>
              <w:jc w:val="left"/>
              <w:rPr/>
            </w:pPr>
            <w:r>
              <w:rPr/>
              <w:t> </w:t>
            </w:r>
          </w:p>
        </w:tc>
        <w:tc>
          <w:tcPr>
            <w:tcW w:w="130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4,000,000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March 2027</w:t>
            </w:r>
          </w:p>
        </w:tc>
      </w:tr>
      <w:tr>
        <w:trPr/>
        <w:tc>
          <w:tcPr>
            <w:tcW w:w="163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March 2022 Pre-funded warrants</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139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927,806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5" w:type="dxa"/>
            <w:tcBorders/>
            <w:shd w:fill="CFF0FC" w:val="clear"/>
            <w:vAlign w:val="center"/>
          </w:tcPr>
          <w:p>
            <w:pPr>
              <w:pStyle w:val="TableContents"/>
              <w:bidi w:val="0"/>
              <w:spacing w:before="0" w:after="283"/>
              <w:jc w:val="left"/>
              <w:rPr/>
            </w:pPr>
            <w:r>
              <w:rPr/>
              <w:t> </w:t>
            </w:r>
          </w:p>
        </w:tc>
        <w:tc>
          <w:tcPr>
            <w:tcW w:w="130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1,280,965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5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68"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March 2027</w:t>
            </w:r>
          </w:p>
        </w:tc>
      </w:tr>
      <w:tr>
        <w:trPr/>
        <w:tc>
          <w:tcPr>
            <w:tcW w:w="163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May 2023 Tranche A warrants</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139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2,867,908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5" w:type="dxa"/>
            <w:tcBorders/>
            <w:shd w:fill="FFFFFF" w:val="clear"/>
            <w:vAlign w:val="center"/>
          </w:tcPr>
          <w:p>
            <w:pPr>
              <w:pStyle w:val="TableContents"/>
              <w:bidi w:val="0"/>
              <w:spacing w:before="0" w:after="283"/>
              <w:jc w:val="left"/>
              <w:rPr/>
            </w:pPr>
            <w:r>
              <w:rPr/>
              <w:t> </w:t>
            </w:r>
          </w:p>
        </w:tc>
        <w:tc>
          <w:tcPr>
            <w:tcW w:w="130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5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center"/>
              <w:rPr>
                <w:rFonts w:ascii="Times New Roman" w:hAnsi="Times New Roman"/>
                <w:sz w:val="20"/>
              </w:rPr>
            </w:pPr>
            <w:r>
              <w:rPr>
                <w:rFonts w:ascii="Times New Roman" w:hAnsi="Times New Roman"/>
                <w:b w:val="false"/>
                <w:color w:val="000000"/>
                <w:sz w:val="20"/>
              </w:rPr>
              <w:t>November 2026</w:t>
            </w:r>
            <w:r>
              <w:rPr>
                <w:rFonts w:ascii="Times New Roman" w:hAnsi="Times New Roman"/>
                <w:color w:val="000000"/>
                <w:sz w:val="20"/>
              </w:rPr>
              <w:t xml:space="preserve"> </w:t>
            </w:r>
            <w:r>
              <w:rPr>
                <w:rFonts w:ascii="Times New Roman" w:hAnsi="Times New Roman"/>
                <w:b w:val="false"/>
                <w:color w:val="000000"/>
                <w:sz w:val="13"/>
              </w:rPr>
              <w:t>(1)</w:t>
            </w:r>
          </w:p>
        </w:tc>
      </w:tr>
      <w:tr>
        <w:trPr/>
        <w:tc>
          <w:tcPr>
            <w:tcW w:w="163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May 2023 Tranche A Pre-funded warrants</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139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2,420,394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5" w:type="dxa"/>
            <w:tcBorders/>
            <w:shd w:fill="CFF0FC" w:val="clear"/>
            <w:vAlign w:val="center"/>
          </w:tcPr>
          <w:p>
            <w:pPr>
              <w:pStyle w:val="TableContents"/>
              <w:bidi w:val="0"/>
              <w:spacing w:before="0" w:after="283"/>
              <w:jc w:val="left"/>
              <w:rPr/>
            </w:pPr>
            <w:r>
              <w:rPr/>
              <w:t> </w:t>
            </w:r>
          </w:p>
        </w:tc>
        <w:tc>
          <w:tcPr>
            <w:tcW w:w="130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5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68" w:type="dxa"/>
            <w:tcBorders/>
            <w:shd w:fill="CFF0FC" w:val="clear"/>
            <w:vAlign w:val="center"/>
          </w:tcPr>
          <w:p>
            <w:pPr>
              <w:pStyle w:val="TableContents"/>
              <w:bidi w:val="0"/>
              <w:spacing w:before="0" w:after="283"/>
              <w:jc w:val="center"/>
              <w:rPr>
                <w:rFonts w:ascii="Times New Roman" w:hAnsi="Times New Roman"/>
                <w:sz w:val="20"/>
              </w:rPr>
            </w:pPr>
            <w:r>
              <w:rPr>
                <w:rFonts w:ascii="Times New Roman" w:hAnsi="Times New Roman"/>
                <w:b w:val="false"/>
                <w:color w:val="000000"/>
                <w:sz w:val="20"/>
              </w:rPr>
              <w:t xml:space="preserve">November 2026 </w:t>
            </w:r>
            <w:r>
              <w:rPr>
                <w:rFonts w:ascii="Times New Roman" w:hAnsi="Times New Roman"/>
                <w:b w:val="false"/>
                <w:color w:val="000000"/>
                <w:sz w:val="13"/>
              </w:rPr>
              <w:t>(1)</w:t>
            </w:r>
          </w:p>
        </w:tc>
      </w:tr>
      <w:tr>
        <w:trPr/>
        <w:tc>
          <w:tcPr>
            <w:tcW w:w="163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May 2023 Tranche B warrants</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14,000,000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5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center"/>
              <w:rPr>
                <w:rFonts w:ascii="Times New Roman" w:hAnsi="Times New Roman"/>
                <w:sz w:val="20"/>
              </w:rPr>
            </w:pPr>
            <w:r>
              <w:rPr>
                <w:rFonts w:ascii="Times New Roman" w:hAnsi="Times New Roman"/>
                <w:b w:val="false"/>
                <w:color w:val="000000"/>
                <w:sz w:val="20"/>
              </w:rPr>
              <w:t>November 2026</w:t>
            </w:r>
            <w:r>
              <w:rPr>
                <w:rFonts w:ascii="Times New Roman" w:hAnsi="Times New Roman"/>
                <w:color w:val="000000"/>
                <w:sz w:val="20"/>
              </w:rPr>
              <w:t> </w:t>
            </w:r>
            <w:r>
              <w:rPr>
                <w:rFonts w:ascii="Times New Roman" w:hAnsi="Times New Roman"/>
                <w:b w:val="false"/>
                <w:color w:val="000000"/>
                <w:sz w:val="13"/>
              </w:rPr>
              <w:t>(1)</w:t>
            </w:r>
          </w:p>
        </w:tc>
      </w:tr>
      <w:tr>
        <w:trPr/>
        <w:tc>
          <w:tcPr>
            <w:tcW w:w="163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22,388,909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9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5,323,110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9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68" w:type="dxa"/>
            <w:tcBorders/>
            <w:shd w:fill="CFF0FC" w:val="clear"/>
            <w:vAlign w:val="center"/>
          </w:tcPr>
          <w:p>
            <w:pPr>
              <w:pStyle w:val="TableContents"/>
              <w:bidi w:val="0"/>
              <w:spacing w:before="0" w:after="283"/>
              <w:jc w:val="center"/>
              <w:rPr/>
            </w:pPr>
            <w:r>
              <w:rPr/>
              <w:t> </w:t>
            </w:r>
          </w:p>
        </w:tc>
      </w:tr>
      <w:tr>
        <w:trPr/>
        <w:tc>
          <w:tcPr>
            <w:tcW w:w="163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9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514"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9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 </w:t>
            </w:r>
          </w:p>
        </w:tc>
      </w:tr>
    </w:tbl>
    <w:p>
      <w:pPr>
        <w:pStyle w:val="TextBody"/>
        <w:bidi w:val="0"/>
        <w:spacing w:before="120" w:after="283"/>
        <w:jc w:val="left"/>
        <w:rPr>
          <w:rFonts w:ascii="Times New Roman" w:hAnsi="Times New Roman"/>
          <w:sz w:val="20"/>
        </w:rPr>
      </w:pPr>
      <w:r>
        <w:rPr>
          <w:rFonts w:ascii="Times New Roman" w:hAnsi="Times New Roman"/>
          <w:b w:val="false"/>
          <w:color w:val="000000"/>
          <w:sz w:val="13"/>
        </w:rPr>
        <w:t>(1)</w:t>
      </w:r>
      <w:r>
        <w:rPr>
          <w:rFonts w:ascii="Times New Roman" w:hAnsi="Times New Roman"/>
          <w:color w:val="000000"/>
          <w:sz w:val="20"/>
        </w:rPr>
        <w:t xml:space="preserve"> </w:t>
      </w:r>
      <w:r>
        <w:rPr>
          <w:rFonts w:ascii="Times New Roman" w:hAnsi="Times New Roman"/>
          <w:b w:val="false"/>
          <w:color w:val="000000"/>
          <w:sz w:val="20"/>
        </w:rPr>
        <w:t>Subject to earlier expiration as described above.</w:t>
      </w:r>
    </w:p>
    <w:p>
      <w:pPr>
        <w:pStyle w:val="TextBody"/>
        <w:bidi w:val="0"/>
        <w:spacing w:before="240" w:after="283"/>
        <w:jc w:val="left"/>
        <w:rPr>
          <w:rFonts w:ascii="Times New Roman" w:hAnsi="Times New Roman"/>
          <w:sz w:val="20"/>
        </w:rPr>
      </w:pPr>
      <w:r>
        <w:rPr>
          <w:rFonts w:ascii="Times New Roman" w:hAnsi="Times New Roman"/>
          <w:b/>
          <w:i/>
          <w:color w:val="000000"/>
          <w:sz w:val="20"/>
        </w:rPr>
        <w:t>Equity Incentive Plans</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2014 Plan</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 maintains the 2014 Equity Incentive Plan (the 2014 Plan). Under the 2014 Plan the Company may grant stock options, stock appreciation rights, restricted stock, restricted stock units, performance units or performance shares to employees, directors, advisors, and consultants. Options granted under the 2014 Plan may be incentive stock options (ISOs) or nonqualified stock options (NSOs). ISOs may be granted only to Company employees, including officers and directors.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Board has the authority to determine to whom stock options will be granted, the number of options, the term, and the exercise price. Options are to be granted at an exercise price not less than fair value. For individuals holding more than 10% of the voting rights of all classes of stock, the exercise price of an option will not be less than 110% of fair value. The vesting period for service-based stock options is normally monthly over a period of 4</w:t>
      </w:r>
      <w:r>
        <w:rPr>
          <w:rFonts w:ascii="Times New Roman" w:hAnsi="Times New Roman"/>
          <w:color w:val="000000"/>
          <w:sz w:val="20"/>
        </w:rPr>
        <w:t xml:space="preserve"> </w:t>
      </w:r>
      <w:r>
        <w:rPr>
          <w:rFonts w:ascii="Times New Roman" w:hAnsi="Times New Roman"/>
          <w:b w:val="false"/>
          <w:color w:val="000000"/>
          <w:sz w:val="20"/>
        </w:rPr>
        <w:t>years from the vesting date. Performance-based grants have vesting contingent upon the achievement of certain performance criteria related to the Company’s commercialization of its therapeutics. The contractual term of an option is no longer than five years</w:t>
      </w:r>
      <w:r>
        <w:rPr>
          <w:rFonts w:ascii="Times New Roman" w:hAnsi="Times New Roman"/>
          <w:color w:val="000000"/>
          <w:sz w:val="20"/>
        </w:rPr>
        <w:t xml:space="preserve"> </w:t>
      </w:r>
      <w:r>
        <w:rPr>
          <w:rFonts w:ascii="Times New Roman" w:hAnsi="Times New Roman"/>
          <w:b w:val="false"/>
          <w:color w:val="000000"/>
          <w:sz w:val="20"/>
        </w:rPr>
        <w:t>for ISOs for which the grantee owns greater than 10% of the voting power of all classes of stock and no longer than ten years</w:t>
      </w:r>
      <w:r>
        <w:rPr>
          <w:rFonts w:ascii="Times New Roman" w:hAnsi="Times New Roman"/>
          <w:color w:val="000000"/>
          <w:sz w:val="20"/>
        </w:rPr>
        <w:t xml:space="preserve"> </w:t>
      </w:r>
      <w:r>
        <w:rPr>
          <w:rFonts w:ascii="Times New Roman" w:hAnsi="Times New Roman"/>
          <w:b w:val="false"/>
          <w:color w:val="000000"/>
          <w:sz w:val="20"/>
        </w:rPr>
        <w:t>for all other options. The terms and conditions governing restricted stock units is at the sole discretion of the Board.</w:t>
      </w:r>
      <w:r>
        <w:rPr>
          <w:rFonts w:ascii="Times New Roman" w:hAnsi="Times New Roman"/>
          <w:color w:val="000000"/>
          <w:sz w:val="20"/>
        </w:rPr>
        <w:t xml:space="preserve">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On March 23, 2023, the Company filed a Registration Statement on Form S-8 which registered 238,329</w:t>
      </w:r>
      <w:r>
        <w:rPr>
          <w:rFonts w:ascii="Times New Roman" w:hAnsi="Times New Roman"/>
          <w:color w:val="000000"/>
          <w:sz w:val="20"/>
        </w:rPr>
        <w:t xml:space="preserve"> </w:t>
      </w:r>
      <w:r>
        <w:rPr>
          <w:rFonts w:ascii="Times New Roman" w:hAnsi="Times New Roman"/>
          <w:b w:val="false"/>
          <w:color w:val="000000"/>
          <w:sz w:val="20"/>
        </w:rPr>
        <w:t>shares available for grant and issuance under the 2014 Plan, all of which became available for grant and issuance under the 2014 Plan on January 1, 2023. On May 25, 2023, the stockholders approved the Amended and Restated 2014 Plan which included an increase of 1.8</w:t>
      </w:r>
      <w:r>
        <w:rPr>
          <w:rFonts w:ascii="Times New Roman" w:hAnsi="Times New Roman"/>
          <w:color w:val="000000"/>
          <w:sz w:val="20"/>
        </w:rPr>
        <w:t xml:space="preserve"> </w:t>
      </w:r>
      <w:r>
        <w:rPr>
          <w:rFonts w:ascii="Times New Roman" w:hAnsi="Times New Roman"/>
          <w:b w:val="false"/>
          <w:color w:val="000000"/>
          <w:sz w:val="20"/>
        </w:rPr>
        <w:t>million shares available for grant and issuance. As of September 30, 2023, a total of 17,780</w:t>
      </w:r>
      <w:r>
        <w:rPr>
          <w:rFonts w:ascii="Times New Roman" w:hAnsi="Times New Roman"/>
          <w:color w:val="000000"/>
          <w:sz w:val="20"/>
        </w:rPr>
        <w:t xml:space="preserve"> </w:t>
      </w:r>
      <w:r>
        <w:rPr>
          <w:rFonts w:ascii="Times New Roman" w:hAnsi="Times New Roman"/>
          <w:b w:val="false"/>
          <w:color w:val="000000"/>
          <w:sz w:val="20"/>
        </w:rPr>
        <w:t>shares are available for future grant under the 2014 Plan.</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Inducement Plan</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 maintains the</w:t>
      </w:r>
      <w:r>
        <w:rPr>
          <w:rFonts w:ascii="Times New Roman" w:hAnsi="Times New Roman"/>
          <w:color w:val="000000"/>
          <w:sz w:val="20"/>
        </w:rPr>
        <w:t xml:space="preserve"> </w:t>
      </w:r>
      <w:r>
        <w:rPr>
          <w:rFonts w:ascii="Times New Roman" w:hAnsi="Times New Roman"/>
          <w:b w:val="false"/>
          <w:color w:val="000000"/>
          <w:sz w:val="20"/>
        </w:rPr>
        <w:t>2020 Inducement Equity Incentive Plan (the Inducement Plan). The Inducement Plan provides for the grant of equity-based awards, including non-statutory stock options, restricted stock units, restricted stock, stock appreciation rights, performance shares and performance units, and its terms are substantially similar to the 2014 Plan.</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accordance with Rule 5635(c)(4) and Rule 5635(c)(3) of the Nasdaq Listing Rules, awards under the Inducement Plan may only be made to individuals not previously employees or non-employee directors of the Company (or following such individuals’ bona fide period of non-employment with the Company), as an inducement material to the individuals’ entry into employment with the Company, or, to the extent permitted by Rule 5635(c)(3) of the Nasdaq Listing Rules, in connection with a merger or acquisition. On March 23, 2023, the Company filed a Registration Statement on Form S-8 which registered 500,000</w:t>
      </w:r>
      <w:r>
        <w:rPr>
          <w:rFonts w:ascii="Times New Roman" w:hAnsi="Times New Roman"/>
          <w:color w:val="000000"/>
          <w:sz w:val="20"/>
        </w:rPr>
        <w:t xml:space="preserve"> </w:t>
      </w:r>
      <w:r>
        <w:rPr>
          <w:rFonts w:ascii="Times New Roman" w:hAnsi="Times New Roman"/>
          <w:b w:val="false"/>
          <w:color w:val="000000"/>
          <w:sz w:val="20"/>
        </w:rPr>
        <w:t>shares available for issuance under the Inducement Plan, all of which became available for grant and issuance under the Inducement Plan on February 17, 2023.</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As of September 30, 2023, a total of 590,668</w:t>
      </w:r>
      <w:r>
        <w:rPr>
          <w:rFonts w:ascii="Times New Roman" w:hAnsi="Times New Roman"/>
          <w:color w:val="000000"/>
          <w:sz w:val="20"/>
        </w:rPr>
        <w:t xml:space="preserve"> </w:t>
      </w:r>
      <w:r>
        <w:rPr>
          <w:rFonts w:ascii="Times New Roman" w:hAnsi="Times New Roman"/>
          <w:b w:val="false"/>
          <w:color w:val="000000"/>
          <w:sz w:val="20"/>
        </w:rPr>
        <w:t>shares are available for future grant under the Inducement Plan.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Stock-based compensation expense</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 recognizes stock-based compensation expense related to options and restricted stock units granted to employees, directors and consultants. The compensation expense is allocated on a departmental basis, based on the classification of the award holder. No</w:t>
      </w:r>
      <w:r>
        <w:rPr>
          <w:rFonts w:ascii="Times New Roman" w:hAnsi="Times New Roman"/>
          <w:color w:val="000000"/>
          <w:sz w:val="20"/>
        </w:rPr>
        <w:t xml:space="preserve"> </w:t>
      </w:r>
      <w:r>
        <w:rPr>
          <w:rFonts w:ascii="Times New Roman" w:hAnsi="Times New Roman"/>
          <w:b w:val="false"/>
          <w:color w:val="000000"/>
          <w:sz w:val="20"/>
        </w:rPr>
        <w:t>income tax benefits have been recognized in the condensed consolidated statements of operations and comprehensive loss for stock-based compensation arrangements during any of the periods presented.</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Stock-based compensation expense was recognized in the condensed consolidated statements of operations and comprehensive loss as follows (in thousands):</w:t>
      </w:r>
      <w:r>
        <w:rPr>
          <w:rFonts w:ascii="Times New Roman" w:hAnsi="Times New Roman"/>
          <w:color w:val="000000"/>
          <w:sz w:val="20"/>
        </w:rPr>
        <w:t xml:space="preserve"> </w:t>
      </w:r>
    </w:p>
    <w:tbl>
      <w:tblPr>
        <w:tblW w:w="8271" w:type="dxa"/>
        <w:jc w:val="left"/>
        <w:tblInd w:w="0" w:type="dxa"/>
        <w:tblLayout w:type="fixed"/>
        <w:tblCellMar>
          <w:top w:w="28" w:type="dxa"/>
          <w:left w:w="28" w:type="dxa"/>
          <w:bottom w:w="28" w:type="dxa"/>
          <w:right w:w="28" w:type="dxa"/>
        </w:tblCellMar>
      </w:tblPr>
      <w:tblGrid>
        <w:gridCol w:w="2311"/>
        <w:gridCol w:w="332"/>
        <w:gridCol w:w="899"/>
        <w:gridCol w:w="229"/>
        <w:gridCol w:w="229"/>
        <w:gridCol w:w="332"/>
        <w:gridCol w:w="662"/>
        <w:gridCol w:w="146"/>
        <w:gridCol w:w="146"/>
        <w:gridCol w:w="295"/>
        <w:gridCol w:w="798"/>
        <w:gridCol w:w="204"/>
        <w:gridCol w:w="204"/>
        <w:gridCol w:w="295"/>
        <w:gridCol w:w="798"/>
        <w:gridCol w:w="391"/>
      </w:tblGrid>
      <w:tr>
        <w:trPr/>
        <w:tc>
          <w:tcPr>
            <w:tcW w:w="231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vAlign w:val="center"/>
          </w:tcPr>
          <w:p>
            <w:pPr>
              <w:pStyle w:val="TableContents"/>
              <w:bidi w:val="0"/>
              <w:spacing w:before="0" w:after="283"/>
              <w:jc w:val="center"/>
              <w:rPr/>
            </w:pPr>
            <w:r>
              <w:rPr/>
              <w:t> </w:t>
            </w:r>
          </w:p>
        </w:tc>
        <w:tc>
          <w:tcPr>
            <w:tcW w:w="26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vAlign w:val="center"/>
          </w:tcPr>
          <w:p>
            <w:pPr>
              <w:pStyle w:val="TableContents"/>
              <w:bidi w:val="0"/>
              <w:spacing w:before="0" w:after="283"/>
              <w:jc w:val="center"/>
              <w:rPr/>
            </w:pPr>
            <w:r>
              <w:rPr/>
              <w:t> </w:t>
            </w:r>
          </w:p>
        </w:tc>
        <w:tc>
          <w:tcPr>
            <w:tcW w:w="12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9" w:type="dxa"/>
            <w:tcBorders/>
            <w:shd w:fill="FFFFFF" w:val="clear"/>
            <w:vAlign w:val="center"/>
          </w:tcPr>
          <w:p>
            <w:pPr>
              <w:pStyle w:val="TableContents"/>
              <w:bidi w:val="0"/>
              <w:spacing w:before="0" w:after="283"/>
              <w:jc w:val="left"/>
              <w:rPr/>
            </w:pPr>
            <w:r>
              <w:rPr/>
              <w:t> </w:t>
            </w:r>
          </w:p>
        </w:tc>
        <w:tc>
          <w:tcPr>
            <w:tcW w:w="9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4" w:type="dxa"/>
            <w:tcBorders/>
            <w:shd w:fill="FFFFFF" w:val="clear"/>
            <w:vAlign w:val="center"/>
          </w:tcPr>
          <w:p>
            <w:pPr>
              <w:pStyle w:val="TableContents"/>
              <w:bidi w:val="0"/>
              <w:spacing w:before="0" w:after="283"/>
              <w:jc w:val="left"/>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Research and development</w:t>
            </w:r>
          </w:p>
        </w:tc>
        <w:tc>
          <w:tcPr>
            <w:tcW w:w="33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9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935</w:t>
            </w:r>
          </w:p>
        </w:tc>
        <w:tc>
          <w:tcPr>
            <w:tcW w:w="229"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6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1,587</w:t>
            </w:r>
          </w:p>
        </w:tc>
        <w:tc>
          <w:tcPr>
            <w:tcW w:w="204"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511</w:t>
            </w:r>
          </w:p>
        </w:tc>
        <w:tc>
          <w:tcPr>
            <w:tcW w:w="391" w:type="dxa"/>
            <w:tcBorders/>
            <w:shd w:fill="CFF0FC" w:val="clear"/>
            <w:vAlign w:val="center"/>
          </w:tcPr>
          <w:p>
            <w:pPr>
              <w:pStyle w:val="TableContents"/>
              <w:bidi w:val="0"/>
              <w:spacing w:before="0" w:after="283"/>
              <w:jc w:val="left"/>
              <w:rPr/>
            </w:pPr>
            <w:r>
              <w:rPr/>
              <w:t> </w:t>
            </w:r>
          </w:p>
        </w:tc>
      </w:tr>
      <w:tr>
        <w:trPr/>
        <w:tc>
          <w:tcPr>
            <w:tcW w:w="23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General and administrative</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1,266</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2,449</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1,387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1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w:t>
            </w:r>
          </w:p>
        </w:tc>
        <w:tc>
          <w:tcPr>
            <w:tcW w:w="3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2,201</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3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4,036</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1,898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Stock Options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 granted options to purchase 77,000</w:t>
      </w:r>
      <w:r>
        <w:rPr>
          <w:rFonts w:ascii="Times New Roman" w:hAnsi="Times New Roman"/>
          <w:color w:val="000000"/>
          <w:sz w:val="20"/>
        </w:rPr>
        <w:t xml:space="preserve"> </w:t>
      </w:r>
      <w:r>
        <w:rPr>
          <w:rFonts w:ascii="Times New Roman" w:hAnsi="Times New Roman"/>
          <w:b w:val="false"/>
          <w:color w:val="000000"/>
          <w:sz w:val="20"/>
        </w:rPr>
        <w:t>and 157,673</w:t>
      </w:r>
      <w:r>
        <w:rPr>
          <w:rFonts w:ascii="Times New Roman" w:hAnsi="Times New Roman"/>
          <w:color w:val="000000"/>
          <w:sz w:val="20"/>
        </w:rPr>
        <w:t xml:space="preserve"> </w:t>
      </w:r>
      <w:r>
        <w:rPr>
          <w:rFonts w:ascii="Times New Roman" w:hAnsi="Times New Roman"/>
          <w:b w:val="false"/>
          <w:color w:val="000000"/>
          <w:sz w:val="20"/>
        </w:rPr>
        <w:t>shares of the Company’s common stock during the three months ended September 30, 2023 and 2022, respectively, and granted options to purchase 1,663,454</w:t>
      </w:r>
      <w:r>
        <w:rPr>
          <w:rFonts w:ascii="Times New Roman" w:hAnsi="Times New Roman"/>
          <w:color w:val="000000"/>
          <w:sz w:val="20"/>
        </w:rPr>
        <w:t xml:space="preserve"> </w:t>
      </w:r>
      <w:r>
        <w:rPr>
          <w:rFonts w:ascii="Times New Roman" w:hAnsi="Times New Roman"/>
          <w:b w:val="false"/>
          <w:color w:val="000000"/>
          <w:sz w:val="20"/>
        </w:rPr>
        <w:t>and 283,919</w:t>
      </w:r>
      <w:r>
        <w:rPr>
          <w:rFonts w:ascii="Times New Roman" w:hAnsi="Times New Roman"/>
          <w:color w:val="000000"/>
          <w:sz w:val="20"/>
        </w:rPr>
        <w:t xml:space="preserve"> </w:t>
      </w:r>
      <w:r>
        <w:rPr>
          <w:rFonts w:ascii="Times New Roman" w:hAnsi="Times New Roman"/>
          <w:b w:val="false"/>
          <w:color w:val="000000"/>
          <w:sz w:val="20"/>
        </w:rPr>
        <w:t>of the Company's common stock during the nine months ended September 30, 2023 and 2022, respectively. There were no performance-based options granted during the three and nine months ended September 30, 2023 and 2022, respectively. The fair value of each award granted was estimated on the date of grant using the Black-Scholes option pricing model with the following assumptions:</w:t>
      </w:r>
    </w:p>
    <w:p>
      <w:pPr>
        <w:pStyle w:val="TextBody"/>
        <w:bidi w:val="0"/>
        <w:jc w:val="left"/>
        <w:rPr/>
      </w:pPr>
      <w:r>
        <w:rPr/>
        <w:t> </w:t>
      </w:r>
    </w:p>
    <w:tbl>
      <w:tblPr>
        <w:tblW w:w="7316" w:type="dxa"/>
        <w:jc w:val="left"/>
        <w:tblInd w:w="0" w:type="dxa"/>
        <w:tblLayout w:type="fixed"/>
        <w:tblCellMar>
          <w:top w:w="28" w:type="dxa"/>
          <w:left w:w="28" w:type="dxa"/>
          <w:bottom w:w="28" w:type="dxa"/>
          <w:right w:w="28" w:type="dxa"/>
        </w:tblCellMar>
      </w:tblPr>
      <w:tblGrid>
        <w:gridCol w:w="1846"/>
        <w:gridCol w:w="1262"/>
        <w:gridCol w:w="180"/>
        <w:gridCol w:w="1243"/>
        <w:gridCol w:w="146"/>
        <w:gridCol w:w="1215"/>
        <w:gridCol w:w="173"/>
        <w:gridCol w:w="1251"/>
      </w:tblGrid>
      <w:tr>
        <w:trPr/>
        <w:tc>
          <w:tcPr>
            <w:tcW w:w="1846"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vAlign w:val="center"/>
          </w:tcPr>
          <w:p>
            <w:pPr>
              <w:pStyle w:val="TableContents"/>
              <w:bidi w:val="0"/>
              <w:spacing w:before="0" w:after="283"/>
              <w:jc w:val="left"/>
              <w:rPr/>
            </w:pPr>
            <w:r>
              <w:rPr/>
              <w:t> </w:t>
            </w:r>
          </w:p>
        </w:tc>
        <w:tc>
          <w:tcPr>
            <w:tcW w:w="268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3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r>
      <w:tr>
        <w:trPr/>
        <w:tc>
          <w:tcPr>
            <w:tcW w:w="1846" w:type="dxa"/>
            <w:tcBorders/>
            <w:shd w:fill="FFFFFF" w:val="clear"/>
            <w:vAlign w:val="center"/>
          </w:tcPr>
          <w:p>
            <w:pPr>
              <w:pStyle w:val="TableContents"/>
              <w:bidi w:val="0"/>
              <w:spacing w:before="0" w:after="283"/>
              <w:jc w:val="left"/>
              <w:rPr/>
            </w:pPr>
            <w:r>
              <w:rPr/>
              <w:t> </w:t>
            </w:r>
          </w:p>
        </w:tc>
        <w:tc>
          <w:tcPr>
            <w:tcW w:w="1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r>
      <w:tr>
        <w:trPr/>
        <w:tc>
          <w:tcPr>
            <w:tcW w:w="18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Expected life (years)</w:t>
            </w:r>
          </w:p>
        </w:tc>
        <w:tc>
          <w:tcPr>
            <w:tcW w:w="1262"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5.3-6.0</w:t>
            </w:r>
          </w:p>
        </w:tc>
        <w:tc>
          <w:tcPr>
            <w:tcW w:w="180" w:type="dxa"/>
            <w:tcBorders/>
            <w:shd w:fill="CFF0FC" w:val="clear"/>
            <w:vAlign w:val="center"/>
          </w:tcPr>
          <w:p>
            <w:pPr>
              <w:pStyle w:val="TableContents"/>
              <w:bidi w:val="0"/>
              <w:spacing w:before="0" w:after="283"/>
              <w:jc w:val="center"/>
              <w:rPr/>
            </w:pPr>
            <w:r>
              <w:rPr/>
              <w:t> </w:t>
            </w:r>
          </w:p>
        </w:tc>
        <w:tc>
          <w:tcPr>
            <w:tcW w:w="1243"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5.2-5.7</w:t>
            </w:r>
          </w:p>
        </w:tc>
        <w:tc>
          <w:tcPr>
            <w:tcW w:w="146" w:type="dxa"/>
            <w:tcBorders/>
            <w:shd w:fill="CFF0FC" w:val="clear"/>
            <w:vAlign w:val="center"/>
          </w:tcPr>
          <w:p>
            <w:pPr>
              <w:pStyle w:val="TableContents"/>
              <w:bidi w:val="0"/>
              <w:spacing w:before="0" w:after="283"/>
              <w:jc w:val="center"/>
              <w:rPr/>
            </w:pPr>
            <w:r>
              <w:rPr/>
              <w:t> </w:t>
            </w:r>
          </w:p>
        </w:tc>
        <w:tc>
          <w:tcPr>
            <w:tcW w:w="1215"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5.3-6.0</w:t>
            </w:r>
          </w:p>
        </w:tc>
        <w:tc>
          <w:tcPr>
            <w:tcW w:w="173" w:type="dxa"/>
            <w:tcBorders/>
            <w:shd w:fill="CFF0FC" w:val="clear"/>
            <w:vAlign w:val="center"/>
          </w:tcPr>
          <w:p>
            <w:pPr>
              <w:pStyle w:val="TableContents"/>
              <w:bidi w:val="0"/>
              <w:spacing w:before="0" w:after="283"/>
              <w:jc w:val="center"/>
              <w:rPr/>
            </w:pPr>
            <w:r>
              <w:rPr/>
              <w:t> </w:t>
            </w:r>
          </w:p>
        </w:tc>
        <w:tc>
          <w:tcPr>
            <w:tcW w:w="1251"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5.2-6.0</w:t>
            </w:r>
          </w:p>
        </w:tc>
      </w:tr>
      <w:tr>
        <w:trPr/>
        <w:tc>
          <w:tcPr>
            <w:tcW w:w="18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Risk-free interest rate</w:t>
            </w:r>
          </w:p>
        </w:tc>
        <w:tc>
          <w:tcPr>
            <w:tcW w:w="1262"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4.0%-4.4%</w:t>
            </w:r>
          </w:p>
        </w:tc>
        <w:tc>
          <w:tcPr>
            <w:tcW w:w="180" w:type="dxa"/>
            <w:tcBorders/>
            <w:shd w:fill="FFFFFF" w:val="clear"/>
            <w:vAlign w:val="center"/>
          </w:tcPr>
          <w:p>
            <w:pPr>
              <w:pStyle w:val="TableContents"/>
              <w:bidi w:val="0"/>
              <w:spacing w:before="0" w:after="283"/>
              <w:jc w:val="center"/>
              <w:rPr/>
            </w:pPr>
            <w:r>
              <w:rPr/>
              <w:t> </w:t>
            </w:r>
          </w:p>
        </w:tc>
        <w:tc>
          <w:tcPr>
            <w:tcW w:w="1243"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2.8%-3.1%</w:t>
            </w:r>
          </w:p>
        </w:tc>
        <w:tc>
          <w:tcPr>
            <w:tcW w:w="146" w:type="dxa"/>
            <w:tcBorders/>
            <w:shd w:fill="FFFFFF" w:val="clear"/>
            <w:vAlign w:val="center"/>
          </w:tcPr>
          <w:p>
            <w:pPr>
              <w:pStyle w:val="TableContents"/>
              <w:bidi w:val="0"/>
              <w:spacing w:before="0" w:after="283"/>
              <w:jc w:val="center"/>
              <w:rPr/>
            </w:pPr>
            <w:r>
              <w:rPr/>
              <w:t> </w:t>
            </w:r>
          </w:p>
        </w:tc>
        <w:tc>
          <w:tcPr>
            <w:tcW w:w="1215"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3.5%-4.4%</w:t>
            </w:r>
          </w:p>
        </w:tc>
        <w:tc>
          <w:tcPr>
            <w:tcW w:w="173" w:type="dxa"/>
            <w:tcBorders/>
            <w:shd w:fill="FFFFFF" w:val="clear"/>
            <w:vAlign w:val="center"/>
          </w:tcPr>
          <w:p>
            <w:pPr>
              <w:pStyle w:val="TableContents"/>
              <w:bidi w:val="0"/>
              <w:spacing w:before="0" w:after="283"/>
              <w:jc w:val="center"/>
              <w:rPr/>
            </w:pPr>
            <w:r>
              <w:rPr/>
              <w:t> </w:t>
            </w:r>
          </w:p>
        </w:tc>
        <w:tc>
          <w:tcPr>
            <w:tcW w:w="1251"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1.7%-3.0%</w:t>
            </w:r>
          </w:p>
        </w:tc>
      </w:tr>
      <w:tr>
        <w:trPr/>
        <w:tc>
          <w:tcPr>
            <w:tcW w:w="18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Volatility</w:t>
            </w:r>
          </w:p>
        </w:tc>
        <w:tc>
          <w:tcPr>
            <w:tcW w:w="1262"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98%-100%</w:t>
            </w:r>
          </w:p>
        </w:tc>
        <w:tc>
          <w:tcPr>
            <w:tcW w:w="180" w:type="dxa"/>
            <w:tcBorders/>
            <w:shd w:fill="CFF0FC" w:val="clear"/>
            <w:vAlign w:val="center"/>
          </w:tcPr>
          <w:p>
            <w:pPr>
              <w:pStyle w:val="TableContents"/>
              <w:bidi w:val="0"/>
              <w:spacing w:before="0" w:after="283"/>
              <w:jc w:val="center"/>
              <w:rPr/>
            </w:pPr>
            <w:r>
              <w:rPr/>
              <w:t> </w:t>
            </w:r>
          </w:p>
        </w:tc>
        <w:tc>
          <w:tcPr>
            <w:tcW w:w="1243"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92%-95%</w:t>
            </w:r>
          </w:p>
        </w:tc>
        <w:tc>
          <w:tcPr>
            <w:tcW w:w="146" w:type="dxa"/>
            <w:tcBorders/>
            <w:shd w:fill="CFF0FC" w:val="clear"/>
            <w:vAlign w:val="center"/>
          </w:tcPr>
          <w:p>
            <w:pPr>
              <w:pStyle w:val="TableContents"/>
              <w:bidi w:val="0"/>
              <w:spacing w:before="0" w:after="283"/>
              <w:jc w:val="center"/>
              <w:rPr/>
            </w:pPr>
            <w:r>
              <w:rPr/>
              <w:t> </w:t>
            </w:r>
          </w:p>
        </w:tc>
        <w:tc>
          <w:tcPr>
            <w:tcW w:w="1215"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98%-100%</w:t>
            </w:r>
          </w:p>
        </w:tc>
        <w:tc>
          <w:tcPr>
            <w:tcW w:w="173" w:type="dxa"/>
            <w:tcBorders/>
            <w:shd w:fill="CFF0FC" w:val="clear"/>
            <w:vAlign w:val="center"/>
          </w:tcPr>
          <w:p>
            <w:pPr>
              <w:pStyle w:val="TableContents"/>
              <w:bidi w:val="0"/>
              <w:spacing w:before="0" w:after="283"/>
              <w:jc w:val="center"/>
              <w:rPr/>
            </w:pPr>
            <w:r>
              <w:rPr/>
              <w:t> </w:t>
            </w:r>
          </w:p>
        </w:tc>
        <w:tc>
          <w:tcPr>
            <w:tcW w:w="1251"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88%-93%</w:t>
            </w:r>
          </w:p>
        </w:tc>
      </w:tr>
      <w:tr>
        <w:trPr/>
        <w:tc>
          <w:tcPr>
            <w:tcW w:w="18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Dividend rate</w:t>
            </w:r>
          </w:p>
        </w:tc>
        <w:tc>
          <w:tcPr>
            <w:tcW w:w="1262" w:type="dxa"/>
            <w:tcBorders/>
            <w:shd w:fill="FFFFFF" w:val="clear"/>
            <w:vAlign w:val="center"/>
          </w:tcPr>
          <w:p>
            <w:pPr>
              <w:pStyle w:val="TableContents"/>
              <w:bidi w:val="0"/>
              <w:spacing w:before="0" w:after="283"/>
              <w:jc w:val="center"/>
              <w:rPr/>
            </w:pPr>
            <w:r>
              <w:rPr>
                <w:color w:val="000000"/>
              </w:rPr>
              <w:t>—  </w:t>
            </w:r>
            <w:r>
              <w:rPr>
                <w:rFonts w:ascii="Times New Roman" w:hAnsi="Times New Roman"/>
                <w:b w:val="false"/>
                <w:color w:val="000000"/>
                <w:sz w:val="20"/>
              </w:rPr>
              <w:t>%</w:t>
            </w:r>
          </w:p>
        </w:tc>
        <w:tc>
          <w:tcPr>
            <w:tcW w:w="180" w:type="dxa"/>
            <w:tcBorders/>
            <w:shd w:fill="FFFFFF" w:val="clear"/>
            <w:vAlign w:val="center"/>
          </w:tcPr>
          <w:p>
            <w:pPr>
              <w:pStyle w:val="TableContents"/>
              <w:bidi w:val="0"/>
              <w:spacing w:before="0" w:after="283"/>
              <w:jc w:val="center"/>
              <w:rPr/>
            </w:pPr>
            <w:r>
              <w:rPr/>
              <w:t> </w:t>
            </w:r>
          </w:p>
        </w:tc>
        <w:tc>
          <w:tcPr>
            <w:tcW w:w="1243" w:type="dxa"/>
            <w:tcBorders/>
            <w:shd w:fill="FFFFFF" w:val="clear"/>
            <w:vAlign w:val="center"/>
          </w:tcPr>
          <w:p>
            <w:pPr>
              <w:pStyle w:val="TableContents"/>
              <w:bidi w:val="0"/>
              <w:spacing w:before="0" w:after="283"/>
              <w:jc w:val="center"/>
              <w:rPr/>
            </w:pPr>
            <w:r>
              <w:rPr>
                <w:color w:val="000000"/>
              </w:rPr>
              <w:t>—  </w:t>
            </w: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1215" w:type="dxa"/>
            <w:tcBorders/>
            <w:shd w:fill="FFFFFF" w:val="clear"/>
            <w:vAlign w:val="center"/>
          </w:tcPr>
          <w:p>
            <w:pPr>
              <w:pStyle w:val="TableContents"/>
              <w:bidi w:val="0"/>
              <w:spacing w:before="0" w:after="283"/>
              <w:jc w:val="center"/>
              <w:rPr/>
            </w:pPr>
            <w:r>
              <w:rPr>
                <w:color w:val="000000"/>
              </w:rPr>
              <w:t>—  </w:t>
            </w:r>
            <w:r>
              <w:rPr>
                <w:rFonts w:ascii="Times New Roman" w:hAnsi="Times New Roman"/>
                <w:b w:val="false"/>
                <w:color w:val="000000"/>
                <w:sz w:val="20"/>
              </w:rPr>
              <w:t>%</w:t>
            </w:r>
          </w:p>
        </w:tc>
        <w:tc>
          <w:tcPr>
            <w:tcW w:w="173" w:type="dxa"/>
            <w:tcBorders/>
            <w:shd w:fill="FFFFFF" w:val="clear"/>
            <w:vAlign w:val="center"/>
          </w:tcPr>
          <w:p>
            <w:pPr>
              <w:pStyle w:val="TableContents"/>
              <w:bidi w:val="0"/>
              <w:spacing w:before="0" w:after="283"/>
              <w:jc w:val="center"/>
              <w:rPr/>
            </w:pPr>
            <w:r>
              <w:rPr/>
              <w:t> </w:t>
            </w:r>
          </w:p>
        </w:tc>
        <w:tc>
          <w:tcPr>
            <w:tcW w:w="1251" w:type="dxa"/>
            <w:tcBorders/>
            <w:shd w:fill="FFFFFF" w:val="clear"/>
            <w:vAlign w:val="center"/>
          </w:tcPr>
          <w:p>
            <w:pPr>
              <w:pStyle w:val="TableContents"/>
              <w:bidi w:val="0"/>
              <w:spacing w:before="0" w:after="283"/>
              <w:jc w:val="center"/>
              <w:rPr/>
            </w:pPr>
            <w:r>
              <w:rPr>
                <w:color w:val="000000"/>
              </w:rPr>
              <w:t>—  </w:t>
            </w:r>
            <w:r>
              <w:rPr>
                <w:rFonts w:ascii="Times New Roman" w:hAnsi="Times New Roman"/>
                <w:b w:val="false"/>
                <w:color w:val="000000"/>
                <w:sz w:val="20"/>
              </w:rPr>
              <w:t>%</w:t>
            </w:r>
          </w:p>
        </w:tc>
      </w:tr>
    </w:tbl>
    <w:p>
      <w:pPr>
        <w:pStyle w:val="TextBody"/>
        <w:bidi w:val="0"/>
        <w:spacing w:before="120" w:after="283"/>
        <w:jc w:val="left"/>
        <w:rPr>
          <w:rFonts w:ascii="Times New Roman" w:hAnsi="Times New Roman"/>
          <w:sz w:val="20"/>
        </w:rPr>
      </w:pPr>
      <w:r>
        <w:rPr>
          <w:rFonts w:ascii="Times New Roman" w:hAnsi="Times New Roman"/>
          <w:b w:val="false"/>
          <w:color w:val="000000"/>
          <w:sz w:val="20"/>
        </w:rPr>
        <w:t>The Black-Scholes option-pricing model requires the use of highly subjective assumptions to estimate the fair value of stock-based awards. These assumptions include the following estimates:</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val="false"/>
          <w:i/>
          <w:color w:val="000000"/>
          <w:sz w:val="20"/>
        </w:rPr>
        <w:t>Expected life:</w:t>
      </w:r>
      <w:r>
        <w:rPr>
          <w:color w:val="000000"/>
        </w:rPr>
        <w:t xml:space="preserve"> </w:t>
      </w:r>
      <w:r>
        <w:rPr>
          <w:rFonts w:ascii="Times New Roman" w:hAnsi="Times New Roman"/>
          <w:b w:val="false"/>
          <w:color w:val="000000"/>
          <w:sz w:val="20"/>
        </w:rPr>
        <w:t>The expected life of stock options represents the period of time that the options are expected to be outstanding. Due to the lack of historical exercise history, the expected life of the Company’s service-based stock options has been determined utilizing the “simplified method”, based on the average of the contractual term of the options and the weighted-average vesting period. The expected life for the performance-based options was determined based on consideration of the contractual term of the stock options, an estimate of the date the performance criteria would be met and expectations of employee behavior.</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val="false"/>
          <w:i/>
          <w:color w:val="000000"/>
          <w:sz w:val="20"/>
        </w:rPr>
        <w:t>Risk-free interest rate:</w:t>
      </w:r>
      <w:r>
        <w:rPr>
          <w:color w:val="000000"/>
        </w:rPr>
        <w:t xml:space="preserve"> </w:t>
      </w:r>
      <w:r>
        <w:rPr>
          <w:rFonts w:ascii="Times New Roman" w:hAnsi="Times New Roman"/>
          <w:b w:val="false"/>
          <w:color w:val="000000"/>
          <w:sz w:val="20"/>
        </w:rPr>
        <w:t>The risk-free interest rate is based on the yields of U.S. Treasury securities with maturities similar to the expected life of the stock options.</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val="false"/>
          <w:i/>
          <w:color w:val="000000"/>
          <w:sz w:val="20"/>
        </w:rPr>
        <w:t>Volatility:</w:t>
      </w:r>
      <w:r>
        <w:rPr>
          <w:color w:val="000000"/>
        </w:rPr>
        <w:t xml:space="preserve"> </w:t>
      </w:r>
      <w:r>
        <w:rPr>
          <w:rFonts w:ascii="Times New Roman" w:hAnsi="Times New Roman"/>
          <w:b w:val="false"/>
          <w:color w:val="000000"/>
          <w:sz w:val="20"/>
        </w:rPr>
        <w:t>The estimated volatility rate is based on the volatilities of the Company’s common stock for a historical period equal to the expected life of the stock options.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val="false"/>
          <w:i/>
          <w:color w:val="000000"/>
          <w:sz w:val="20"/>
        </w:rPr>
        <w:t>Dividend rate:</w:t>
      </w:r>
      <w:r>
        <w:rPr>
          <w:color w:val="000000"/>
        </w:rPr>
        <w:t xml:space="preserve"> </w:t>
      </w:r>
      <w:r>
        <w:rPr>
          <w:rFonts w:ascii="Times New Roman" w:hAnsi="Times New Roman"/>
          <w:b w:val="false"/>
          <w:color w:val="000000"/>
          <w:sz w:val="20"/>
        </w:rPr>
        <w:t xml:space="preserve">The Company has never declared or paid any cash dividends and does not presently plan to pay cash dividends in the foreseeable future. Consequently, the Company used an expected dividend yield of zero.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following table summarizes stock option transactions for the nine months ended September 30, 2023 as issued under the 2014 Plan and the Inducement Plan:</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099"/>
        <w:gridCol w:w="146"/>
        <w:gridCol w:w="146"/>
        <w:gridCol w:w="931"/>
        <w:gridCol w:w="166"/>
        <w:gridCol w:w="146"/>
        <w:gridCol w:w="230"/>
        <w:gridCol w:w="626"/>
        <w:gridCol w:w="146"/>
        <w:gridCol w:w="146"/>
        <w:gridCol w:w="236"/>
        <w:gridCol w:w="755"/>
        <w:gridCol w:w="146"/>
        <w:gridCol w:w="146"/>
        <w:gridCol w:w="415"/>
        <w:gridCol w:w="1332"/>
        <w:gridCol w:w="393"/>
      </w:tblGrid>
      <w:tr>
        <w:trPr/>
        <w:tc>
          <w:tcPr>
            <w:tcW w:w="40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409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Options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 per</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4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Intrinsic Value</w:t>
            </w:r>
          </w:p>
        </w:tc>
        <w:tc>
          <w:tcPr>
            <w:tcW w:w="393" w:type="dxa"/>
            <w:tcBorders/>
            <w:shd w:fill="FFFFFF" w:val="clear"/>
            <w:vAlign w:val="center"/>
          </w:tcPr>
          <w:p>
            <w:pPr>
              <w:pStyle w:val="TableContents"/>
              <w:bidi w:val="0"/>
              <w:spacing w:before="0" w:after="283"/>
              <w:jc w:val="center"/>
              <w:rPr/>
            </w:pPr>
            <w:r>
              <w:rPr/>
              <w:t> </w:t>
            </w:r>
          </w:p>
        </w:tc>
      </w:tr>
      <w:tr>
        <w:trPr/>
        <w:tc>
          <w:tcPr>
            <w:tcW w:w="409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9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Balance at January 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686,574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28.83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47" w:type="dxa"/>
            <w:gridSpan w:val="2"/>
            <w:tcBorders/>
            <w:shd w:fill="CFF0FC" w:val="clear"/>
            <w:vAlign w:val="center"/>
          </w:tcPr>
          <w:p>
            <w:pPr>
              <w:pStyle w:val="TableContents"/>
              <w:bidi w:val="0"/>
              <w:spacing w:before="0" w:after="283"/>
              <w:jc w:val="right"/>
              <w:rPr/>
            </w:pPr>
            <w:r>
              <w:rPr/>
              <w:t> </w:t>
            </w:r>
          </w:p>
        </w:tc>
        <w:tc>
          <w:tcPr>
            <w:tcW w:w="393" w:type="dxa"/>
            <w:tcBorders/>
            <w:shd w:fill="CFF0FC" w:val="clear"/>
            <w:vAlign w:val="center"/>
          </w:tcPr>
          <w:p>
            <w:pPr>
              <w:pStyle w:val="TableContents"/>
              <w:bidi w:val="0"/>
              <w:spacing w:before="0" w:after="283"/>
              <w:ind w:left="0" w:right="0" w:firstLine="200"/>
              <w:jc w:val="right"/>
              <w:rPr/>
            </w:pPr>
            <w:r>
              <w:rPr/>
              <w:t> </w:t>
            </w:r>
          </w:p>
        </w:tc>
      </w:tr>
      <w:tr>
        <w:trPr/>
        <w:tc>
          <w:tcPr>
            <w:tcW w:w="4099"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Options 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1,663,454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747" w:type="dxa"/>
            <w:gridSpan w:val="2"/>
            <w:tcBorders/>
            <w:shd w:fill="FFFFFF" w:val="clear"/>
            <w:vAlign w:val="center"/>
          </w:tcPr>
          <w:p>
            <w:pPr>
              <w:pStyle w:val="TableContents"/>
              <w:bidi w:val="0"/>
              <w:spacing w:before="0" w:after="283"/>
              <w:jc w:val="right"/>
              <w:rPr/>
            </w:pPr>
            <w:r>
              <w:rPr/>
              <w:t> </w:t>
            </w:r>
          </w:p>
        </w:tc>
        <w:tc>
          <w:tcPr>
            <w:tcW w:w="393" w:type="dxa"/>
            <w:tcBorders/>
            <w:shd w:fill="FFFFFF" w:val="clear"/>
            <w:vAlign w:val="center"/>
          </w:tcPr>
          <w:p>
            <w:pPr>
              <w:pStyle w:val="TableContents"/>
              <w:bidi w:val="0"/>
              <w:spacing w:before="0" w:after="283"/>
              <w:ind w:left="0" w:right="0" w:firstLine="200"/>
              <w:jc w:val="right"/>
              <w:rPr/>
            </w:pPr>
            <w:r>
              <w:rPr/>
              <w:t> </w:t>
            </w:r>
          </w:p>
        </w:tc>
      </w:tr>
      <w:tr>
        <w:trPr/>
        <w:tc>
          <w:tcPr>
            <w:tcW w:w="4099"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Options exercised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(3,931</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6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747" w:type="dxa"/>
            <w:gridSpan w:val="2"/>
            <w:tcBorders/>
            <w:shd w:fill="CFF0FC" w:val="clear"/>
            <w:vAlign w:val="center"/>
          </w:tcPr>
          <w:p>
            <w:pPr>
              <w:pStyle w:val="TableContents"/>
              <w:bidi w:val="0"/>
              <w:spacing w:before="0" w:after="283"/>
              <w:jc w:val="right"/>
              <w:rPr/>
            </w:pPr>
            <w:r>
              <w:rPr/>
              <w:t> </w:t>
            </w:r>
          </w:p>
        </w:tc>
        <w:tc>
          <w:tcPr>
            <w:tcW w:w="393" w:type="dxa"/>
            <w:tcBorders/>
            <w:shd w:fill="CFF0FC" w:val="clear"/>
            <w:vAlign w:val="center"/>
          </w:tcPr>
          <w:p>
            <w:pPr>
              <w:pStyle w:val="TableContents"/>
              <w:bidi w:val="0"/>
              <w:spacing w:before="0" w:after="283"/>
              <w:ind w:left="0" w:right="0" w:firstLine="200"/>
              <w:jc w:val="right"/>
              <w:rPr/>
            </w:pPr>
            <w:r>
              <w:rPr/>
              <w:t> </w:t>
            </w:r>
          </w:p>
        </w:tc>
      </w:tr>
      <w:tr>
        <w:trPr/>
        <w:tc>
          <w:tcPr>
            <w:tcW w:w="4099"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Options canceled/forfeited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(45,685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747" w:type="dxa"/>
            <w:gridSpan w:val="2"/>
            <w:tcBorders/>
            <w:shd w:fill="FFFFFF" w:val="clear"/>
            <w:vAlign w:val="center"/>
          </w:tcPr>
          <w:p>
            <w:pPr>
              <w:pStyle w:val="TableContents"/>
              <w:bidi w:val="0"/>
              <w:spacing w:before="0" w:after="283"/>
              <w:jc w:val="right"/>
              <w:rPr/>
            </w:pPr>
            <w:r>
              <w:rPr/>
              <w:t> </w:t>
            </w:r>
          </w:p>
        </w:tc>
        <w:tc>
          <w:tcPr>
            <w:tcW w:w="393" w:type="dxa"/>
            <w:tcBorders/>
            <w:shd w:fill="FFFFFF" w:val="clear"/>
            <w:vAlign w:val="center"/>
          </w:tcPr>
          <w:p>
            <w:pPr>
              <w:pStyle w:val="TableContents"/>
              <w:bidi w:val="0"/>
              <w:spacing w:before="0" w:after="283"/>
              <w:jc w:val="right"/>
              <w:rPr/>
            </w:pPr>
            <w:r>
              <w:rPr/>
              <w:t> </w:t>
            </w:r>
          </w:p>
        </w:tc>
      </w:tr>
      <w:tr>
        <w:trPr/>
        <w:tc>
          <w:tcPr>
            <w:tcW w:w="409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Balance at September 30,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2,300,412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3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47,959</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9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Options exercisable at September 30,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684,187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19.86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3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10,695</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9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Options vested and expected to vest at September 30,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2,277,454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3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47,959</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b w:val="false"/>
          <w:color w:val="000000"/>
          <w:sz w:val="20"/>
        </w:rPr>
        <w:t>The weighted-average grant date fair value of options granted was $3.80</w:t>
      </w:r>
      <w:r>
        <w:rPr>
          <w:rFonts w:ascii="Times New Roman" w:hAnsi="Times New Roman"/>
          <w:color w:val="000000"/>
          <w:sz w:val="20"/>
        </w:rPr>
        <w:t xml:space="preserve"> </w:t>
      </w:r>
      <w:r>
        <w:rPr>
          <w:rFonts w:ascii="Times New Roman" w:hAnsi="Times New Roman"/>
          <w:b w:val="false"/>
          <w:color w:val="000000"/>
          <w:sz w:val="20"/>
        </w:rPr>
        <w:t>and $2.62</w:t>
      </w:r>
      <w:r>
        <w:rPr>
          <w:rFonts w:ascii="Times New Roman" w:hAnsi="Times New Roman"/>
          <w:color w:val="000000"/>
          <w:sz w:val="20"/>
        </w:rPr>
        <w:t xml:space="preserve"> </w:t>
      </w:r>
      <w:r>
        <w:rPr>
          <w:rFonts w:ascii="Times New Roman" w:hAnsi="Times New Roman"/>
          <w:b w:val="false"/>
          <w:color w:val="000000"/>
          <w:sz w:val="20"/>
        </w:rPr>
        <w:t>per share for the nine months ended September 30, 2023 and 2022, respectively. At September 30, 2023 total unrecognized employee stock-based compensation related to stock options that are likely to vest was $7.4</w:t>
      </w:r>
      <w:r>
        <w:rPr>
          <w:rFonts w:ascii="Times New Roman" w:hAnsi="Times New Roman"/>
          <w:color w:val="000000"/>
          <w:sz w:val="20"/>
        </w:rPr>
        <w:t xml:space="preserve"> </w:t>
      </w:r>
      <w:r>
        <w:rPr>
          <w:rFonts w:ascii="Times New Roman" w:hAnsi="Times New Roman"/>
          <w:b w:val="false"/>
          <w:color w:val="000000"/>
          <w:sz w:val="20"/>
        </w:rPr>
        <w:t>million, which is expected to be recognized over the weighted-average remaining vesting period of 2.6</w:t>
      </w:r>
      <w:r>
        <w:rPr>
          <w:rFonts w:ascii="Times New Roman" w:hAnsi="Times New Roman"/>
          <w:color w:val="000000"/>
          <w:sz w:val="20"/>
        </w:rPr>
        <w:t xml:space="preserve"> </w:t>
      </w:r>
      <w:r>
        <w:rPr>
          <w:rFonts w:ascii="Times New Roman" w:hAnsi="Times New Roman"/>
          <w:b w:val="false"/>
          <w:color w:val="000000"/>
          <w:sz w:val="20"/>
        </w:rPr>
        <w:t>years.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Restricted Stock Units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There were no</w:t>
      </w:r>
      <w:r>
        <w:rPr>
          <w:rFonts w:ascii="Times New Roman" w:hAnsi="Times New Roman"/>
          <w:color w:val="000000"/>
          <w:sz w:val="20"/>
        </w:rPr>
        <w:t xml:space="preserve"> </w:t>
      </w:r>
      <w:r>
        <w:rPr>
          <w:rFonts w:ascii="Times New Roman" w:hAnsi="Times New Roman"/>
          <w:b w:val="false"/>
          <w:color w:val="000000"/>
          <w:sz w:val="20"/>
        </w:rPr>
        <w:t>restricted stock units granted by the Company during the three months ended September 30, 2023 and 2022, respectively, and 414,710</w:t>
      </w:r>
      <w:r>
        <w:rPr>
          <w:rFonts w:ascii="Times New Roman" w:hAnsi="Times New Roman"/>
          <w:color w:val="000000"/>
          <w:sz w:val="20"/>
        </w:rPr>
        <w:t xml:space="preserve"> </w:t>
      </w:r>
      <w:r>
        <w:rPr>
          <w:rFonts w:ascii="Times New Roman" w:hAnsi="Times New Roman"/>
          <w:b w:val="false"/>
          <w:color w:val="000000"/>
          <w:sz w:val="20"/>
        </w:rPr>
        <w:t>and 8,967</w:t>
      </w:r>
      <w:r>
        <w:rPr>
          <w:rFonts w:ascii="Times New Roman" w:hAnsi="Times New Roman"/>
          <w:color w:val="000000"/>
          <w:sz w:val="20"/>
        </w:rPr>
        <w:t xml:space="preserve"> </w:t>
      </w:r>
      <w:r>
        <w:rPr>
          <w:rFonts w:ascii="Times New Roman" w:hAnsi="Times New Roman"/>
          <w:b w:val="false"/>
          <w:color w:val="000000"/>
          <w:sz w:val="20"/>
        </w:rPr>
        <w:t>restricted stock units granted during the nine months ended September 30, 2023 and 2022, respectively, to employees and directors. The restricted stock units granted to directors in 2023 were 100% vested on the grant date and represent compensation for past board services. Restricted stock units granted during 2023 vest 100% nine months from date of grant. The restricted stock units were valued based on the Company’s common stock price on the grant date.</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following table summarizes restricted stock unit transactions for the nine months ended September 30, 2023 as issued under the 2014 Plan:</w:t>
      </w:r>
      <w:r>
        <w:rPr>
          <w:rFonts w:ascii="Times New Roman" w:hAnsi="Times New Roman"/>
          <w:color w:val="000000"/>
          <w:sz w:val="20"/>
        </w:rPr>
        <w:t xml:space="preserve"> </w:t>
      </w:r>
    </w:p>
    <w:tbl>
      <w:tblPr>
        <w:tblW w:w="8685" w:type="dxa"/>
        <w:jc w:val="left"/>
        <w:tblInd w:w="0" w:type="dxa"/>
        <w:tblLayout w:type="fixed"/>
        <w:tblCellMar>
          <w:top w:w="28" w:type="dxa"/>
          <w:left w:w="28" w:type="dxa"/>
          <w:bottom w:w="28" w:type="dxa"/>
          <w:right w:w="28" w:type="dxa"/>
        </w:tblCellMar>
      </w:tblPr>
      <w:tblGrid>
        <w:gridCol w:w="3591"/>
        <w:gridCol w:w="146"/>
        <w:gridCol w:w="269"/>
        <w:gridCol w:w="1441"/>
        <w:gridCol w:w="166"/>
        <w:gridCol w:w="146"/>
        <w:gridCol w:w="683"/>
        <w:gridCol w:w="1852"/>
        <w:gridCol w:w="391"/>
      </w:tblGrid>
      <w:tr>
        <w:trPr/>
        <w:tc>
          <w:tcPr>
            <w:tcW w:w="3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85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5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Restricted Stock 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Grant-Date Fair Value per Share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Outstanding at January 1, 2023</w:t>
            </w:r>
          </w:p>
        </w:tc>
        <w:tc>
          <w:tcPr>
            <w:tcW w:w="1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pPr>
            <w:r>
              <w:rPr/>
              <w:t> </w:t>
            </w:r>
          </w:p>
        </w:tc>
        <w:tc>
          <w:tcPr>
            <w:tcW w:w="14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19,068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8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85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57.75</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59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Restricted stock units granted</w:t>
            </w:r>
          </w:p>
        </w:tc>
        <w:tc>
          <w:tcPr>
            <w:tcW w:w="146"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14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414,710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85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5.25</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59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Restricted stock units vested</w:t>
            </w:r>
          </w:p>
        </w:tc>
        <w:tc>
          <w:tcPr>
            <w:tcW w:w="1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pPr>
            <w:r>
              <w:rPr/>
              <w:t> </w:t>
            </w:r>
          </w:p>
        </w:tc>
        <w:tc>
          <w:tcPr>
            <w:tcW w:w="14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(9,534</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68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85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57.75</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59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Restricted stock units canceled/forfeited</w:t>
            </w:r>
          </w:p>
        </w:tc>
        <w:tc>
          <w:tcPr>
            <w:tcW w:w="146" w:type="dxa"/>
            <w:tcBorders/>
            <w:shd w:fill="FFFFFF" w:val="cle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85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0.00</w:t>
            </w:r>
          </w:p>
        </w:tc>
        <w:tc>
          <w:tcPr>
            <w:tcW w:w="391" w:type="dxa"/>
            <w:tcBorders/>
            <w:shd w:fill="FFFFFF" w:val="clear"/>
            <w:vAlign w:val="center"/>
          </w:tcPr>
          <w:p>
            <w:pPr>
              <w:pStyle w:val="TableContents"/>
              <w:bidi w:val="0"/>
              <w:spacing w:before="0" w:after="283"/>
              <w:jc w:val="left"/>
              <w:rPr/>
            </w:pPr>
            <w:r>
              <w:rPr/>
              <w:t> </w:t>
            </w:r>
          </w:p>
        </w:tc>
      </w:tr>
      <w:tr>
        <w:trPr/>
        <w:tc>
          <w:tcPr>
            <w:tcW w:w="35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Outstanding at September 30, 2023</w:t>
            </w:r>
          </w:p>
        </w:tc>
        <w:tc>
          <w:tcPr>
            <w:tcW w:w="146" w:type="dxa"/>
            <w:tcBorders/>
            <w:shd w:fill="CFF0FC" w:val="clear"/>
            <w:vAlign w:val="center"/>
          </w:tcPr>
          <w:p>
            <w:pPr>
              <w:pStyle w:val="TableContents"/>
              <w:bidi w:val="0"/>
              <w:spacing w:before="0" w:after="283"/>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424,244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8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85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6.43</w:t>
            </w:r>
          </w:p>
        </w:tc>
        <w:tc>
          <w:tcPr>
            <w:tcW w:w="391" w:type="dxa"/>
            <w:tcBorders/>
            <w:shd w:fill="CFF0FC" w:val="cle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b w:val="false"/>
          <w:color w:val="000000"/>
          <w:sz w:val="20"/>
        </w:rPr>
        <w:t>The weighted-average grant-date fair value of all restricted stock units granted during the nine months ended September 30, 2023 and 2022 was $5.25</w:t>
      </w:r>
      <w:r>
        <w:rPr>
          <w:rFonts w:ascii="Times New Roman" w:hAnsi="Times New Roman"/>
          <w:color w:val="000000"/>
          <w:sz w:val="20"/>
        </w:rPr>
        <w:t xml:space="preserve"> </w:t>
      </w:r>
      <w:r>
        <w:rPr>
          <w:rFonts w:ascii="Times New Roman" w:hAnsi="Times New Roman"/>
          <w:b w:val="false"/>
          <w:color w:val="000000"/>
          <w:sz w:val="20"/>
        </w:rPr>
        <w:t>and $5.33, respectively. The fair value of all restricted stock units vested during the nine months ended September 30, 2023 and 2022 was $23,000</w:t>
      </w:r>
      <w:r>
        <w:rPr>
          <w:rFonts w:ascii="Times New Roman" w:hAnsi="Times New Roman"/>
          <w:color w:val="000000"/>
          <w:sz w:val="20"/>
        </w:rPr>
        <w:t xml:space="preserve"> </w:t>
      </w:r>
      <w:r>
        <w:rPr>
          <w:rFonts w:ascii="Times New Roman" w:hAnsi="Times New Roman"/>
          <w:b w:val="false"/>
          <w:color w:val="000000"/>
          <w:sz w:val="20"/>
        </w:rPr>
        <w:t>and $0.6</w:t>
      </w:r>
      <w:r>
        <w:rPr>
          <w:rFonts w:ascii="Times New Roman" w:hAnsi="Times New Roman"/>
          <w:color w:val="000000"/>
          <w:sz w:val="20"/>
        </w:rPr>
        <w:t xml:space="preserve"> </w:t>
      </w:r>
      <w:r>
        <w:rPr>
          <w:rFonts w:ascii="Times New Roman" w:hAnsi="Times New Roman"/>
          <w:b w:val="false"/>
          <w:color w:val="000000"/>
          <w:sz w:val="20"/>
        </w:rPr>
        <w:t>million, respectively. At September 30, 2023, total unrecognized employee stock-based compensation related to restricted stock units was $0.8</w:t>
      </w:r>
      <w:r>
        <w:rPr>
          <w:rFonts w:ascii="Times New Roman" w:hAnsi="Times New Roman"/>
          <w:color w:val="000000"/>
          <w:sz w:val="20"/>
        </w:rPr>
        <w:t xml:space="preserve"> </w:t>
      </w:r>
      <w:r>
        <w:rPr>
          <w:rFonts w:ascii="Times New Roman" w:hAnsi="Times New Roman"/>
          <w:b w:val="false"/>
          <w:color w:val="000000"/>
          <w:sz w:val="20"/>
        </w:rPr>
        <w:t>million, which is expected to be recognized over the weighted-average remaining vesting period of 0.2</w:t>
      </w:r>
      <w:r>
        <w:rPr>
          <w:rFonts w:ascii="Times New Roman" w:hAnsi="Times New Roman"/>
          <w:color w:val="000000"/>
          <w:sz w:val="20"/>
        </w:rPr>
        <w:t xml:space="preserve"> </w:t>
      </w:r>
      <w:r>
        <w:rPr>
          <w:rFonts w:ascii="Times New Roman" w:hAnsi="Times New Roman"/>
          <w:b w:val="false"/>
          <w:color w:val="000000"/>
          <w:sz w:val="20"/>
        </w:rPr>
        <w:t>years.</w:t>
      </w:r>
    </w:p>
    <w:p>
      <w:pPr>
        <w:pStyle w:val="TextBody"/>
        <w:bidi w:val="0"/>
        <w:spacing w:before="240" w:after="283"/>
        <w:jc w:val="left"/>
        <w:rPr>
          <w:rFonts w:ascii="Times New Roman" w:hAnsi="Times New Roman"/>
          <w:sz w:val="20"/>
        </w:rPr>
      </w:pPr>
      <w:r>
        <w:rPr>
          <w:rFonts w:ascii="Times New Roman" w:hAnsi="Times New Roman"/>
          <w:b/>
          <w:i/>
          <w:color w:val="000000"/>
          <w:sz w:val="20"/>
        </w:rPr>
        <w:t>2014 Employee Stock Purchase Plan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Company’s board of directors and stockholders have adopted the 2014 Employee Stock Purchase Plan (ESPP). The ESPP has become effective, and the board of directors will implement commencement of offers thereunder in its discretion. A total of 1,864</w:t>
      </w:r>
      <w:r>
        <w:rPr>
          <w:rFonts w:ascii="Times New Roman" w:hAnsi="Times New Roman"/>
          <w:color w:val="000000"/>
          <w:sz w:val="20"/>
        </w:rPr>
        <w:t xml:space="preserve"> </w:t>
      </w:r>
      <w:r>
        <w:rPr>
          <w:rFonts w:ascii="Times New Roman" w:hAnsi="Times New Roman"/>
          <w:b w:val="false"/>
          <w:color w:val="000000"/>
          <w:sz w:val="20"/>
        </w:rPr>
        <w:t>shares of the Company’s common stock has been made available for sale under the ESPP. In addition, the ESPP provides for annual increases in the number of shares available for issuance under the plan on the first day of each year beginning in the year following the initial date that the board of directors authorizes commencement, equal to the least of:</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1.0% of the outstanding shares of the Company’s common stock on the first day of such year;</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val="false"/>
          <w:color w:val="000000"/>
          <w:sz w:val="20"/>
        </w:rPr>
        <w:t>3,729</w:t>
      </w:r>
      <w:r>
        <w:rPr>
          <w:color w:val="000000"/>
        </w:rPr>
        <w:t xml:space="preserve"> </w:t>
      </w:r>
      <w:r>
        <w:rPr>
          <w:rFonts w:ascii="Times New Roman" w:hAnsi="Times New Roman"/>
          <w:b w:val="false"/>
          <w:color w:val="000000"/>
          <w:sz w:val="20"/>
        </w:rPr>
        <w:t xml:space="preserve">shares;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such amount as determined by the board of directors.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As of September 30, 2023, there were no</w:t>
      </w:r>
      <w:r>
        <w:rPr>
          <w:rFonts w:ascii="Times New Roman" w:hAnsi="Times New Roman"/>
          <w:color w:val="000000"/>
          <w:sz w:val="20"/>
        </w:rPr>
        <w:t xml:space="preserve"> </w:t>
      </w:r>
      <w:r>
        <w:rPr>
          <w:rFonts w:ascii="Times New Roman" w:hAnsi="Times New Roman"/>
          <w:b w:val="false"/>
          <w:color w:val="000000"/>
          <w:sz w:val="20"/>
        </w:rPr>
        <w:t>purchases by employees under this plan.</w:t>
      </w:r>
      <w:r>
        <w:rPr>
          <w:rFonts w:ascii="Times New Roman" w:hAnsi="Times New Roman"/>
          <w:color w:val="000000"/>
          <w:sz w:val="20"/>
        </w:rPr>
        <w:t xml:space="preserve"> </w:t>
      </w:r>
    </w:p>
    <w:p>
      <w:pPr>
        <w:pStyle w:val="TextBody"/>
        <w:bidi w:val="0"/>
        <w:spacing w:before="120" w:after="283"/>
        <w:jc w:val="left"/>
        <w:rPr/>
      </w:pPr>
      <w:r>
        <w:rPr/>
        <w:t> </w:t>
      </w:r>
    </w:p>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Note 8. Net loss per share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 xml:space="preserve">Basic net loss per share is computed by dividing net loss by the weighted-average number of common stock outstanding during the period. Shares of common stock that are potentially issuable for little or no cash consideration at issuance, such as the Company's pre-funded warrants issued in March 2022 and in connection with the exercise of certain May 2023 Tranche A warrants, are considered outstanding common stock and are included in the calculation of basic and diluted net loss per share in connection with </w:t>
      </w:r>
      <w:r>
        <w:rPr>
          <w:rFonts w:ascii="Times New Roman" w:hAnsi="Times New Roman"/>
          <w:b w:val="false"/>
          <w:i/>
          <w:color w:val="000000"/>
          <w:sz w:val="20"/>
        </w:rPr>
        <w:t>ASC 260 Earnings Per Shares</w:t>
      </w:r>
      <w:r>
        <w:rPr>
          <w:rFonts w:ascii="Times New Roman" w:hAnsi="Times New Roman"/>
          <w:b w:val="false"/>
          <w:color w:val="000000"/>
          <w:sz w:val="20"/>
        </w:rPr>
        <w:t>. Diluted net loss per share is computed by dividing net loss by the weighted-average number of common stock outstanding and dilutive potential common stock that would be issued upon the exercise or vesting of common stock awards and exercise of common stock warrants that are not pre-funded. The Company applies the two-class method to calculate basic and diluted earnings per share as its warrants issued in March 2022 and May 2023 are participating securities. However, the two-class method does not impact the net loss per share of common stock as the March 2022 and May 2023 common warrants issued do not participate in losses. For the three and nine months ended September 30, 2023 and 2022, the effect of issuing potential common stock is anti-dilutive due to the net losses in those periods and therefore the number of shares used to compute basic and diluted net loss per share are the same in each of those periods.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following securities are the weighted-average common shares outstanding used to calculate basic and diluted net loss per common share: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921"/>
        <w:gridCol w:w="346"/>
        <w:gridCol w:w="152"/>
        <w:gridCol w:w="1083"/>
        <w:gridCol w:w="152"/>
        <w:gridCol w:w="152"/>
        <w:gridCol w:w="152"/>
        <w:gridCol w:w="974"/>
        <w:gridCol w:w="146"/>
        <w:gridCol w:w="146"/>
        <w:gridCol w:w="147"/>
        <w:gridCol w:w="1051"/>
        <w:gridCol w:w="147"/>
        <w:gridCol w:w="147"/>
        <w:gridCol w:w="147"/>
        <w:gridCol w:w="945"/>
        <w:gridCol w:w="397"/>
      </w:tblGrid>
      <w:tr>
        <w:trPr/>
        <w:tc>
          <w:tcPr>
            <w:tcW w:w="392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3921"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pPr>
            <w:r>
              <w:rPr/>
              <w:t> </w:t>
            </w:r>
          </w:p>
        </w:tc>
        <w:tc>
          <w:tcPr>
            <w:tcW w:w="26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21"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pPr>
            <w:r>
              <w:rPr/>
              <w:t> </w:t>
            </w:r>
          </w:p>
        </w:tc>
        <w:tc>
          <w:tcPr>
            <w:tcW w:w="12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2022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vAlign w:val="center"/>
          </w:tcPr>
          <w:p>
            <w:pPr>
              <w:pStyle w:val="TableContents"/>
              <w:bidi w:val="0"/>
              <w:spacing w:before="0" w:after="283"/>
              <w:jc w:val="center"/>
              <w:rPr/>
            </w:pPr>
            <w:r>
              <w:rPr/>
              <w:t> </w:t>
            </w:r>
          </w:p>
        </w:tc>
        <w:tc>
          <w:tcPr>
            <w:tcW w:w="10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2022 </w:t>
            </w:r>
            <w:r>
              <w:rPr>
                <w:rFonts w:ascii="Times New Roman" w:hAnsi="Times New Roman"/>
                <w:b/>
                <w:color w:val="000000"/>
                <w:sz w:val="11"/>
              </w:rPr>
              <w:t>(1)</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Common stock</w:t>
            </w:r>
          </w:p>
        </w:tc>
        <w:tc>
          <w:tcPr>
            <w:tcW w:w="346"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108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10,287,620</w:t>
            </w:r>
          </w:p>
        </w:tc>
        <w:tc>
          <w:tcPr>
            <w:tcW w:w="152"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97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8,136,740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105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9,206,650</w:t>
            </w:r>
          </w:p>
        </w:tc>
        <w:tc>
          <w:tcPr>
            <w:tcW w:w="147"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94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7,156,344</w:t>
            </w:r>
          </w:p>
        </w:tc>
        <w:tc>
          <w:tcPr>
            <w:tcW w:w="397" w:type="dxa"/>
            <w:tcBorders/>
            <w:shd w:fill="CFF0FC" w:val="clear"/>
            <w:vAlign w:val="center"/>
          </w:tcPr>
          <w:p>
            <w:pPr>
              <w:pStyle w:val="TableContents"/>
              <w:bidi w:val="0"/>
              <w:spacing w:before="0" w:after="283"/>
              <w:jc w:val="left"/>
              <w:rPr/>
            </w:pPr>
            <w:r>
              <w:rPr/>
              <w:t> </w:t>
            </w:r>
          </w:p>
        </w:tc>
      </w:tr>
      <w:tr>
        <w:trPr/>
        <w:tc>
          <w:tcPr>
            <w:tcW w:w="39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March 2022 pre-funded warrants</w:t>
            </w:r>
          </w:p>
        </w:tc>
        <w:tc>
          <w:tcPr>
            <w:tcW w:w="3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08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1,122,819</w:t>
            </w:r>
          </w:p>
        </w:tc>
        <w:tc>
          <w:tcPr>
            <w:tcW w:w="15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1,280,965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05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1,227,670</w:t>
            </w:r>
          </w:p>
        </w:tc>
        <w:tc>
          <w:tcPr>
            <w:tcW w:w="14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889,169</w:t>
            </w:r>
          </w:p>
        </w:tc>
        <w:tc>
          <w:tcPr>
            <w:tcW w:w="397" w:type="dxa"/>
            <w:tcBorders/>
            <w:shd w:fill="FFFFFF" w:val="clear"/>
            <w:vAlign w:val="center"/>
          </w:tcPr>
          <w:p>
            <w:pPr>
              <w:pStyle w:val="TableContents"/>
              <w:bidi w:val="0"/>
              <w:spacing w:before="0" w:after="283"/>
              <w:jc w:val="left"/>
              <w:rPr/>
            </w:pPr>
            <w:r>
              <w:rPr/>
              <w:t> </w:t>
            </w:r>
          </w:p>
        </w:tc>
      </w:tr>
      <w:tr>
        <w:trPr/>
        <w:tc>
          <w:tcPr>
            <w:tcW w:w="39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May 2023 Tranche A pre-funded exchange warrants</w:t>
            </w:r>
          </w:p>
        </w:tc>
        <w:tc>
          <w:tcPr>
            <w:tcW w:w="346" w:type="dxa"/>
            <w:tcBorders/>
            <w:shd w:fill="CFF0FC" w:val="cle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26,309</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8,866</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2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Total</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11,436,748</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9,417,705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10,443,186</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8,045,513</w:t>
            </w:r>
          </w:p>
        </w:tc>
        <w:tc>
          <w:tcPr>
            <w:tcW w:w="3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b w:val="false"/>
          <w:color w:val="000000"/>
          <w:sz w:val="13"/>
        </w:rPr>
        <w:t>(1)</w:t>
      </w:r>
      <w:r>
        <w:rPr>
          <w:rFonts w:ascii="Times New Roman" w:hAnsi="Times New Roman"/>
          <w:color w:val="000000"/>
          <w:sz w:val="20"/>
        </w:rPr>
        <w:t xml:space="preserve"> </w:t>
      </w:r>
      <w:r>
        <w:rPr>
          <w:rFonts w:ascii="Times New Roman" w:hAnsi="Times New Roman"/>
          <w:b w:val="false"/>
          <w:color w:val="000000"/>
          <w:sz w:val="20"/>
        </w:rPr>
        <w:t>The Company revised the 2022 weighted-average common shares outstanding calculation to include the March 2022 pre-funded warrants. Management believes this version results in a more appropriate treatment of the pre-funded warrants in calculating the net loss per share.</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following potentially dilutive securities outstanding have been excluded from the computations of diluted weighted-average shares outstanding for the periods presented because such securities have an antidilutive impact due to losses reported (in common stock equivalent shares):</w:t>
      </w:r>
      <w:r>
        <w:rPr>
          <w:rFonts w:ascii="Times New Roman" w:hAnsi="Times New Roman"/>
          <w:color w:val="000000"/>
          <w:sz w:val="20"/>
        </w:rPr>
        <w:t xml:space="preserve"> </w:t>
      </w:r>
    </w:p>
    <w:p>
      <w:pPr>
        <w:pStyle w:val="TextBody"/>
        <w:bidi w:val="0"/>
        <w:jc w:val="left"/>
        <w:rPr/>
      </w:pPr>
      <w:r>
        <w:rPr/>
        <w:t> </w:t>
      </w:r>
    </w:p>
    <w:tbl>
      <w:tblPr>
        <w:tblW w:w="7874" w:type="dxa"/>
        <w:jc w:val="left"/>
        <w:tblInd w:w="0" w:type="dxa"/>
        <w:tblLayout w:type="fixed"/>
        <w:tblCellMar>
          <w:top w:w="28" w:type="dxa"/>
          <w:left w:w="28" w:type="dxa"/>
          <w:bottom w:w="28" w:type="dxa"/>
          <w:right w:w="28" w:type="dxa"/>
        </w:tblCellMar>
      </w:tblPr>
      <w:tblGrid>
        <w:gridCol w:w="4786"/>
        <w:gridCol w:w="146"/>
        <w:gridCol w:w="146"/>
        <w:gridCol w:w="1036"/>
        <w:gridCol w:w="146"/>
        <w:gridCol w:w="146"/>
        <w:gridCol w:w="146"/>
        <w:gridCol w:w="931"/>
        <w:gridCol w:w="391"/>
      </w:tblGrid>
      <w:tr>
        <w:trPr/>
        <w:tc>
          <w:tcPr>
            <w:tcW w:w="4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7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Warrants issued to 2010/2012 convertible note</w:t>
              <w:br/>
              <w:t>   holders to purchase common stock</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6,804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6,804</w:t>
            </w:r>
          </w:p>
        </w:tc>
        <w:tc>
          <w:tcPr>
            <w:tcW w:w="391" w:type="dxa"/>
            <w:tcBorders/>
            <w:shd w:fill="CFF0FC" w:val="clear"/>
            <w:vAlign w:val="center"/>
          </w:tcPr>
          <w:p>
            <w:pPr>
              <w:pStyle w:val="TableContents"/>
              <w:bidi w:val="0"/>
              <w:spacing w:before="0" w:after="283"/>
              <w:jc w:val="left"/>
              <w:rPr/>
            </w:pPr>
            <w:r>
              <w:rPr/>
              <w:t> </w:t>
            </w:r>
          </w:p>
        </w:tc>
      </w:tr>
      <w:tr>
        <w:trPr/>
        <w:tc>
          <w:tcPr>
            <w:tcW w:w="478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Warrants issued to underwriter to purchase common stock</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1,100</w:t>
            </w:r>
          </w:p>
        </w:tc>
        <w:tc>
          <w:tcPr>
            <w:tcW w:w="391" w:type="dxa"/>
            <w:tcBorders/>
            <w:shd w:fill="FFFFFF" w:val="clear"/>
            <w:vAlign w:val="center"/>
          </w:tcPr>
          <w:p>
            <w:pPr>
              <w:pStyle w:val="TableContents"/>
              <w:bidi w:val="0"/>
              <w:spacing w:before="0" w:after="283"/>
              <w:jc w:val="left"/>
              <w:rPr/>
            </w:pPr>
            <w:r>
              <w:rPr/>
              <w:t> </w:t>
            </w:r>
          </w:p>
        </w:tc>
      </w:tr>
      <w:tr>
        <w:trPr/>
        <w:tc>
          <w:tcPr>
            <w:tcW w:w="47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2018 PIPE warrants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34,241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34,241</w:t>
            </w:r>
          </w:p>
        </w:tc>
        <w:tc>
          <w:tcPr>
            <w:tcW w:w="391" w:type="dxa"/>
            <w:tcBorders/>
            <w:shd w:fill="CFF0FC" w:val="clear"/>
            <w:vAlign w:val="center"/>
          </w:tcPr>
          <w:p>
            <w:pPr>
              <w:pStyle w:val="TableContents"/>
              <w:bidi w:val="0"/>
              <w:spacing w:before="0" w:after="283"/>
              <w:jc w:val="left"/>
              <w:rPr/>
            </w:pPr>
            <w:r>
              <w:rPr/>
              <w:t> </w:t>
            </w:r>
          </w:p>
        </w:tc>
      </w:tr>
      <w:tr>
        <w:trPr/>
        <w:tc>
          <w:tcPr>
            <w:tcW w:w="478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March 2022 common warrants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2,130,656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4,000,000</w:t>
            </w:r>
          </w:p>
        </w:tc>
        <w:tc>
          <w:tcPr>
            <w:tcW w:w="391" w:type="dxa"/>
            <w:tcBorders/>
            <w:shd w:fill="FFFFFF" w:val="clear"/>
            <w:vAlign w:val="center"/>
          </w:tcPr>
          <w:p>
            <w:pPr>
              <w:pStyle w:val="TableContents"/>
              <w:bidi w:val="0"/>
              <w:spacing w:before="0" w:after="283"/>
              <w:jc w:val="left"/>
              <w:rPr/>
            </w:pPr>
            <w:r>
              <w:rPr/>
              <w:t> </w:t>
            </w:r>
          </w:p>
        </w:tc>
      </w:tr>
      <w:tr>
        <w:trPr/>
        <w:tc>
          <w:tcPr>
            <w:tcW w:w="47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May 2023 Tranche A warrants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2,867,908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jc w:val="left"/>
              <w:rPr/>
            </w:pPr>
            <w:r>
              <w:rPr/>
              <w:t> </w:t>
            </w:r>
          </w:p>
        </w:tc>
      </w:tr>
      <w:tr>
        <w:trPr/>
        <w:tc>
          <w:tcPr>
            <w:tcW w:w="478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May 2023 Tranche B warrants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14,000,000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jc w:val="left"/>
              <w:rPr/>
            </w:pPr>
            <w:r>
              <w:rPr/>
              <w:t> </w:t>
            </w:r>
          </w:p>
        </w:tc>
      </w:tr>
      <w:tr>
        <w:trPr/>
        <w:tc>
          <w:tcPr>
            <w:tcW w:w="47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Options to purchase common stock</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2,300,412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686,816</w:t>
            </w:r>
          </w:p>
        </w:tc>
        <w:tc>
          <w:tcPr>
            <w:tcW w:w="391" w:type="dxa"/>
            <w:tcBorders/>
            <w:shd w:fill="CFF0FC" w:val="clear"/>
            <w:vAlign w:val="center"/>
          </w:tcPr>
          <w:p>
            <w:pPr>
              <w:pStyle w:val="TableContents"/>
              <w:bidi w:val="0"/>
              <w:spacing w:before="0" w:after="283"/>
              <w:jc w:val="left"/>
              <w:rPr/>
            </w:pPr>
            <w:r>
              <w:rPr/>
              <w:t> </w:t>
            </w:r>
          </w:p>
        </w:tc>
      </w:tr>
      <w:tr>
        <w:trPr/>
        <w:tc>
          <w:tcPr>
            <w:tcW w:w="478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Outstanding restricted stock units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424,244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19,068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8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21,765,365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4,042,145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9. Subsequent Events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On September 26, 2023, the Company announced positive top-line data from the randomized withdrawal period of Study C602 which triggered the mandatory exercise of the May 2023 Tranche A warrants. As of September 30, 2023, the Company had received $15.0</w:t>
      </w:r>
      <w:r>
        <w:rPr>
          <w:rFonts w:ascii="Times New Roman" w:hAnsi="Times New Roman"/>
          <w:color w:val="000000"/>
          <w:sz w:val="20"/>
        </w:rPr>
        <w:t xml:space="preserve"> </w:t>
      </w:r>
      <w:r>
        <w:rPr>
          <w:rFonts w:ascii="Times New Roman" w:hAnsi="Times New Roman"/>
          <w:b w:val="false"/>
          <w:color w:val="000000"/>
          <w:sz w:val="20"/>
        </w:rPr>
        <w:t>million. In addition, certain investors exercised their December 2022 Tranche B warrants, and the Company received $17.5</w:t>
      </w:r>
      <w:r>
        <w:rPr>
          <w:rFonts w:ascii="Times New Roman" w:hAnsi="Times New Roman"/>
          <w:color w:val="000000"/>
          <w:sz w:val="20"/>
        </w:rPr>
        <w:t xml:space="preserve"> </w:t>
      </w:r>
      <w:r>
        <w:rPr>
          <w:rFonts w:ascii="Times New Roman" w:hAnsi="Times New Roman"/>
          <w:b w:val="false"/>
          <w:color w:val="000000"/>
          <w:sz w:val="20"/>
        </w:rPr>
        <w:t>million in October 2023.</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On October 2, 2023, the Company announced the closing of the underwritten public offering of 3,450,000</w:t>
      </w:r>
      <w:r>
        <w:rPr>
          <w:rFonts w:ascii="Times New Roman" w:hAnsi="Times New Roman"/>
          <w:color w:val="000000"/>
          <w:sz w:val="20"/>
        </w:rPr>
        <w:t xml:space="preserve"> </w:t>
      </w:r>
      <w:r>
        <w:rPr>
          <w:rFonts w:ascii="Times New Roman" w:hAnsi="Times New Roman"/>
          <w:b w:val="false"/>
          <w:color w:val="000000"/>
          <w:sz w:val="20"/>
        </w:rPr>
        <w:t>shares of its common stock at a public offering price of $20.00</w:t>
      </w:r>
      <w:r>
        <w:rPr>
          <w:rFonts w:ascii="Times New Roman" w:hAnsi="Times New Roman"/>
          <w:color w:val="000000"/>
          <w:sz w:val="20"/>
        </w:rPr>
        <w:t xml:space="preserve"> </w:t>
      </w:r>
      <w:r>
        <w:rPr>
          <w:rFonts w:ascii="Times New Roman" w:hAnsi="Times New Roman"/>
          <w:b w:val="false"/>
          <w:color w:val="000000"/>
          <w:sz w:val="20"/>
        </w:rPr>
        <w:t>per share, which included the exercise in full by the underwriters of their option to purchase additional shares. The gross proceeds of the public offering were $69.0</w:t>
      </w:r>
      <w:r>
        <w:rPr>
          <w:rFonts w:ascii="Times New Roman" w:hAnsi="Times New Roman"/>
          <w:color w:val="000000"/>
          <w:sz w:val="20"/>
        </w:rPr>
        <w:t xml:space="preserve"> </w:t>
      </w:r>
      <w:r>
        <w:rPr>
          <w:rFonts w:ascii="Times New Roman" w:hAnsi="Times New Roman"/>
          <w:b w:val="false"/>
          <w:color w:val="000000"/>
          <w:sz w:val="20"/>
        </w:rPr>
        <w:t>million, before deducting the underwriting discount and other estimated offering expenses. The Company also announced the closing of approximately $60.0</w:t>
      </w:r>
      <w:r>
        <w:rPr>
          <w:rFonts w:ascii="Times New Roman" w:hAnsi="Times New Roman"/>
          <w:color w:val="000000"/>
          <w:sz w:val="20"/>
        </w:rPr>
        <w:t xml:space="preserve"> </w:t>
      </w:r>
      <w:r>
        <w:rPr>
          <w:rFonts w:ascii="Times New Roman" w:hAnsi="Times New Roman"/>
          <w:b w:val="false"/>
          <w:color w:val="000000"/>
          <w:sz w:val="20"/>
        </w:rPr>
        <w:t>million of shares of its common stock and pre-funded warrants in a concurrent private offering pursuant to the securities purchase agreement with certain investors, including entities affiliated with existing stockholders, at a price per share of common stock equal to the public offering price of $20.00</w:t>
      </w:r>
      <w:r>
        <w:rPr>
          <w:rFonts w:ascii="Times New Roman" w:hAnsi="Times New Roman"/>
          <w:color w:val="000000"/>
          <w:sz w:val="20"/>
        </w:rPr>
        <w:t xml:space="preserve"> </w:t>
      </w:r>
      <w:r>
        <w:rPr>
          <w:rFonts w:ascii="Times New Roman" w:hAnsi="Times New Roman"/>
          <w:b w:val="false"/>
          <w:color w:val="000000"/>
          <w:sz w:val="20"/>
        </w:rPr>
        <w:t>and a price per pre-funded warrant of $19.99. Of these proceeds, the Company had received $16.0</w:t>
      </w:r>
      <w:r>
        <w:rPr>
          <w:rFonts w:ascii="Times New Roman" w:hAnsi="Times New Roman"/>
          <w:color w:val="000000"/>
          <w:sz w:val="20"/>
        </w:rPr>
        <w:t xml:space="preserve"> </w:t>
      </w:r>
      <w:r>
        <w:rPr>
          <w:rFonts w:ascii="Times New Roman" w:hAnsi="Times New Roman"/>
          <w:b w:val="false"/>
          <w:color w:val="000000"/>
          <w:sz w:val="20"/>
        </w:rPr>
        <w:t>million prior to the end of the quarter and included these amounts in cash and cash equivalents and current liabilities as of September 30, 2023. The remaining gross proceeds of $113.0</w:t>
      </w:r>
      <w:r>
        <w:rPr>
          <w:rFonts w:ascii="Times New Roman" w:hAnsi="Times New Roman"/>
          <w:color w:val="000000"/>
          <w:sz w:val="20"/>
        </w:rPr>
        <w:t xml:space="preserve"> </w:t>
      </w:r>
      <w:r>
        <w:rPr>
          <w:rFonts w:ascii="Times New Roman" w:hAnsi="Times New Roman"/>
          <w:b w:val="false"/>
          <w:color w:val="000000"/>
          <w:sz w:val="20"/>
        </w:rPr>
        <w:t>million were received in October 2023.</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following table summarizes the Company's outstanding common stock and common stock warrants as of October 31, 2023:</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4130"/>
        <w:gridCol w:w="146"/>
        <w:gridCol w:w="254"/>
        <w:gridCol w:w="1805"/>
        <w:gridCol w:w="146"/>
        <w:gridCol w:w="146"/>
        <w:gridCol w:w="757"/>
        <w:gridCol w:w="2427"/>
        <w:gridCol w:w="394"/>
      </w:tblGrid>
      <w:tr>
        <w:trPr/>
        <w:tc>
          <w:tcPr>
            <w:tcW w:w="41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2427"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413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5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October 31, 2023</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3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Common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Exercise Price per Shares</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3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Common stock outstanding</w:t>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180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30,499,352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5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42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394" w:type="dxa"/>
            <w:tcBorders/>
            <w:shd w:fill="CFF0FC"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Common stock warrants</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80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42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388.94</w:t>
            </w:r>
          </w:p>
        </w:tc>
        <w:tc>
          <w:tcPr>
            <w:tcW w:w="394" w:type="dxa"/>
            <w:tcBorders/>
            <w:shd w:fill="FFFFFF" w:val="clear"/>
            <w:vAlign w:val="center"/>
          </w:tcPr>
          <w:p>
            <w:pPr>
              <w:pStyle w:val="TableContents"/>
              <w:bidi w:val="0"/>
              <w:spacing w:before="0" w:after="283"/>
              <w:jc w:val="left"/>
              <w:rPr/>
            </w:pPr>
            <w:r>
              <w:rPr/>
              <w:t> </w:t>
            </w:r>
          </w:p>
        </w:tc>
      </w:tr>
      <w:tr>
        <w:trPr/>
        <w:tc>
          <w:tcPr>
            <w:tcW w:w="413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2018 PIPE warrants</w:t>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180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34,241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5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42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30.00</w:t>
            </w:r>
          </w:p>
        </w:tc>
        <w:tc>
          <w:tcPr>
            <w:tcW w:w="394" w:type="dxa"/>
            <w:tcBorders/>
            <w:shd w:fill="CFF0FC"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March 2022 common warrants</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80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2,122,924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42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4.50</w:t>
            </w:r>
          </w:p>
        </w:tc>
        <w:tc>
          <w:tcPr>
            <w:tcW w:w="394" w:type="dxa"/>
            <w:tcBorders/>
            <w:shd w:fill="FFFFFF" w:val="clear"/>
            <w:vAlign w:val="center"/>
          </w:tcPr>
          <w:p>
            <w:pPr>
              <w:pStyle w:val="TableContents"/>
              <w:bidi w:val="0"/>
              <w:spacing w:before="0" w:after="283"/>
              <w:jc w:val="left"/>
              <w:rPr/>
            </w:pPr>
            <w:r>
              <w:rPr/>
              <w:t> </w:t>
            </w:r>
          </w:p>
        </w:tc>
      </w:tr>
      <w:tr>
        <w:trPr/>
        <w:tc>
          <w:tcPr>
            <w:tcW w:w="413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March 2022 Pre-funded warrants</w:t>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180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5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42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0.15</w:t>
            </w:r>
          </w:p>
        </w:tc>
        <w:tc>
          <w:tcPr>
            <w:tcW w:w="394" w:type="dxa"/>
            <w:tcBorders/>
            <w:shd w:fill="CFF0FC"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May 2023 Tranche A warrants</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80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42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1.75</w:t>
            </w:r>
          </w:p>
        </w:tc>
        <w:tc>
          <w:tcPr>
            <w:tcW w:w="394" w:type="dxa"/>
            <w:tcBorders/>
            <w:shd w:fill="FFFFFF" w:val="clear"/>
            <w:vAlign w:val="center"/>
          </w:tcPr>
          <w:p>
            <w:pPr>
              <w:pStyle w:val="TableContents"/>
              <w:bidi w:val="0"/>
              <w:spacing w:before="0" w:after="283"/>
              <w:jc w:val="left"/>
              <w:rPr/>
            </w:pPr>
            <w:r>
              <w:rPr/>
              <w:t> </w:t>
            </w:r>
          </w:p>
        </w:tc>
      </w:tr>
      <w:tr>
        <w:trPr/>
        <w:tc>
          <w:tcPr>
            <w:tcW w:w="413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May 2023 Tranche A Pre-funded exchange warrants</w:t>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180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3,058,837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5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42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0.01</w:t>
            </w:r>
          </w:p>
        </w:tc>
        <w:tc>
          <w:tcPr>
            <w:tcW w:w="394" w:type="dxa"/>
            <w:tcBorders/>
            <w:shd w:fill="CFF0FC"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May 2023 Tranche B warrants</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80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7,000,000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42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2.50</w:t>
            </w:r>
          </w:p>
        </w:tc>
        <w:tc>
          <w:tcPr>
            <w:tcW w:w="394" w:type="dxa"/>
            <w:tcBorders/>
            <w:shd w:fill="FFFFFF" w:val="clear"/>
            <w:vAlign w:val="center"/>
          </w:tcPr>
          <w:p>
            <w:pPr>
              <w:pStyle w:val="TableContents"/>
              <w:bidi w:val="0"/>
              <w:spacing w:before="0" w:after="283"/>
              <w:jc w:val="left"/>
              <w:rPr/>
            </w:pPr>
            <w:r>
              <w:rPr/>
              <w:t> </w:t>
            </w:r>
          </w:p>
        </w:tc>
      </w:tr>
      <w:tr>
        <w:trPr/>
        <w:tc>
          <w:tcPr>
            <w:tcW w:w="413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May 2023 Tranche B Pre-funded exchange warrants</w:t>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180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451,632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5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42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0.01</w:t>
            </w:r>
          </w:p>
        </w:tc>
        <w:tc>
          <w:tcPr>
            <w:tcW w:w="394" w:type="dxa"/>
            <w:tcBorders/>
            <w:shd w:fill="CFF0FC"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October 2023 Pre-funded warrants</w:t>
            </w:r>
          </w:p>
        </w:tc>
        <w:tc>
          <w:tcPr>
            <w:tcW w:w="146" w:type="dxa"/>
            <w:tcBorders/>
            <w:shd w:fill="FFFFFF" w:val="cle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1,125,019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42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0.01</w:t>
            </w:r>
          </w:p>
        </w:tc>
        <w:tc>
          <w:tcPr>
            <w:tcW w:w="394" w:type="dxa"/>
            <w:tcBorders/>
            <w:shd w:fill="FFFFFF" w:val="clear"/>
            <w:vAlign w:val="center"/>
          </w:tcPr>
          <w:p>
            <w:pPr>
              <w:pStyle w:val="TableContents"/>
              <w:bidi w:val="0"/>
              <w:spacing w:before="0" w:after="283"/>
              <w:ind w:left="0" w:right="0" w:firstLine="200"/>
              <w:jc w:val="left"/>
              <w:rPr/>
            </w:pPr>
            <w:r>
              <w:rPr/>
              <w:t> </w:t>
            </w:r>
          </w:p>
        </w:tc>
      </w:tr>
      <w:tr>
        <w:trPr/>
        <w:tc>
          <w:tcPr>
            <w:tcW w:w="4130"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44,299,909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84" w:type="dxa"/>
            <w:gridSpan w:val="2"/>
            <w:tcBorders/>
            <w:shd w:fill="CFF0FC" w:val="clear"/>
            <w:vAlign w:val="center"/>
          </w:tcPr>
          <w:p>
            <w:pPr>
              <w:pStyle w:val="TableContents"/>
              <w:bidi w:val="0"/>
              <w:spacing w:before="0" w:after="283"/>
              <w:jc w:val="right"/>
              <w:rPr/>
            </w:pPr>
            <w:r>
              <w:rPr/>
              <w:t> </w:t>
            </w:r>
          </w:p>
        </w:tc>
        <w:tc>
          <w:tcPr>
            <w:tcW w:w="394" w:type="dxa"/>
            <w:tcBorders/>
            <w:shd w:fill="CFF0FC" w:val="clear"/>
            <w:vAlign w:val="center"/>
          </w:tcPr>
          <w:p>
            <w:pPr>
              <w:pStyle w:val="TableContents"/>
              <w:bidi w:val="0"/>
              <w:spacing w:before="0" w:after="283"/>
              <w:jc w:val="right"/>
              <w:rPr/>
            </w:pPr>
            <w:r>
              <w:rPr/>
              <w:t> </w:t>
            </w:r>
          </w:p>
        </w:tc>
      </w:tr>
      <w:tr>
        <w:trPr/>
        <w:tc>
          <w:tcPr>
            <w:tcW w:w="413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9"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84" w:type="dxa"/>
            <w:gridSpan w:val="2"/>
            <w:tcBorders/>
            <w:shd w:fill="FFFFFF" w:val="clear"/>
            <w:vAlign w:val="center"/>
          </w:tcPr>
          <w:p>
            <w:pPr>
              <w:pStyle w:val="TableContents"/>
              <w:bidi w:val="0"/>
              <w:spacing w:before="0" w:after="283"/>
              <w:jc w:val="left"/>
              <w:rPr/>
            </w:pPr>
            <w:r>
              <w:rPr/>
              <w:t> </w:t>
            </w:r>
          </w:p>
        </w:tc>
        <w:tc>
          <w:tcPr>
            <w:tcW w:w="394"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0" w:name="item_2_managements_discussion_analysis_f"/>
      <w:bookmarkEnd w:id="10"/>
      <w:r>
        <w:rPr>
          <w:rFonts w:ascii="Times New Roman" w:hAnsi="Times New Roman"/>
          <w:b/>
          <w:color w:val="000000"/>
          <w:sz w:val="20"/>
        </w:rPr>
        <w:t>Item 2. Management’s Discussion and Analysis of Financial Condition and Results of Operation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The interim consolidated financial statements included in this Quarterly Report on Form 10-Q and this Management’s Discussion and Analysis of Financial Condition and Results of Operations should be read in conjunction with the financial statements and notes thereto for the year ended December 31, 2022, and the related Management’s Discussion and Analysis of Financial Condition and Results of Operations, contained in the Company’s Form 10-K for the year ended December 31, 2022. In addition to historical information, this discussion and analysis contains forward-looking statements within the meaning of Section 27A of the Securities Act of 1933, as amended (the Securities Act), and Section 21E of the Securities Exchange Act of 1934, as amended (the Exchange Act). These forward-looking statements are subject to risks and uncertainties, including those set forth in Part II – Other Information, Item 1A. Risk Factors below and elsewhere in this report that could cause actual results to differ materially from historical results or anticipated results.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Business Overview</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We are focused on the development and commercialization of novel therapeutics for the treatment of rare diseases. Our lead candidate is DCCR (Diazoxide Choline) Extended-Release tablets, a once-daily oral tablet for the treatment of Prader-Willi syndrome (PWS). DCCR has orphan designation for the treatment of PWS in the United States (U.S.) as well as in the European Union (E.U.). DCCR has been evaluated in a Phase 3 study (C601 or DESTINY PWS), a 3-month randomized, double-blind placebo-controlled study, which completed enrollment in January 2020, with 127 patients at 29 sites in the U.S. and U.K. Patients who completed treatment in DESTINY PWS were eligible to receive DCCR in C602, an open-label extension study. Top line results from DESTINY PWS were announced in June 2020. Although the trial did not meet its primary endpoint of change from baseline in hyperphagia, significant improvements were observed in two of three key secondary endpoints.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 May 2023, we announced the completion of enrollment in the randomized withdrawal (RW) period of Study C602, a multi-center, randomized, double-blind, placebo-controlled study of DCCR in approximately 80 patients with PWS at 17 sites in the U.S. and 5 sites in the U.K. This RW period consisted only of patients previously enrolled in Study C602 and did not enroll any new patients. The FDA has acknowledged that data from the study has the potential to support an NDA submission for DCCR. On September 26, 2023, we announced positive statistically significant top-line results from the RW period of Study C602.</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On October 2, 2023, we closed a public and concurrent private financing with gross proceeds of $129.0 million. $16.0 million was received prior to September 30, 2023, and was included in cash and cash equivalents and current liabilities as of the quarter end. The remaining gross proceeds of $113.0 million were received in October 2023. Previously, in December 2022, we entered into a Securities Purchase Agreement providing for the sale of up to $60.0 million in warrants (Tranche A and Tranche B) and the common stock issuable upon the exercise thereof. We completed the closing of the sale and issued both tranches of warrants for $10.0 million in May 2023. The announcement of positive top-line data from the randomized withdrawal period of Study C602 triggered the mandatory exercise of the Tranche A warrants and as of September 30, 2023 we had received $15.0 million. In October 2023, certain investors exercised their Tranche B warrants and we received $17.5 million. The exercise of remaining Tranche B warrants for up to $17.5 million is contingent upon our future performance. We also received $8.4 million in gross proceeds from the exercise of certain March 2022 warrants during the three months ended September 30, 2023.</w:t>
      </w:r>
    </w:p>
    <w:p>
      <w:pPr>
        <w:pStyle w:val="TextBody"/>
        <w:bidi w:val="0"/>
        <w:spacing w:before="360" w:after="283"/>
        <w:jc w:val="left"/>
        <w:rPr>
          <w:rFonts w:ascii="Times New Roman" w:hAnsi="Times New Roman"/>
          <w:sz w:val="20"/>
        </w:rPr>
      </w:pPr>
      <w:r>
        <w:rPr>
          <w:rFonts w:ascii="Times New Roman" w:hAnsi="Times New Roman"/>
          <w:b/>
          <w:color w:val="000000"/>
          <w:sz w:val="20"/>
        </w:rPr>
        <w:t>Critical Accounting Policies and Significant Judgments and Estimates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Our management’s discussion and analysis of financial condition and results of operations are based upon our unaudited condensed consolidated financial statements, which have been prepared in accordance with GAAP. The preparation of these consolidated financial statements requires us to make estimates and judgments that affect the reported amounts of assets, liabilities, revenues and expenses. On an on-going basis, we evaluate our critical accounting policies and estimates. We base our estimates on historical experience and on various other assumptions that we believe to be reasonable in the circumstances, the results of which form the basis for making judgments about the carrying values of assets and liabilities that are not readily apparent from other sources. Actual results may differ from these estimates under different assumptions and conditions. Our significant accounting policies are more fully described in Note 3 of our most recent Form 10-K.</w:t>
      </w:r>
      <w:r>
        <w:rPr>
          <w:rFonts w:ascii="Times New Roman" w:hAnsi="Times New Roman"/>
          <w:color w:val="000000"/>
          <w:sz w:val="20"/>
        </w:rPr>
        <w:t xml:space="preserve">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Comparison of the three months ended September 30, 2023 and 2022</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880"/>
        <w:gridCol w:w="146"/>
        <w:gridCol w:w="211"/>
        <w:gridCol w:w="736"/>
        <w:gridCol w:w="546"/>
        <w:gridCol w:w="546"/>
        <w:gridCol w:w="211"/>
        <w:gridCol w:w="631"/>
        <w:gridCol w:w="166"/>
        <w:gridCol w:w="146"/>
        <w:gridCol w:w="211"/>
        <w:gridCol w:w="631"/>
        <w:gridCol w:w="166"/>
        <w:gridCol w:w="146"/>
        <w:gridCol w:w="172"/>
        <w:gridCol w:w="744"/>
        <w:gridCol w:w="916"/>
      </w:tblGrid>
      <w:tr>
        <w:trPr/>
        <w:tc>
          <w:tcPr>
            <w:tcW w:w="38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388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 (decrease)</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81" w:type="dxa"/>
            <w:gridSpan w:val="6"/>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(in thousands)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center"/>
              <w:rPr/>
            </w:pPr>
            <w:r>
              <w:rPr/>
              <w:t> </w:t>
            </w:r>
          </w:p>
        </w:tc>
        <w:tc>
          <w:tcPr>
            <w:tcW w:w="916" w:type="dxa"/>
            <w:tcBorders/>
            <w:shd w:fill="FFFFFF" w:val="clear"/>
            <w:vAlign w:val="center"/>
          </w:tcPr>
          <w:p>
            <w:pPr>
              <w:pStyle w:val="TableContents"/>
              <w:bidi w:val="0"/>
              <w:spacing w:before="0" w:after="283"/>
              <w:jc w:val="center"/>
              <w:rPr/>
            </w:pPr>
            <w:r>
              <w:rPr/>
              <w:t> </w:t>
            </w:r>
          </w:p>
        </w:tc>
      </w:tr>
      <w:tr>
        <w:trPr/>
        <w:tc>
          <w:tcPr>
            <w:tcW w:w="388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546" w:type="dxa"/>
            <w:tcBorders/>
            <w:shd w:fill="CFF0FC" w:val="clear"/>
            <w:vAlign w:val="center"/>
          </w:tcPr>
          <w:p>
            <w:pPr>
              <w:pStyle w:val="TableContents"/>
              <w:bidi w:val="0"/>
              <w:spacing w:before="0" w:after="283"/>
              <w:jc w:val="right"/>
              <w:rPr/>
            </w:pPr>
            <w:r>
              <w:rPr/>
              <w:t> </w:t>
            </w:r>
          </w:p>
        </w:tc>
        <w:tc>
          <w:tcPr>
            <w:tcW w:w="5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gridSpan w:val="2"/>
            <w:tcBorders/>
            <w:shd w:fill="CFF0FC" w:val="clear"/>
            <w:vAlign w:val="center"/>
          </w:tcPr>
          <w:p>
            <w:pPr>
              <w:pStyle w:val="TableContents"/>
              <w:bidi w:val="0"/>
              <w:spacing w:before="0" w:after="283"/>
              <w:jc w:val="right"/>
              <w:rPr/>
            </w:pPr>
            <w:r>
              <w:rPr/>
              <w:t> </w:t>
            </w:r>
          </w:p>
        </w:tc>
        <w:tc>
          <w:tcPr>
            <w:tcW w:w="916" w:type="dxa"/>
            <w:tcBorders/>
            <w:shd w:fill="CFF0FC" w:val="clear"/>
            <w:vAlign w:val="center"/>
          </w:tcPr>
          <w:p>
            <w:pPr>
              <w:pStyle w:val="TableContents"/>
              <w:bidi w:val="0"/>
              <w:spacing w:before="0" w:after="283"/>
              <w:ind w:left="0" w:right="0" w:firstLine="200"/>
              <w:jc w:val="right"/>
              <w:rPr/>
            </w:pPr>
            <w:r>
              <w:rPr/>
              <w:t> </w:t>
            </w:r>
          </w:p>
        </w:tc>
      </w:tr>
      <w:tr>
        <w:trPr/>
        <w:tc>
          <w:tcPr>
            <w:tcW w:w="3880"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6,043</w:t>
            </w:r>
          </w:p>
        </w:tc>
        <w:tc>
          <w:tcPr>
            <w:tcW w:w="546" w:type="dxa"/>
            <w:tcBorders/>
            <w:shd w:fill="FFFFFF" w:val="clear"/>
            <w:vAlign w:val="center"/>
          </w:tcPr>
          <w:p>
            <w:pPr>
              <w:pStyle w:val="TableContents"/>
              <w:bidi w:val="0"/>
              <w:spacing w:before="0" w:after="283"/>
              <w:jc w:val="left"/>
              <w:rPr/>
            </w:pPr>
            <w:r>
              <w:rPr/>
              <w:t> </w:t>
            </w:r>
          </w:p>
        </w:tc>
        <w:tc>
          <w:tcPr>
            <w:tcW w:w="5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3,771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2,272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74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w:t>
            </w:r>
          </w:p>
        </w:tc>
        <w:tc>
          <w:tcPr>
            <w:tcW w:w="916"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3880"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3,318</w:t>
            </w:r>
          </w:p>
        </w:tc>
        <w:tc>
          <w:tcPr>
            <w:tcW w:w="546" w:type="dxa"/>
            <w:tcBorders/>
            <w:shd w:fill="CFF0FC" w:val="clear"/>
            <w:vAlign w:val="center"/>
          </w:tcPr>
          <w:p>
            <w:pPr>
              <w:pStyle w:val="TableContents"/>
              <w:bidi w:val="0"/>
              <w:spacing w:before="0" w:after="283"/>
              <w:jc w:val="left"/>
              <w:rPr/>
            </w:pPr>
            <w:r>
              <w:rPr/>
              <w:t> </w:t>
            </w:r>
          </w:p>
        </w:tc>
        <w:tc>
          <w:tcPr>
            <w:tcW w:w="5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2,332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986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2" w:type="dxa"/>
            <w:tcBorders/>
            <w:shd w:fill="CFF0FC" w:val="clear"/>
            <w:vAlign w:val="center"/>
          </w:tcPr>
          <w:p>
            <w:pPr>
              <w:pStyle w:val="TableContents"/>
              <w:bidi w:val="0"/>
              <w:spacing w:before="0" w:after="283"/>
              <w:jc w:val="left"/>
              <w:rPr/>
            </w:pPr>
            <w:r>
              <w:rPr/>
              <w:t> </w:t>
            </w:r>
          </w:p>
        </w:tc>
        <w:tc>
          <w:tcPr>
            <w:tcW w:w="74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w:t>
            </w:r>
          </w:p>
        </w:tc>
        <w:tc>
          <w:tcPr>
            <w:tcW w:w="916"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3880"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Change in fair value of contingent consideration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1,021</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vAlign w:val="center"/>
          </w:tcPr>
          <w:p>
            <w:pPr>
              <w:pStyle w:val="TableContents"/>
              <w:bidi w:val="0"/>
              <w:spacing w:before="0" w:after="283"/>
              <w:ind w:left="40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673</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b w:val="false"/>
                <w:color w:val="000000"/>
                <w:sz w:val="20"/>
              </w:rPr>
            </w:pPr>
            <w:r>
              <w:rPr>
                <w:rFonts w:ascii="Times New Roman" w:hAnsi="Times New Roman"/>
                <w:b w:val="false"/>
                <w:color w:val="000000"/>
                <w:sz w:val="20"/>
              </w:rPr>
              <w:t>%</w:t>
            </w:r>
          </w:p>
        </w:tc>
      </w:tr>
      <w:tr>
        <w:trPr/>
        <w:tc>
          <w:tcPr>
            <w:tcW w:w="3880" w:type="dxa"/>
            <w:tcBorders/>
            <w:shd w:fill="CFF0FC" w:val="clear"/>
            <w:vAlign w:val="center"/>
          </w:tcPr>
          <w:p>
            <w:pPr>
              <w:pStyle w:val="TableContents"/>
              <w:bidi w:val="0"/>
              <w:spacing w:before="0" w:after="283"/>
              <w:ind w:left="600" w:right="0" w:firstLine="600"/>
              <w:jc w:val="left"/>
              <w:rPr>
                <w:rFonts w:ascii="Times New Roman" w:hAnsi="Times New Roman"/>
                <w:b w:val="false"/>
                <w:color w:val="000000"/>
                <w:sz w:val="20"/>
              </w:rPr>
            </w:pPr>
            <w:r>
              <w:rPr>
                <w:rFonts w:ascii="Times New Roman" w:hAnsi="Times New Roman"/>
                <w:b w:val="false"/>
                <w:color w:val="000000"/>
                <w:sz w:val="20"/>
              </w:rPr>
              <w:t>Total operating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10,382</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88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(10,382</w:t>
            </w:r>
          </w:p>
        </w:tc>
        <w:tc>
          <w:tcPr>
            <w:tcW w:w="5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(6,235</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(4,147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74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w:t>
            </w:r>
          </w:p>
        </w:tc>
        <w:tc>
          <w:tcPr>
            <w:tcW w:w="9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88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income (expense), net</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546" w:type="dxa"/>
            <w:tcBorders/>
            <w:shd w:fill="CFF0FC" w:val="clear"/>
            <w:vAlign w:val="center"/>
          </w:tcPr>
          <w:p>
            <w:pPr>
              <w:pStyle w:val="TableContents"/>
              <w:bidi w:val="0"/>
              <w:spacing w:before="0" w:after="283"/>
              <w:jc w:val="right"/>
              <w:rPr/>
            </w:pPr>
            <w:r>
              <w:rPr/>
              <w:t> </w:t>
            </w:r>
          </w:p>
        </w:tc>
        <w:tc>
          <w:tcPr>
            <w:tcW w:w="5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gridSpan w:val="2"/>
            <w:tcBorders/>
            <w:shd w:fill="CFF0FC" w:val="clear"/>
            <w:vAlign w:val="center"/>
          </w:tcPr>
          <w:p>
            <w:pPr>
              <w:pStyle w:val="TableContents"/>
              <w:bidi w:val="0"/>
              <w:spacing w:before="0" w:after="283"/>
              <w:jc w:val="right"/>
              <w:rPr/>
            </w:pPr>
            <w:r>
              <w:rPr/>
              <w:t> </w:t>
            </w:r>
          </w:p>
        </w:tc>
        <w:tc>
          <w:tcPr>
            <w:tcW w:w="916" w:type="dxa"/>
            <w:tcBorders/>
            <w:shd w:fill="CFF0FC" w:val="clear"/>
            <w:vAlign w:val="center"/>
          </w:tcPr>
          <w:p>
            <w:pPr>
              <w:pStyle w:val="TableContents"/>
              <w:bidi w:val="0"/>
              <w:spacing w:before="0" w:after="283"/>
              <w:ind w:left="0" w:right="0" w:firstLine="200"/>
              <w:jc w:val="right"/>
              <w:rPr/>
            </w:pPr>
            <w:r>
              <w:rPr/>
              <w:t> </w:t>
            </w:r>
          </w:p>
        </w:tc>
      </w:tr>
      <w:tr>
        <w:trPr/>
        <w:tc>
          <w:tcPr>
            <w:tcW w:w="3880"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Change in fair value of warrants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(653</w:t>
            </w:r>
          </w:p>
        </w:tc>
        <w:tc>
          <w:tcPr>
            <w:tcW w:w="5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(655</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74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32750</w:t>
            </w:r>
          </w:p>
        </w:tc>
        <w:tc>
          <w:tcPr>
            <w:tcW w:w="916"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3880"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Interest income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174</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b w:val="false"/>
                <w:color w:val="000000"/>
                <w:sz w:val="20"/>
              </w:rPr>
            </w:pPr>
            <w:r>
              <w:rPr>
                <w:rFonts w:ascii="Times New Roman" w:hAnsi="Times New Roman"/>
                <w:b w:val="false"/>
                <w:color w:val="000000"/>
                <w:sz w:val="20"/>
              </w:rPr>
              <w:t>%</w:t>
            </w:r>
          </w:p>
        </w:tc>
      </w:tr>
      <w:tr>
        <w:trPr/>
        <w:tc>
          <w:tcPr>
            <w:tcW w:w="3880" w:type="dxa"/>
            <w:tcBorders/>
            <w:shd w:fill="FFFFFF" w:val="clear"/>
            <w:vAlign w:val="center"/>
          </w:tcPr>
          <w:p>
            <w:pPr>
              <w:pStyle w:val="TableContents"/>
              <w:bidi w:val="0"/>
              <w:spacing w:before="0" w:after="283"/>
              <w:ind w:left="600" w:right="0" w:firstLine="600"/>
              <w:jc w:val="left"/>
              <w:rPr>
                <w:rFonts w:ascii="Times New Roman" w:hAnsi="Times New Roman"/>
                <w:b w:val="false"/>
                <w:color w:val="000000"/>
                <w:sz w:val="20"/>
              </w:rPr>
            </w:pPr>
            <w:r>
              <w:rPr>
                <w:rFonts w:ascii="Times New Roman" w:hAnsi="Times New Roman"/>
                <w:b w:val="false"/>
                <w:color w:val="000000"/>
                <w:sz w:val="20"/>
              </w:rPr>
              <w:t>Total other income (expense),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(479</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565</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88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(10,861</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160" w:after="283"/>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To date, we have earned no revenue from the commercial development and sale of novel therapeutic products.</w:t>
      </w:r>
    </w:p>
    <w:p>
      <w:pPr>
        <w:pStyle w:val="TextBody"/>
        <w:bidi w:val="0"/>
        <w:spacing w:before="360" w:after="283"/>
        <w:jc w:val="left"/>
        <w:rPr>
          <w:rFonts w:ascii="Times New Roman" w:hAnsi="Times New Roman"/>
          <w:sz w:val="20"/>
        </w:rPr>
      </w:pPr>
      <w:r>
        <w:rPr>
          <w:rFonts w:ascii="Times New Roman" w:hAnsi="Times New Roman"/>
          <w:b/>
          <w:i/>
          <w:color w:val="000000"/>
          <w:sz w:val="20"/>
        </w:rPr>
        <w:t>Research and development expense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Research and development expense was $6.0 million for the three months ended September 30, 2023, an increase of $2.3 million from the three months ended September 30, 2022. The cadence of our research and development expenditures will fluctuate depending upon the state of our clinical programs and the timing of CMC and other projects necessary to support the submission of an NDA. Clinical trial costs increased $1.2 million with all patients enrolled into the RW period for Study C602, and as patients complete the RW period, increased costs supporting them in an open label extension, Study C614. CMC costs increased $0.6 million as certain manufacturer processes were initiated, and headcount costs increased as we hired additional employees in support of our research and development activities going forward.</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General and administrative expense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General and administrative expense was $3.3 million for the three months ended September 30, 2023, an increase of $1.0 million from the three months ended September 30, 2022. The increase was mainly attributable to an increase in stock-based compensation and professional services expenses.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Change in fair value of contingent consideration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are obligated to make cash payments up to a maximum of $21.2 million to the former Essentialis stockholders upon the achievement of certain future commercial milestones associated with the sales of DCCR in accordance with the terms of our merger agreement with Essentialis. The fair value of the liability for the contingent consideration payable by us achieving two commercial sales milestones of $100 million and $200 million in cumulative revenue in future years was estimated to be $10.5 million as of September 30, 2023, a $1.1 million increase from the estimate as of June 30, 2023. During the three months ended September 30, 2022, the estimate increased by $0.1 million from the $9.3 million estimate as of June 30, 2022.</w:t>
      </w:r>
      <w:r>
        <w:rPr>
          <w:rFonts w:ascii="Times New Roman" w:hAnsi="Times New Roman"/>
          <w:color w:val="000000"/>
          <w:sz w:val="20"/>
        </w:rPr>
        <w:t xml:space="preserv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Other income (expense), net</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had other expense, net of approximately $479,000 in the three months ended September 30, 2023, compared to other income of $103,000 during the three months ended September 30, 2022. The decrease was primarily due to the change in fair value of</w:t>
      </w:r>
      <w:r>
        <w:rPr>
          <w:rFonts w:ascii="Times New Roman" w:hAnsi="Times New Roman"/>
          <w:color w:val="000000"/>
          <w:sz w:val="20"/>
        </w:rPr>
        <w:t xml:space="preserve">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warrants liabilities, partially offset by an increase in interest income during the three months ended September 30, 2023 compared to the three months ended September 30, 2022.</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Comparison of the nine months ended September 30, 2023 and 2022</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219"/>
        <w:gridCol w:w="146"/>
        <w:gridCol w:w="242"/>
        <w:gridCol w:w="849"/>
        <w:gridCol w:w="190"/>
        <w:gridCol w:w="167"/>
        <w:gridCol w:w="242"/>
        <w:gridCol w:w="849"/>
        <w:gridCol w:w="166"/>
        <w:gridCol w:w="146"/>
        <w:gridCol w:w="211"/>
        <w:gridCol w:w="631"/>
        <w:gridCol w:w="166"/>
        <w:gridCol w:w="146"/>
        <w:gridCol w:w="199"/>
        <w:gridCol w:w="717"/>
        <w:gridCol w:w="919"/>
      </w:tblGrid>
      <w:tr>
        <w:trPr/>
        <w:tc>
          <w:tcPr>
            <w:tcW w:w="42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r>
      <w:tr>
        <w:trPr/>
        <w:tc>
          <w:tcPr>
            <w:tcW w:w="421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3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 (decrease)</w:t>
            </w:r>
          </w:p>
        </w:tc>
        <w:tc>
          <w:tcPr>
            <w:tcW w:w="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shd w:fill="FFFFFF" w:val="clear"/>
            <w:vAlign w:val="center"/>
          </w:tcPr>
          <w:p>
            <w:pPr>
              <w:pStyle w:val="TableContents"/>
              <w:bidi w:val="0"/>
              <w:spacing w:before="0" w:after="283"/>
              <w:jc w:val="left"/>
              <w:rPr/>
            </w:pPr>
            <w:r>
              <w:rPr/>
              <w:t> </w:t>
            </w:r>
          </w:p>
        </w:tc>
        <w:tc>
          <w:tcPr>
            <w:tcW w:w="10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c>
          <w:tcPr>
            <w:tcW w:w="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39" w:type="dxa"/>
            <w:gridSpan w:val="6"/>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(in thousands)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center"/>
              <w:rPr/>
            </w:pPr>
            <w:r>
              <w:rPr/>
              <w:t> </w:t>
            </w:r>
          </w:p>
        </w:tc>
        <w:tc>
          <w:tcPr>
            <w:tcW w:w="919" w:type="dxa"/>
            <w:tcBorders/>
            <w:shd w:fill="FFFFFF" w:val="clear"/>
            <w:vAlign w:val="center"/>
          </w:tcPr>
          <w:p>
            <w:pPr>
              <w:pStyle w:val="TableContents"/>
              <w:bidi w:val="0"/>
              <w:spacing w:before="0" w:after="283"/>
              <w:jc w:val="center"/>
              <w:rPr/>
            </w:pPr>
            <w:r>
              <w:rPr/>
              <w:t> </w:t>
            </w:r>
          </w:p>
        </w:tc>
      </w:tr>
      <w:tr>
        <w:trPr/>
        <w:tc>
          <w:tcPr>
            <w:tcW w:w="421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1091" w:type="dxa"/>
            <w:gridSpan w:val="2"/>
            <w:tcBorders/>
            <w:shd w:fill="CFF0FC" w:val="clear"/>
            <w:vAlign w:val="center"/>
          </w:tcPr>
          <w:p>
            <w:pPr>
              <w:pStyle w:val="TableContents"/>
              <w:bidi w:val="0"/>
              <w:spacing w:before="0" w:after="283"/>
              <w:jc w:val="right"/>
              <w:rPr/>
            </w:pPr>
            <w:r>
              <w:rPr/>
              <w:t> </w:t>
            </w:r>
          </w:p>
        </w:tc>
        <w:tc>
          <w:tcPr>
            <w:tcW w:w="190" w:type="dxa"/>
            <w:tcBorders/>
            <w:shd w:fill="CFF0FC" w:val="clear"/>
            <w:vAlign w:val="center"/>
          </w:tcPr>
          <w:p>
            <w:pPr>
              <w:pStyle w:val="TableContents"/>
              <w:bidi w:val="0"/>
              <w:spacing w:before="0" w:after="283"/>
              <w:jc w:val="right"/>
              <w:rPr/>
            </w:pPr>
            <w:r>
              <w:rPr/>
              <w:t> </w:t>
            </w:r>
          </w:p>
        </w:tc>
        <w:tc>
          <w:tcPr>
            <w:tcW w:w="167" w:type="dxa"/>
            <w:tcBorders/>
            <w:shd w:fill="CFF0FC" w:val="clear"/>
            <w:vAlign w:val="center"/>
          </w:tcPr>
          <w:p>
            <w:pPr>
              <w:pStyle w:val="TableContents"/>
              <w:bidi w:val="0"/>
              <w:spacing w:before="0" w:after="283"/>
              <w:jc w:val="left"/>
              <w:rPr/>
            </w:pPr>
            <w:r>
              <w:rPr/>
              <w:t> </w:t>
            </w:r>
          </w:p>
        </w:tc>
        <w:tc>
          <w:tcPr>
            <w:tcW w:w="109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gridSpan w:val="2"/>
            <w:tcBorders/>
            <w:shd w:fill="CFF0FC" w:val="clear"/>
            <w:vAlign w:val="center"/>
          </w:tcPr>
          <w:p>
            <w:pPr>
              <w:pStyle w:val="TableContents"/>
              <w:bidi w:val="0"/>
              <w:spacing w:before="0" w:after="283"/>
              <w:jc w:val="right"/>
              <w:rPr/>
            </w:pPr>
            <w:r>
              <w:rPr/>
              <w:t> </w:t>
            </w:r>
          </w:p>
        </w:tc>
        <w:tc>
          <w:tcPr>
            <w:tcW w:w="919" w:type="dxa"/>
            <w:tcBorders/>
            <w:shd w:fill="CFF0FC" w:val="clear"/>
            <w:vAlign w:val="center"/>
          </w:tcPr>
          <w:p>
            <w:pPr>
              <w:pStyle w:val="TableContents"/>
              <w:bidi w:val="0"/>
              <w:spacing w:before="0" w:after="283"/>
              <w:ind w:left="0" w:right="0" w:firstLine="200"/>
              <w:jc w:val="right"/>
              <w:rPr/>
            </w:pPr>
            <w:r>
              <w:rPr/>
              <w:t> </w:t>
            </w:r>
          </w:p>
        </w:tc>
      </w:tr>
      <w:tr>
        <w:trPr/>
        <w:tc>
          <w:tcPr>
            <w:tcW w:w="4219"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16,500</w:t>
            </w:r>
          </w:p>
        </w:tc>
        <w:tc>
          <w:tcPr>
            <w:tcW w:w="19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11,455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5,045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w:t>
            </w:r>
          </w:p>
        </w:tc>
        <w:tc>
          <w:tcPr>
            <w:tcW w:w="919"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4219"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84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9,341</w:t>
            </w:r>
          </w:p>
        </w:tc>
        <w:tc>
          <w:tcPr>
            <w:tcW w:w="190" w:type="dxa"/>
            <w:tcBorders/>
            <w:shd w:fill="CFF0FC" w:val="cle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84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7,442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1,899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71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w:t>
            </w:r>
          </w:p>
        </w:tc>
        <w:tc>
          <w:tcPr>
            <w:tcW w:w="919"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4219"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Change in fair value of contingent consideration</w:t>
            </w:r>
          </w:p>
        </w:tc>
        <w:tc>
          <w:tcPr>
            <w:tcW w:w="146" w:type="dxa"/>
            <w:tcBorders/>
            <w:shd w:fill="FFFFFF" w:val="cle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1,633</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1585</w:t>
            </w:r>
          </w:p>
        </w:tc>
        <w:tc>
          <w:tcPr>
            <w:tcW w:w="91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b w:val="false"/>
                <w:color w:val="000000"/>
                <w:sz w:val="20"/>
              </w:rPr>
            </w:pPr>
            <w:r>
              <w:rPr>
                <w:rFonts w:ascii="Times New Roman" w:hAnsi="Times New Roman"/>
                <w:b w:val="false"/>
                <w:color w:val="000000"/>
                <w:sz w:val="20"/>
              </w:rPr>
              <w:t>%</w:t>
            </w:r>
          </w:p>
        </w:tc>
      </w:tr>
      <w:tr>
        <w:trPr/>
        <w:tc>
          <w:tcPr>
            <w:tcW w:w="4219" w:type="dxa"/>
            <w:tcBorders/>
            <w:shd w:fill="CFF0FC" w:val="clear"/>
            <w:vAlign w:val="center"/>
          </w:tcPr>
          <w:p>
            <w:pPr>
              <w:pStyle w:val="TableContents"/>
              <w:bidi w:val="0"/>
              <w:spacing w:before="0" w:after="283"/>
              <w:ind w:left="600" w:right="0" w:firstLine="600"/>
              <w:jc w:val="left"/>
              <w:rPr>
                <w:rFonts w:ascii="Times New Roman" w:hAnsi="Times New Roman"/>
                <w:b w:val="false"/>
                <w:color w:val="000000"/>
                <w:sz w:val="20"/>
              </w:rPr>
            </w:pPr>
            <w:r>
              <w:rPr>
                <w:rFonts w:ascii="Times New Roman" w:hAnsi="Times New Roman"/>
                <w:b w:val="false"/>
                <w:color w:val="000000"/>
                <w:sz w:val="20"/>
              </w:rPr>
              <w:t>Total operating expenses</w:t>
            </w:r>
          </w:p>
        </w:tc>
        <w:tc>
          <w:tcPr>
            <w:tcW w:w="146" w:type="dxa"/>
            <w:tcBorders/>
            <w:shd w:fill="CFF0FC" w:val="cle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27,474</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18,787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w:t>
            </w:r>
          </w:p>
        </w:tc>
        <w:tc>
          <w:tcPr>
            <w:tcW w:w="9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21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loss</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(27,474</w:t>
            </w:r>
          </w:p>
        </w:tc>
        <w:tc>
          <w:tcPr>
            <w:tcW w:w="19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7"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(18,787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(8,687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w:t>
            </w:r>
          </w:p>
        </w:tc>
        <w:tc>
          <w:tcPr>
            <w:tcW w:w="91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21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income (expense), net</w:t>
            </w:r>
          </w:p>
        </w:tc>
        <w:tc>
          <w:tcPr>
            <w:tcW w:w="146" w:type="dxa"/>
            <w:tcBorders/>
            <w:shd w:fill="CFF0FC" w:val="clear"/>
            <w:vAlign w:val="center"/>
          </w:tcPr>
          <w:p>
            <w:pPr>
              <w:pStyle w:val="TableContents"/>
              <w:bidi w:val="0"/>
              <w:spacing w:before="0" w:after="283"/>
              <w:jc w:val="left"/>
              <w:rPr/>
            </w:pPr>
            <w:r>
              <w:rPr/>
              <w:t> </w:t>
            </w:r>
          </w:p>
        </w:tc>
        <w:tc>
          <w:tcPr>
            <w:tcW w:w="1091" w:type="dxa"/>
            <w:gridSpan w:val="2"/>
            <w:tcBorders/>
            <w:shd w:fill="CFF0FC" w:val="clear"/>
            <w:vAlign w:val="center"/>
          </w:tcPr>
          <w:p>
            <w:pPr>
              <w:pStyle w:val="TableContents"/>
              <w:bidi w:val="0"/>
              <w:spacing w:before="0" w:after="283"/>
              <w:jc w:val="right"/>
              <w:rPr/>
            </w:pPr>
            <w:r>
              <w:rPr/>
              <w:t> </w:t>
            </w:r>
          </w:p>
        </w:tc>
        <w:tc>
          <w:tcPr>
            <w:tcW w:w="190" w:type="dxa"/>
            <w:tcBorders/>
            <w:shd w:fill="CFF0FC" w:val="clear"/>
            <w:vAlign w:val="center"/>
          </w:tcPr>
          <w:p>
            <w:pPr>
              <w:pStyle w:val="TableContents"/>
              <w:bidi w:val="0"/>
              <w:spacing w:before="0" w:after="283"/>
              <w:jc w:val="right"/>
              <w:rPr/>
            </w:pPr>
            <w:r>
              <w:rPr/>
              <w:t> </w:t>
            </w:r>
          </w:p>
        </w:tc>
        <w:tc>
          <w:tcPr>
            <w:tcW w:w="167" w:type="dxa"/>
            <w:tcBorders/>
            <w:shd w:fill="CFF0FC" w:val="clear"/>
            <w:vAlign w:val="center"/>
          </w:tcPr>
          <w:p>
            <w:pPr>
              <w:pStyle w:val="TableContents"/>
              <w:bidi w:val="0"/>
              <w:spacing w:before="0" w:after="283"/>
              <w:jc w:val="left"/>
              <w:rPr/>
            </w:pPr>
            <w:r>
              <w:rPr/>
              <w:t> </w:t>
            </w:r>
          </w:p>
        </w:tc>
        <w:tc>
          <w:tcPr>
            <w:tcW w:w="109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gridSpan w:val="2"/>
            <w:tcBorders/>
            <w:shd w:fill="CFF0FC" w:val="clear"/>
            <w:vAlign w:val="center"/>
          </w:tcPr>
          <w:p>
            <w:pPr>
              <w:pStyle w:val="TableContents"/>
              <w:bidi w:val="0"/>
              <w:spacing w:before="0" w:after="283"/>
              <w:jc w:val="right"/>
              <w:rPr/>
            </w:pPr>
            <w:r>
              <w:rPr/>
              <w:t> </w:t>
            </w:r>
          </w:p>
        </w:tc>
        <w:tc>
          <w:tcPr>
            <w:tcW w:w="919" w:type="dxa"/>
            <w:tcBorders/>
            <w:shd w:fill="CFF0FC" w:val="clear"/>
            <w:vAlign w:val="center"/>
          </w:tcPr>
          <w:p>
            <w:pPr>
              <w:pStyle w:val="TableContents"/>
              <w:bidi w:val="0"/>
              <w:spacing w:before="0" w:after="283"/>
              <w:ind w:left="0" w:right="0" w:firstLine="200"/>
              <w:jc w:val="right"/>
              <w:rPr/>
            </w:pPr>
            <w:r>
              <w:rPr/>
              <w:t> </w:t>
            </w:r>
          </w:p>
        </w:tc>
      </w:tr>
      <w:tr>
        <w:trPr/>
        <w:tc>
          <w:tcPr>
            <w:tcW w:w="4219"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Change in fair value of warrants liabilities</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(652</w:t>
            </w:r>
          </w:p>
        </w:tc>
        <w:tc>
          <w:tcPr>
            <w:tcW w:w="19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7"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(683</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2203</w:t>
            </w:r>
          </w:p>
        </w:tc>
        <w:tc>
          <w:tcPr>
            <w:tcW w:w="919"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4219"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Interest income</w:t>
            </w:r>
          </w:p>
        </w:tc>
        <w:tc>
          <w:tcPr>
            <w:tcW w:w="146" w:type="dxa"/>
            <w:tcBorders/>
            <w:shd w:fill="CFF0FC" w:val="cle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434</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148</w:t>
            </w:r>
          </w:p>
        </w:tc>
        <w:tc>
          <w:tcPr>
            <w:tcW w:w="91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b w:val="false"/>
                <w:color w:val="000000"/>
                <w:sz w:val="20"/>
              </w:rPr>
            </w:pPr>
            <w:r>
              <w:rPr>
                <w:rFonts w:ascii="Times New Roman" w:hAnsi="Times New Roman"/>
                <w:b w:val="false"/>
                <w:color w:val="000000"/>
                <w:sz w:val="20"/>
              </w:rPr>
              <w:t>%</w:t>
            </w:r>
          </w:p>
        </w:tc>
      </w:tr>
      <w:tr>
        <w:trPr/>
        <w:tc>
          <w:tcPr>
            <w:tcW w:w="4219" w:type="dxa"/>
            <w:tcBorders/>
            <w:shd w:fill="FFFFFF" w:val="clear"/>
            <w:vAlign w:val="center"/>
          </w:tcPr>
          <w:p>
            <w:pPr>
              <w:pStyle w:val="TableContents"/>
              <w:bidi w:val="0"/>
              <w:spacing w:before="0" w:after="283"/>
              <w:ind w:left="600" w:right="0" w:firstLine="600"/>
              <w:jc w:val="left"/>
              <w:rPr>
                <w:rFonts w:ascii="Times New Roman" w:hAnsi="Times New Roman"/>
                <w:b w:val="false"/>
                <w:color w:val="000000"/>
                <w:sz w:val="20"/>
              </w:rPr>
            </w:pPr>
            <w:r>
              <w:rPr>
                <w:rFonts w:ascii="Times New Roman" w:hAnsi="Times New Roman"/>
                <w:b w:val="false"/>
                <w:color w:val="000000"/>
                <w:sz w:val="20"/>
              </w:rPr>
              <w:t>Total other income (expense), net</w:t>
            </w:r>
          </w:p>
        </w:tc>
        <w:tc>
          <w:tcPr>
            <w:tcW w:w="146" w:type="dxa"/>
            <w:tcBorders/>
            <w:shd w:fill="FFFFFF" w:val="cle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(218</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7" w:type="dxa"/>
            <w:tcBorders/>
            <w:shd w:fill="FFFFFF" w:val="cle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206</w:t>
            </w:r>
          </w:p>
        </w:tc>
        <w:tc>
          <w:tcPr>
            <w:tcW w:w="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21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(27,692</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7" w:type="dxa"/>
            <w:tcBorders/>
            <w:shd w:fill="CFF0FC" w:val="cle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(18,581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w:t>
            </w:r>
          </w:p>
        </w:tc>
        <w:tc>
          <w:tcPr>
            <w:tcW w:w="9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360" w:after="283"/>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To date, we have earned no revenue from the commercial development and sale of novel therapeutic products.</w:t>
      </w:r>
    </w:p>
    <w:p>
      <w:pPr>
        <w:pStyle w:val="TextBody"/>
        <w:bidi w:val="0"/>
        <w:spacing w:before="360" w:after="283"/>
        <w:jc w:val="left"/>
        <w:rPr>
          <w:rFonts w:ascii="Times New Roman" w:hAnsi="Times New Roman"/>
          <w:sz w:val="20"/>
        </w:rPr>
      </w:pPr>
      <w:r>
        <w:rPr>
          <w:rFonts w:ascii="Times New Roman" w:hAnsi="Times New Roman"/>
          <w:b/>
          <w:i/>
          <w:color w:val="000000"/>
          <w:sz w:val="20"/>
        </w:rPr>
        <w:t>Research and development expense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Research and development expense was $16.5 million for the nine months ended September 30, 2023, an increase of $5.0 million from the nine months ended September 30, 2022. The cadence of our research and development expenditures will fluctuate depending upon the state of our clinical programs and the timing of CMC and other projects necessary to support the submission of an NDA. Clinical trial costs increased $5.0 million as we completed enrolling patients into the RW period for Study C602, and as patients complete the RW period, we are incurring costs supporting them in an open label extension, Study C614. CMC costs decreased $0.6 million due to the cessation and commencement of various manufacturing processes, and headcount costs increased as we hired additional employees in support of our research and development activities going forward.</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General and administrative expense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General and administrative expense was $9.3 million for the nine months ended September 30, 2023, an increase of $1.9 million from the nine months ended September 30, 2022. The increase was mainly attributable to an increase in stock-based compensation and professional services expenses.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Change in fair value of contingent consideration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are obligated to make cash payments up to a maximum of $21.2 million to the former Essentialis stockholders upon the achievement of certain future commercial milestones associated with the sales of DCCR in accordance with the terms of our merger agreement with Essentialis. The fair value of the liability for the contingent consideration payable by us achieving two commercial sales milestones of $100 million and $200 million in cumulative revenue in future years was estimated to be $10.5 million as of September 30, 2023, a $1.6 million increase from the estimate as of December 31, 2022. During the nine months ended September 30, 2022, the estimate decreased by $0.1 million from the $9.5 million estimate as of December 31, 2021.</w:t>
      </w:r>
      <w:r>
        <w:rPr>
          <w:rFonts w:ascii="Times New Roman" w:hAnsi="Times New Roman"/>
          <w:color w:val="000000"/>
          <w:sz w:val="20"/>
        </w:rPr>
        <w:t xml:space="preserv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Other income (expense), net</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had other expense, net of approximately $218,000 in the nine months ended September 30, 2023, compared to other income of $206,000 during the nine months ended September 30, 2022. The decrease was primarily due to the change in fair value of warrants</w:t>
      </w:r>
      <w:r>
        <w:rPr>
          <w:rFonts w:ascii="Times New Roman" w:hAnsi="Times New Roman"/>
          <w:color w:val="000000"/>
          <w:sz w:val="20"/>
        </w:rPr>
        <w:t xml:space="preserve">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liabilities, partially offset by an increase in interest income during the nine months ended September 30, 2023 compared to the nine months ended September 30, 2022.</w:t>
      </w:r>
    </w:p>
    <w:p>
      <w:pPr>
        <w:pStyle w:val="TextBody"/>
        <w:bidi w:val="0"/>
        <w:spacing w:before="36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had a net loss of $27.7 million during the nine months ended September 30, 2023 and an accumulated deficit of $265.1 million at September 30, 2023 as a result of having incurred losses since our inception. We had $52.4 million in cash and cash equivalents and $24.7 million of working capital at September 30, 2023, and used $18.6 million of cash in operating activities during the nine months ended September 30, 2023. As of September 30, 2023, we had lease obligations totaling $470,000 to be paid through 2025, consisting of an operating lease for office space in Redwood City, California.</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have financed our operations principally through issuances of equity securities. On October 2, 2023, we closed a public and concurrent private financing with gross proceeds of $129.0 million. $16.0 million was received prior to September 30, 2023, and was included in cash and cash equivalents and current liabilities as of the quarter end. The remaining gross proceeds of $113.0 million were received in October 2023. Previously, in December 2022, we entered into a Securities Purchase Agreement providing for the sale of up to $60.0 million in warrants (Tranche A and Tranche B) and the common stock issuable upon the exercise thereof. We completed the closing of the sale and issued both tranches of warrants for $10.0 million in May 2023. The announcement of positive top-line data from the randomized withdrawal period of Study C602 triggered the mandatory exercise of the Tranche A warrants, and as of September 30, 2023, we had received $15.0 million. In October 2023, certain investors exercised their Tranche B warrants and we received $17.5 million. The exercise of remaining Tranche B warrants for up to $17.5 million is contingent upon our future performance. We also received $8.4 million in gross proceeds from the exercise of certain March 2022 warrants during the three months ended September 30, 2023. In May 2023, we received net proceeds of $7.1 million from the sale of common stock through the ATM program which was subsequently terminated in connection with the October 2, 2023 financing.</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expect to continue incurring losses for the foreseeable future. However, we expect that our current cash and cash equivalents balance together with the cash received in October 2023, will be sufficient to enable us to meet our obligations for at least the next twelve months from the date of this filing.</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Cash flows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following table sets forth the primary sources and uses of cash and cash equivalents for each of the periods presented below:</w:t>
      </w:r>
      <w:r>
        <w:rPr>
          <w:rFonts w:ascii="Times New Roman" w:hAnsi="Times New Roman"/>
          <w:color w:val="000000"/>
          <w:sz w:val="20"/>
        </w:rPr>
        <w:t xml:space="preserve"> </w:t>
      </w:r>
    </w:p>
    <w:p>
      <w:pPr>
        <w:pStyle w:val="TextBody"/>
        <w:bidi w:val="0"/>
        <w:jc w:val="left"/>
        <w:rPr/>
      </w:pPr>
      <w:r>
        <w:rPr/>
        <w:t> </w:t>
      </w:r>
    </w:p>
    <w:tbl>
      <w:tblPr>
        <w:tblW w:w="7652" w:type="dxa"/>
        <w:jc w:val="left"/>
        <w:tblInd w:w="0" w:type="dxa"/>
        <w:tblLayout w:type="fixed"/>
        <w:tblCellMar>
          <w:top w:w="28" w:type="dxa"/>
          <w:left w:w="28" w:type="dxa"/>
          <w:bottom w:w="28" w:type="dxa"/>
          <w:right w:w="28" w:type="dxa"/>
        </w:tblCellMar>
      </w:tblPr>
      <w:tblGrid>
        <w:gridCol w:w="4521"/>
        <w:gridCol w:w="146"/>
        <w:gridCol w:w="248"/>
        <w:gridCol w:w="866"/>
        <w:gridCol w:w="195"/>
        <w:gridCol w:w="171"/>
        <w:gridCol w:w="248"/>
        <w:gridCol w:w="866"/>
        <w:gridCol w:w="391"/>
      </w:tblGrid>
      <w:tr>
        <w:trPr/>
        <w:tc>
          <w:tcPr>
            <w:tcW w:w="4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5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shd w:fill="FFFFFF" w:val="cle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94" w:type="dxa"/>
            <w:gridSpan w:val="6"/>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(in thousands)</w:t>
            </w:r>
          </w:p>
        </w:tc>
        <w:tc>
          <w:tcPr>
            <w:tcW w:w="391" w:type="dxa"/>
            <w:tcBorders/>
            <w:shd w:fill="FFFFFF" w:val="clear"/>
            <w:vAlign w:val="center"/>
          </w:tcPr>
          <w:p>
            <w:pPr>
              <w:pStyle w:val="TableContents"/>
              <w:bidi w:val="0"/>
              <w:spacing w:before="0" w:after="283"/>
              <w:jc w:val="center"/>
              <w:rPr/>
            </w:pPr>
            <w:r>
              <w:rPr/>
              <w:t> </w:t>
            </w:r>
          </w:p>
        </w:tc>
      </w:tr>
      <w:tr>
        <w:trPr/>
        <w:tc>
          <w:tcPr>
            <w:tcW w:w="45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(18,626</w:t>
            </w:r>
          </w:p>
        </w:tc>
        <w:tc>
          <w:tcPr>
            <w:tcW w:w="19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1"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(15,638</w:t>
            </w:r>
          </w:p>
        </w:tc>
        <w:tc>
          <w:tcPr>
            <w:tcW w:w="3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5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used in investing activities</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color w:val="000000"/>
              </w:rPr>
            </w:pPr>
            <w:r>
              <w:rPr>
                <w:color w:val="000000"/>
              </w:rPr>
              <w:t>—</w:t>
            </w:r>
          </w:p>
        </w:tc>
        <w:tc>
          <w:tcPr>
            <w:tcW w:w="195"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w:t>
            </w:r>
          </w:p>
        </w:tc>
        <w:tc>
          <w:tcPr>
            <w:tcW w:w="39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5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provided by financing activities</w:t>
            </w:r>
          </w:p>
        </w:tc>
        <w:tc>
          <w:tcPr>
            <w:tcW w:w="146"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56,461</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14,092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2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Net increase (decrease) in cash and cash equivalents</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37,835</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(1,553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120" w:after="283"/>
        <w:jc w:val="left"/>
        <w:rPr>
          <w:rFonts w:ascii="Times New Roman" w:hAnsi="Times New Roman"/>
          <w:sz w:val="20"/>
        </w:rPr>
      </w:pPr>
      <w:r>
        <w:rPr>
          <w:rFonts w:ascii="Times New Roman" w:hAnsi="Times New Roman"/>
          <w:b/>
          <w:i/>
          <w:color w:val="000000"/>
          <w:sz w:val="20"/>
        </w:rPr>
        <w:t>Net cash used in 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During the nine months ended September 30, 2023, operating activities used net cash of $18.6 million, which was primarily due to the net loss of $27.7 million less non-cash expense of $2.3 million related to the change in fair value of common stock warrants and contingent consideration, $1.5 million for depreciation and amortization, $4.0 million for stock-based compensation, and $0.3 million for non-cash lease expense. Additionally, usage of cash during the nine months ended September 30, 2023 decreased by $1.0 million due to changes in operating assets and liabilities.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During the nine months ended September 30, 2022, operating activities used net cash of $15.6 million, which was primarily due to the net loss of $18.6 million adjusted for non-cash income of $0.1 million related to the change in fair value of common stock warrants and contingent consideration, non-cash expense of $1.5 million for depreciation and amortization, $1.9 million for stock-based compensation, and approximately $0.2 million for non-cash lease expense. Additionally, cash used during the nine months ended September 30, 2022, increased by $0.5 million due to changes in operating assets and liabilities.</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Net cash used in investing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During the nine months ended September 30, 2023, there were no purchases of property and equipment. During the nine months ended September 30, 2022, there was minimal cash used in purchasing property and equipment.</w:t>
      </w:r>
    </w:p>
    <w:p>
      <w:pPr>
        <w:pStyle w:val="TextBody"/>
        <w:bidi w:val="0"/>
        <w:spacing w:before="360" w:after="283"/>
        <w:jc w:val="left"/>
        <w:rPr>
          <w:rFonts w:ascii="Times New Roman" w:hAnsi="Times New Roman"/>
          <w:sz w:val="20"/>
        </w:rPr>
      </w:pPr>
      <w:r>
        <w:rPr>
          <w:rFonts w:ascii="Times New Roman" w:hAnsi="Times New Roman"/>
          <w:b/>
          <w:i/>
          <w:color w:val="000000"/>
          <w:sz w:val="20"/>
        </w:rPr>
        <w:t>Net cash provided by financing activities</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During the nine months ended September 30, 2023, we received $33.4 million from the sale and issuance of the warrants pursuant to the Securities Purchase Agreement and $16.0 million prior to and for the issuance of common stock in conjunction with our October 2, 2023 financing. We also received net proceeds of $7.1 million from the sale of common stock through the ATM program.</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During the nine months ended September 30, 2022, we received $14.1 million of net cash proceeds from the sale of 2,666,666 shares of our common stock, and for certain investors, in lieu of common stock, pre-funded warrants to purchase 1,333,333 shares of common stock. Each share of common stock or pre-funded warrant was sold together with one, immediately exercisable common warrant with an exercise price of $4.50 per share. The net proceeds amount was slightly offset by payments for the taxes from net share-settled vesting of restricted stock.</w:t>
      </w:r>
    </w:p>
    <w:p>
      <w:pPr>
        <w:pStyle w:val="TextBody"/>
        <w:bidi w:val="0"/>
        <w:spacing w:before="360" w:after="283"/>
        <w:jc w:val="left"/>
        <w:rPr>
          <w:rFonts w:ascii="Times New Roman" w:hAnsi="Times New Roman"/>
          <w:sz w:val="20"/>
        </w:rPr>
      </w:pPr>
      <w:r>
        <w:rPr>
          <w:rFonts w:ascii="Times New Roman" w:hAnsi="Times New Roman"/>
          <w:b/>
          <w:color w:val="000000"/>
          <w:sz w:val="20"/>
        </w:rPr>
        <w:t>Off-Balance Sheet Arrangements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do not have any off-balance sheet arrangements.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bookmarkStart w:id="11" w:name="item_3_quantitative_and_qualitative"/>
      <w:bookmarkEnd w:id="11"/>
      <w:r>
        <w:rPr>
          <w:rFonts w:ascii="Times New Roman" w:hAnsi="Times New Roman"/>
          <w:b/>
          <w:color w:val="000000"/>
          <w:sz w:val="20"/>
        </w:rPr>
        <w:t>Item 3. Quantitative and Qualitative Disclosures about Market Risk</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 xml:space="preserve">There have not been any material changes to our exposure to market risk during the nine months ended September 30, 2023. For additional information regarding market risk, refer to the </w:t>
      </w:r>
      <w:r>
        <w:rPr>
          <w:rFonts w:ascii="Times New Roman" w:hAnsi="Times New Roman"/>
          <w:b w:val="false"/>
          <w:i/>
          <w:color w:val="000000"/>
          <w:sz w:val="20"/>
        </w:rPr>
        <w:t>Qualitative and Quantitative Disclosures About Market Risk</w:t>
      </w:r>
      <w:r>
        <w:rPr>
          <w:rFonts w:ascii="Times New Roman" w:hAnsi="Times New Roman"/>
          <w:color w:val="000000"/>
          <w:sz w:val="20"/>
        </w:rPr>
        <w:t xml:space="preserve"> </w:t>
      </w:r>
      <w:r>
        <w:rPr>
          <w:rFonts w:ascii="Times New Roman" w:hAnsi="Times New Roman"/>
          <w:b w:val="false"/>
          <w:color w:val="000000"/>
          <w:sz w:val="20"/>
        </w:rPr>
        <w:t>section of the Form 10-K.</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bookmarkStart w:id="12" w:name="controls_and_procedures"/>
      <w:bookmarkEnd w:id="12"/>
      <w:r>
        <w:rPr>
          <w:rFonts w:ascii="Times New Roman" w:hAnsi="Times New Roman"/>
          <w:b/>
          <w:color w:val="000000"/>
          <w:sz w:val="20"/>
        </w:rPr>
        <w:t>Item 4.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(a) Evaluation of Disclosure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maintain disclosure controls and procedures that are designed to ensure that information required to be disclosed in reports filed under the Securities Exchange Act of 1934, as amended (Exchange Act), is recorded, processed, summarized and reported within the time periods specified in U.S. Securities and Exchange Commission, or SEC, rules and forms, and that such information is accumulated and communicated to our management to allow timely decisions regarding required disclosure. In designing and evaluating the disclosure controls and procedures, our management recognizes that any controls and procedures, no matter how well designed and operated, can provide only reasonable assurance of achieving the desired control objectives.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Our management, with the participation of our Chief Executive Officer and Chief Financial Officer, has evaluated the effectiveness of the design and operation of our disclosure controls and procedures, as defined in Rules 13a-15(e) and 15d-15(e) under the Exchange Act as of the end of the period covered by this Quarterly Report on Form 10-Q. Based upon that evaluation, our Chief Executive Officer and Chief Financial Officer have concluded that, as of the end of the period covered by this Quarterly Report on Form 10-Q, our disclosure controls and procedures were effective.</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(b) Changes in Internal Control over Financial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There have been no changes to our internal control over financial reporting that occurred during the three months ended September 30, 2023, that have materially affected, or are reasonably likely to materially affect, our internal control over financial reporting.</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Inherent Limitations on Effectiveness of Controls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designing and evaluating the disclosure controls and procedures, management recognizes that any controls and procedures, even if determined effective and no matter how well designed and operated, can provide only reasonable assurance of achieving the desired control objectives to prevent or detect misstatements. In addition, the design of disclosure controls and procedures must reflect the fact that there are resource constraints and that management is required to apply judgment in evaluating the benefits of possible controls and procedures relative to their costs. Also, projections of any evaluation of effectiveness to future periods are subject to the risk that controls may become inadequate because of changes in conditions, or that the degree of compliance with the policies or procedures may deteriorate.</w:t>
      </w:r>
      <w:r>
        <w:rPr>
          <w:rFonts w:ascii="Times New Roman" w:hAnsi="Times New Roman"/>
          <w:color w:val="000000"/>
          <w:sz w:val="20"/>
        </w:rPr>
        <w:t xml:space="preserve">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3" w:name="part_ii_other_information"/>
      <w:bookmarkEnd w:id="13"/>
      <w:r>
        <w:rPr>
          <w:rFonts w:ascii="Times New Roman" w:hAnsi="Times New Roman"/>
          <w:b/>
          <w:color w:val="000000"/>
          <w:sz w:val="20"/>
        </w:rPr>
        <w:t>PART II – OTHER INFORMATION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14" w:name="item_1_legal_proceedings"/>
      <w:bookmarkEnd w:id="14"/>
      <w:r>
        <w:rPr>
          <w:rFonts w:ascii="Times New Roman" w:hAnsi="Times New Roman"/>
          <w:b/>
          <w:color w:val="000000"/>
          <w:sz w:val="20"/>
        </w:rPr>
        <w:t>Item 1. Legal Proceedings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may, from time to time, be party to litigation and subject to claims that arise in the ordinary course of business. In addition, third parties may, from time to time, assert claims against us in the form of letters and other communications. We currently believe that these ordinary course matters will not have a material adverse effect on our business; however, the results of litigation and claims are inherently unpredictable. Regardless of the outcome, litigation can have an adverse impact on us because of defense and settlement costs, diversion of management resources and other factors.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bookmarkStart w:id="15" w:name="item_1a_risk_factors"/>
      <w:bookmarkEnd w:id="15"/>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An investment in our securities has a high degree of risk. Before you invest you should carefully consider the risks and uncertainties. Additional risks and uncertainties not currently known to us or that we currently deem to be immaterial also may materially adversely affect our business, financial conditions and/or operating results. If any of these risks actually occur, our business, operating results and financial condition could be harmed, and the value of our stock could go down. This means you could lose all or a part of your investment. We have included in Part I, Item 1A of our Form 10-K, a description of certain risks and uncertainties that could affect our business, future performance or financial condition (the Risk Factors). Other than as modified by our previous Quarterly Reports on Form 10-Q, there have been no material changes from the disclosure provided in the Form 10-K with respect to the Risk Factors.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bookmarkStart w:id="16" w:name="item_2_unregistered_sales_equity_securit"/>
      <w:bookmarkEnd w:id="16"/>
      <w:r>
        <w:rPr>
          <w:rFonts w:ascii="Times New Roman" w:hAnsi="Times New Roman"/>
          <w:b/>
          <w:color w:val="000000"/>
          <w:sz w:val="20"/>
        </w:rPr>
        <w:t>Item 2. Unregistered Sales of Equity Securities and Use of Proceeds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None.</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bookmarkStart w:id="17" w:name="item_3_defaults_upon_senior_securities"/>
      <w:bookmarkEnd w:id="17"/>
      <w:r>
        <w:rPr>
          <w:rFonts w:ascii="Times New Roman" w:hAnsi="Times New Roman"/>
          <w:b/>
          <w:color w:val="000000"/>
          <w:sz w:val="20"/>
        </w:rPr>
        <w:t>Item 3. Defaults Upon Senior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None.</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bookmarkStart w:id="18" w:name="item_4_mine_safety_disclosures"/>
      <w:bookmarkEnd w:id="18"/>
      <w:r>
        <w:rPr>
          <w:rFonts w:ascii="Times New Roman" w:hAnsi="Times New Roman"/>
          <w:b/>
          <w:color w:val="000000"/>
          <w:sz w:val="20"/>
        </w:rPr>
        <w:t>Item 4. Mine Safety Disclosures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Not applicable.</w:t>
      </w:r>
      <w:r>
        <w:rPr>
          <w:rFonts w:ascii="Times New Roman" w:hAnsi="Times New Roman"/>
          <w:color w:val="000000"/>
          <w:sz w:val="20"/>
        </w:rPr>
        <w:t xml:space="preserve"> </w:t>
      </w:r>
    </w:p>
    <w:p>
      <w:pPr>
        <w:pStyle w:val="TextBody"/>
        <w:bidi w:val="0"/>
        <w:spacing w:before="360" w:after="240"/>
        <w:jc w:val="left"/>
        <w:rPr>
          <w:rFonts w:ascii="Times New Roman" w:hAnsi="Times New Roman"/>
          <w:sz w:val="20"/>
        </w:rPr>
      </w:pPr>
      <w:bookmarkStart w:id="19" w:name="item_5_or_information"/>
      <w:bookmarkEnd w:id="19"/>
      <w:r>
        <w:rPr>
          <w:rFonts w:ascii="Times New Roman" w:hAnsi="Times New Roman"/>
          <w:b/>
          <w:color w:val="000000"/>
          <w:sz w:val="20"/>
        </w:rPr>
        <w:t>Item 5. Other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have social media posts at Twitter (X) - @SolenoTX and LinkedIn - Soleno Therapeutics, Inc. It is possible that information we post on social media channels could be deemed to be material information. The information on, or that may be accessed through, our website and social media channels is not incorporated by reference into this Quarterly Report on Form 10-Q and should not be considered a part of this Quarterly Report on Form 10-Q.</w:t>
      </w:r>
    </w:p>
    <w:p>
      <w:pPr>
        <w:pStyle w:val="TextBody"/>
        <w:bidi w:val="0"/>
        <w:spacing w:before="360" w:after="240"/>
        <w:jc w:val="left"/>
        <w:rPr>
          <w:rFonts w:ascii="Times New Roman" w:hAnsi="Times New Roman"/>
          <w:sz w:val="20"/>
        </w:rPr>
      </w:pPr>
      <w:bookmarkStart w:id="20" w:name="item_6_exhibits"/>
      <w:bookmarkEnd w:id="20"/>
      <w:r>
        <w:rPr>
          <w:rFonts w:ascii="Times New Roman" w:hAnsi="Times New Roman"/>
          <w:b/>
          <w:color w:val="000000"/>
          <w:sz w:val="20"/>
        </w:rPr>
        <w:t>Item 6. Exhibits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See the Exhibit Index on the page immediately preceding the exhibits for a list of exhibits filed as part of this Quarterly Report on Form 10-Q, which Exhibit Index is incorporated herein by reference.</w:t>
      </w:r>
      <w:r>
        <w:rPr>
          <w:rFonts w:ascii="Times New Roman" w:hAnsi="Times New Roman"/>
          <w:color w:val="000000"/>
          <w:sz w:val="20"/>
        </w:rPr>
        <w:t xml:space="preserve">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1" w:name="exhibit_index"/>
      <w:bookmarkEnd w:id="21"/>
      <w:r>
        <w:rPr>
          <w:rFonts w:ascii="Times New Roman" w:hAnsi="Times New Roman"/>
          <w:b/>
          <w:color w:val="000000"/>
          <w:sz w:val="20"/>
        </w:rPr>
        <w:t>EXHIBIT</w:t>
      </w:r>
      <w:r>
        <w:rPr>
          <w:rFonts w:ascii="Times New Roman" w:hAnsi="Times New Roman"/>
          <w:color w:val="000000"/>
          <w:sz w:val="20"/>
        </w:rPr>
        <w:t xml:space="preserve"> </w:t>
      </w:r>
      <w:r>
        <w:rPr>
          <w:rFonts w:ascii="Times New Roman" w:hAnsi="Times New Roman"/>
          <w:b/>
          <w:color w:val="000000"/>
          <w:sz w:val="20"/>
        </w:rPr>
        <w:t>INDEX</w:t>
      </w:r>
    </w:p>
    <w:tbl>
      <w:tblPr>
        <w:tblW w:w="10205" w:type="dxa"/>
        <w:jc w:val="left"/>
        <w:tblInd w:w="0" w:type="dxa"/>
        <w:tblLayout w:type="fixed"/>
        <w:tblCellMar>
          <w:top w:w="28" w:type="dxa"/>
          <w:left w:w="28" w:type="dxa"/>
          <w:bottom w:w="28" w:type="dxa"/>
          <w:right w:w="28" w:type="dxa"/>
        </w:tblCellMar>
      </w:tblPr>
      <w:tblGrid>
        <w:gridCol w:w="881"/>
        <w:gridCol w:w="266"/>
        <w:gridCol w:w="5084"/>
        <w:gridCol w:w="146"/>
        <w:gridCol w:w="991"/>
        <w:gridCol w:w="146"/>
        <w:gridCol w:w="640"/>
        <w:gridCol w:w="226"/>
        <w:gridCol w:w="771"/>
        <w:gridCol w:w="186"/>
        <w:gridCol w:w="868"/>
      </w:tblGrid>
      <w:tr>
        <w:trPr/>
        <w:tc>
          <w:tcPr>
            <w:tcW w:w="881" w:type="dxa"/>
            <w:tcBorders/>
            <w:shd w:fill="FFFFFF" w:val="clear"/>
            <w:vAlign w:val="center"/>
          </w:tcPr>
          <w:p>
            <w:pPr>
              <w:pStyle w:val="TableContents"/>
              <w:bidi w:val="0"/>
              <w:spacing w:before="0" w:after="283"/>
              <w:jc w:val="left"/>
              <w:rPr>
                <w:sz w:val="4"/>
                <w:szCs w:val="4"/>
              </w:rPr>
            </w:pPr>
            <w:r>
              <w:rPr>
                <w:sz w:val="4"/>
                <w:szCs w:val="4"/>
              </w:rPr>
            </w:r>
          </w:p>
        </w:tc>
        <w:tc>
          <w:tcPr>
            <w:tcW w:w="266" w:type="dxa"/>
            <w:tcBorders/>
            <w:shd w:fill="FFFFFF" w:val="clear"/>
            <w:vAlign w:val="center"/>
          </w:tcPr>
          <w:p>
            <w:pPr>
              <w:pStyle w:val="TableContents"/>
              <w:bidi w:val="0"/>
              <w:spacing w:before="0" w:after="283"/>
              <w:jc w:val="left"/>
              <w:rPr>
                <w:sz w:val="4"/>
                <w:szCs w:val="4"/>
              </w:rPr>
            </w:pPr>
            <w:r>
              <w:rPr>
                <w:sz w:val="4"/>
                <w:szCs w:val="4"/>
              </w:rPr>
            </w:r>
          </w:p>
        </w:tc>
        <w:tc>
          <w:tcPr>
            <w:tcW w:w="508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40"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771" w:type="dxa"/>
            <w:tcBorders/>
            <w:shd w:fill="FFFFFF" w:val="clear"/>
            <w:vAlign w:val="center"/>
          </w:tcPr>
          <w:p>
            <w:pPr>
              <w:pStyle w:val="TableContents"/>
              <w:bidi w:val="0"/>
              <w:spacing w:before="0" w:after="283"/>
              <w:jc w:val="left"/>
              <w:rPr>
                <w:sz w:val="4"/>
                <w:szCs w:val="4"/>
              </w:rPr>
            </w:pPr>
            <w:r>
              <w:rPr>
                <w:sz w:val="4"/>
                <w:szCs w:val="4"/>
              </w:rPr>
            </w:r>
          </w:p>
        </w:tc>
        <w:tc>
          <w:tcPr>
            <w:tcW w:w="186" w:type="dxa"/>
            <w:tcBorders/>
            <w:shd w:fill="FFFFFF" w:val="clear"/>
            <w:vAlign w:val="center"/>
          </w:tcPr>
          <w:p>
            <w:pPr>
              <w:pStyle w:val="TableContents"/>
              <w:bidi w:val="0"/>
              <w:spacing w:before="0" w:after="283"/>
              <w:jc w:val="left"/>
              <w:rPr>
                <w:sz w:val="4"/>
                <w:szCs w:val="4"/>
              </w:rPr>
            </w:pPr>
            <w:r>
              <w:rPr>
                <w:sz w:val="4"/>
                <w:szCs w:val="4"/>
              </w:rPr>
            </w:r>
          </w:p>
        </w:tc>
        <w:tc>
          <w:tcPr>
            <w:tcW w:w="868" w:type="dxa"/>
            <w:tcBorders/>
            <w:shd w:fill="FFFFFF" w:val="clear"/>
            <w:vAlign w:val="center"/>
          </w:tcPr>
          <w:p>
            <w:pPr>
              <w:pStyle w:val="TableContents"/>
              <w:bidi w:val="0"/>
              <w:spacing w:before="0" w:after="283"/>
              <w:jc w:val="left"/>
              <w:rPr>
                <w:sz w:val="4"/>
                <w:szCs w:val="4"/>
              </w:rPr>
            </w:pPr>
            <w:r>
              <w:rPr>
                <w:sz w:val="4"/>
                <w:szCs w:val="4"/>
              </w:rPr>
            </w:r>
          </w:p>
        </w:tc>
      </w:tr>
      <w:tr>
        <w:trPr/>
        <w:tc>
          <w:tcPr>
            <w:tcW w:w="881" w:type="dxa"/>
            <w:tcBorders/>
            <w:vAlign w:val="center"/>
          </w:tcPr>
          <w:p>
            <w:pPr>
              <w:pStyle w:val="TableContents"/>
              <w:bidi w:val="0"/>
              <w:spacing w:before="0" w:after="283"/>
              <w:jc w:val="center"/>
              <w:rPr/>
            </w:pPr>
            <w:r>
              <w:rPr/>
              <w:t> </w:t>
            </w:r>
          </w:p>
        </w:tc>
        <w:tc>
          <w:tcPr>
            <w:tcW w:w="266" w:type="dxa"/>
            <w:tcBorders/>
            <w:vAlign w:val="center"/>
          </w:tcPr>
          <w:p>
            <w:pPr>
              <w:pStyle w:val="TableContents"/>
              <w:bidi w:val="0"/>
              <w:spacing w:before="0" w:after="283"/>
              <w:jc w:val="center"/>
              <w:rPr/>
            </w:pPr>
            <w:r>
              <w:rPr/>
              <w:t> </w:t>
            </w:r>
          </w:p>
        </w:tc>
        <w:tc>
          <w:tcPr>
            <w:tcW w:w="508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3828" w:type="dxa"/>
            <w:gridSpan w:val="7"/>
            <w:tcBorders>
              <w:bottom w:val="single" w:sz="4" w:space="0" w:color="000000"/>
            </w:tcBorders>
            <w:tcMar>
              <w:top w:w="0" w:type="dxa"/>
              <w:left w:w="0" w:type="dxa"/>
              <w:right w:w="0" w:type="dxa"/>
            </w:tcMar>
            <w:vAlign w:val="center"/>
          </w:tcPr>
          <w:p>
            <w:pPr>
              <w:pStyle w:val="TableContents"/>
              <w:bidi w:val="0"/>
              <w:spacing w:before="0" w:after="283"/>
              <w:ind w:left="0" w:right="40" w:hanging="0"/>
              <w:jc w:val="center"/>
              <w:rPr>
                <w:rFonts w:ascii="Times New Roman" w:hAnsi="Times New Roman"/>
                <w:b/>
                <w:color w:val="000000"/>
                <w:sz w:val="16"/>
              </w:rPr>
            </w:pPr>
            <w:r>
              <w:rPr>
                <w:rFonts w:ascii="Times New Roman" w:hAnsi="Times New Roman"/>
                <w:b/>
                <w:color w:val="000000"/>
                <w:sz w:val="16"/>
              </w:rPr>
              <w:t>Incorporated by Reference from</w:t>
            </w:r>
          </w:p>
        </w:tc>
      </w:tr>
      <w:tr>
        <w:trPr/>
        <w:tc>
          <w:tcPr>
            <w:tcW w:w="88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2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08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 of Document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9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Registrant’s</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40"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Date Filed</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with the SEC</w:t>
            </w:r>
          </w:p>
        </w:tc>
        <w:tc>
          <w:tcPr>
            <w:tcW w:w="226" w:type="dxa"/>
            <w:tcBorders>
              <w:bottom w:val="single" w:sz="4" w:space="0" w:color="000000"/>
            </w:tcBorders>
            <w:tcMar>
              <w:top w:w="0" w:type="dxa"/>
              <w:left w:w="0" w:type="dxa"/>
              <w:right w:w="0" w:type="dxa"/>
            </w:tcMar>
            <w:vAlign w:val="center"/>
          </w:tcPr>
          <w:p>
            <w:pPr>
              <w:pStyle w:val="TableContents"/>
              <w:bidi w:val="0"/>
              <w:spacing w:before="0" w:after="283"/>
              <w:ind w:left="0" w:right="80" w:hanging="0"/>
              <w:jc w:val="center"/>
              <w:rPr/>
            </w:pPr>
            <w:r>
              <w:rPr/>
              <w:t> </w:t>
            </w:r>
          </w:p>
        </w:tc>
        <w:tc>
          <w:tcPr>
            <w:tcW w:w="771" w:type="dxa"/>
            <w:tcBorders>
              <w:bottom w:val="single" w:sz="4" w:space="0" w:color="000000"/>
            </w:tcBorders>
            <w:tcMar>
              <w:top w:w="0" w:type="dxa"/>
              <w:left w:w="0" w:type="dxa"/>
              <w:right w:w="0" w:type="dxa"/>
            </w:tcMar>
            <w:vAlign w:val="center"/>
          </w:tcPr>
          <w:p>
            <w:pPr>
              <w:pStyle w:val="TableContents"/>
              <w:bidi w:val="0"/>
              <w:ind w:left="0" w:right="80" w:hanging="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ind w:left="0" w:right="80" w:hanging="0"/>
              <w:jc w:val="center"/>
              <w:rPr>
                <w:rFonts w:ascii="Times New Roman" w:hAnsi="Times New Roman"/>
                <w:b/>
                <w:color w:val="000000"/>
                <w:sz w:val="16"/>
              </w:rPr>
            </w:pPr>
            <w:r>
              <w:rPr>
                <w:rFonts w:ascii="Times New Roman" w:hAnsi="Times New Roman"/>
                <w:b/>
                <w:color w:val="000000"/>
                <w:sz w:val="16"/>
              </w:rPr>
              <w:t>Number</w:t>
            </w:r>
          </w:p>
        </w:tc>
        <w:tc>
          <w:tcPr>
            <w:tcW w:w="186" w:type="dxa"/>
            <w:tcBorders>
              <w:bottom w:val="single" w:sz="4" w:space="0" w:color="000000"/>
            </w:tcBorders>
            <w:tcMar>
              <w:top w:w="0" w:type="dxa"/>
              <w:left w:w="0" w:type="dxa"/>
              <w:right w:w="0" w:type="dxa"/>
            </w:tcMar>
            <w:vAlign w:val="center"/>
          </w:tcPr>
          <w:p>
            <w:pPr>
              <w:pStyle w:val="TableContents"/>
              <w:bidi w:val="0"/>
              <w:spacing w:before="0" w:after="283"/>
              <w:ind w:left="0" w:right="40" w:hanging="0"/>
              <w:jc w:val="center"/>
              <w:rPr/>
            </w:pPr>
            <w:r>
              <w:rPr/>
              <w:t> </w:t>
            </w:r>
          </w:p>
        </w:tc>
        <w:tc>
          <w:tcPr>
            <w:tcW w:w="868" w:type="dxa"/>
            <w:tcBorders>
              <w:bottom w:val="single" w:sz="4" w:space="0" w:color="000000"/>
            </w:tcBorders>
            <w:tcMar>
              <w:top w:w="0" w:type="dxa"/>
              <w:left w:w="0" w:type="dxa"/>
              <w:right w:w="0" w:type="dxa"/>
            </w:tcMar>
            <w:vAlign w:val="center"/>
          </w:tcPr>
          <w:p>
            <w:pPr>
              <w:pStyle w:val="TableContents"/>
              <w:bidi w:val="0"/>
              <w:ind w:left="0" w:right="40" w:hanging="0"/>
              <w:jc w:val="center"/>
              <w:rPr>
                <w:rFonts w:ascii="Times New Roman" w:hAnsi="Times New Roman"/>
                <w:b/>
                <w:color w:val="000000"/>
                <w:sz w:val="16"/>
              </w:rPr>
            </w:pPr>
            <w:r>
              <w:rPr>
                <w:rFonts w:ascii="Times New Roman" w:hAnsi="Times New Roman"/>
                <w:b/>
                <w:color w:val="000000"/>
                <w:sz w:val="16"/>
              </w:rPr>
              <w:t>Filed</w:t>
            </w:r>
          </w:p>
          <w:p>
            <w:pPr>
              <w:pStyle w:val="TableContents"/>
              <w:bidi w:val="0"/>
              <w:spacing w:before="0" w:after="283"/>
              <w:ind w:left="0" w:right="40" w:hanging="0"/>
              <w:jc w:val="center"/>
              <w:rPr>
                <w:rFonts w:ascii="Times New Roman" w:hAnsi="Times New Roman"/>
                <w:b/>
                <w:color w:val="000000"/>
                <w:sz w:val="16"/>
              </w:rPr>
            </w:pPr>
            <w:r>
              <w:rPr>
                <w:rFonts w:ascii="Times New Roman" w:hAnsi="Times New Roman"/>
                <w:b/>
                <w:color w:val="000000"/>
                <w:sz w:val="16"/>
              </w:rPr>
              <w:t>Herewith</w:t>
            </w:r>
          </w:p>
        </w:tc>
      </w:tr>
      <w:tr>
        <w:trPr/>
        <w:tc>
          <w:tcPr>
            <w:tcW w:w="881" w:type="dxa"/>
            <w:tcBorders/>
            <w:vAlign w:val="center"/>
          </w:tcPr>
          <w:p>
            <w:pPr>
              <w:pStyle w:val="TableContents"/>
              <w:bidi w:val="0"/>
              <w:spacing w:before="0" w:after="283"/>
              <w:jc w:val="center"/>
              <w:rPr/>
            </w:pPr>
            <w:r>
              <w:rPr/>
              <w:t> </w:t>
            </w:r>
          </w:p>
        </w:tc>
        <w:tc>
          <w:tcPr>
            <w:tcW w:w="266" w:type="dxa"/>
            <w:tcBorders/>
            <w:vAlign w:val="center"/>
          </w:tcPr>
          <w:p>
            <w:pPr>
              <w:pStyle w:val="TableContents"/>
              <w:bidi w:val="0"/>
              <w:spacing w:before="0" w:after="283"/>
              <w:jc w:val="center"/>
              <w:rPr/>
            </w:pPr>
            <w:r>
              <w:rPr/>
              <w:t> </w:t>
            </w:r>
          </w:p>
        </w:tc>
        <w:tc>
          <w:tcPr>
            <w:tcW w:w="508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9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40" w:type="dxa"/>
            <w:tcBorders/>
            <w:vAlign w:val="center"/>
          </w:tcPr>
          <w:p>
            <w:pPr>
              <w:pStyle w:val="TableContents"/>
              <w:bidi w:val="0"/>
              <w:spacing w:before="0" w:after="283"/>
              <w:jc w:val="center"/>
              <w:rPr/>
            </w:pPr>
            <w:r>
              <w:rPr/>
              <w:t> </w:t>
            </w:r>
          </w:p>
        </w:tc>
        <w:tc>
          <w:tcPr>
            <w:tcW w:w="226" w:type="dxa"/>
            <w:tcBorders/>
            <w:vAlign w:val="center"/>
          </w:tcPr>
          <w:p>
            <w:pPr>
              <w:pStyle w:val="TableContents"/>
              <w:bidi w:val="0"/>
              <w:spacing w:before="0" w:after="283"/>
              <w:ind w:left="0" w:right="80" w:hanging="0"/>
              <w:jc w:val="center"/>
              <w:rPr/>
            </w:pPr>
            <w:r>
              <w:rPr/>
              <w:t> </w:t>
            </w:r>
          </w:p>
        </w:tc>
        <w:tc>
          <w:tcPr>
            <w:tcW w:w="771" w:type="dxa"/>
            <w:tcBorders/>
            <w:vAlign w:val="center"/>
          </w:tcPr>
          <w:p>
            <w:pPr>
              <w:pStyle w:val="TableContents"/>
              <w:bidi w:val="0"/>
              <w:spacing w:before="0" w:after="283"/>
              <w:ind w:left="0" w:right="80" w:hanging="0"/>
              <w:jc w:val="center"/>
              <w:rPr/>
            </w:pPr>
            <w:r>
              <w:rPr/>
              <w:t> </w:t>
            </w:r>
          </w:p>
        </w:tc>
        <w:tc>
          <w:tcPr>
            <w:tcW w:w="186" w:type="dxa"/>
            <w:tcBorders/>
            <w:vAlign w:val="center"/>
          </w:tcPr>
          <w:p>
            <w:pPr>
              <w:pStyle w:val="TableContents"/>
              <w:bidi w:val="0"/>
              <w:spacing w:before="0" w:after="283"/>
              <w:ind w:left="0" w:right="40" w:hanging="0"/>
              <w:jc w:val="center"/>
              <w:rPr/>
            </w:pPr>
            <w:r>
              <w:rPr/>
              <w:t> </w:t>
            </w:r>
          </w:p>
        </w:tc>
        <w:tc>
          <w:tcPr>
            <w:tcW w:w="868" w:type="dxa"/>
            <w:tcBorders/>
            <w:vAlign w:val="center"/>
          </w:tcPr>
          <w:p>
            <w:pPr>
              <w:pStyle w:val="TableContents"/>
              <w:bidi w:val="0"/>
              <w:spacing w:before="0" w:after="283"/>
              <w:ind w:left="0" w:right="0" w:firstLine="200"/>
              <w:jc w:val="center"/>
              <w:rPr/>
            </w:pPr>
            <w:r>
              <w:rPr/>
              <w:t> </w:t>
            </w:r>
          </w:p>
        </w:tc>
      </w:tr>
      <w:tr>
        <w:trPr/>
        <w:tc>
          <w:tcPr>
            <w:tcW w:w="881" w:type="dxa"/>
            <w:tcBorders/>
            <w:vAlign w:val="center"/>
          </w:tcPr>
          <w:p>
            <w:pPr>
              <w:pStyle w:val="TableContents"/>
              <w:bidi w:val="0"/>
              <w:spacing w:before="0" w:after="283"/>
              <w:ind w:left="200" w:right="0" w:firstLine="200"/>
              <w:jc w:val="left"/>
              <w:rPr>
                <w:color w:val="000000"/>
              </w:rPr>
            </w:pPr>
            <w:r>
              <w:rPr>
                <w:color w:val="000000"/>
              </w:rPr>
              <w:t>  </w:t>
            </w:r>
            <w:r>
              <w:rPr>
                <w:rFonts w:ascii="Times New Roman" w:hAnsi="Times New Roman"/>
                <w:b w:val="false"/>
                <w:color w:val="000000"/>
                <w:sz w:val="20"/>
              </w:rPr>
              <w:t>31.1</w:t>
            </w:r>
          </w:p>
        </w:tc>
        <w:tc>
          <w:tcPr>
            <w:tcW w:w="266" w:type="dxa"/>
            <w:tcBorders/>
            <w:vAlign w:val="center"/>
          </w:tcPr>
          <w:p>
            <w:pPr>
              <w:pStyle w:val="TableContents"/>
              <w:bidi w:val="0"/>
              <w:spacing w:before="0" w:after="283"/>
              <w:ind w:left="0" w:right="0" w:firstLine="115"/>
              <w:jc w:val="left"/>
              <w:rPr/>
            </w:pPr>
            <w:r>
              <w:rPr/>
              <w:t> </w:t>
            </w:r>
          </w:p>
        </w:tc>
        <w:tc>
          <w:tcPr>
            <w:tcW w:w="5084" w:type="dxa"/>
            <w:tcBorders/>
            <w:vAlign w:val="center"/>
          </w:tcPr>
          <w:p>
            <w:pPr>
              <w:pStyle w:val="TableContents"/>
              <w:bidi w:val="0"/>
              <w:spacing w:before="0" w:after="283"/>
              <w:ind w:left="0" w:right="0" w:firstLine="112"/>
              <w:jc w:val="left"/>
              <w:rPr/>
            </w:pPr>
            <w:hyperlink w:anchor="slno-ex31_1.htm">
              <w:r>
                <w:rPr>
                  <w:rStyle w:val="InternetLink"/>
                  <w:rFonts w:ascii="Times New Roman" w:hAnsi="Times New Roman"/>
                  <w:b w:val="false"/>
                  <w:color w:val="0000FF"/>
                  <w:sz w:val="20"/>
                  <w:u w:val="single"/>
                </w:rPr>
                <w:t>Certification of Principal Executive Officer Required Under Rule 13a-14(a) and 15d-14(a) of the Securities and Exchange Act of 1934, as amended</w:t>
              </w:r>
            </w:hyperlink>
            <w:hyperlink w:anchor="slno-ex31_1.htm">
              <w:r>
                <w:rPr>
                  <w:rStyle w:val="InternetLink"/>
                  <w:rFonts w:ascii="Times New Roman" w:hAnsi="Times New Roman"/>
                  <w:color w:val="0000FF"/>
                  <w:sz w:val="20"/>
                </w:rPr>
                <w:t xml:space="preserve"> </w:t>
              </w:r>
            </w:hyperlink>
          </w:p>
        </w:tc>
        <w:tc>
          <w:tcPr>
            <w:tcW w:w="146" w:type="dxa"/>
            <w:tcBorders/>
            <w:vAlign w:val="center"/>
          </w:tcPr>
          <w:p>
            <w:pPr>
              <w:pStyle w:val="TableContents"/>
              <w:pBdr/>
              <w:bidi w:val="0"/>
              <w:spacing w:before="0" w:after="283"/>
              <w:ind w:left="101" w:right="0" w:hanging="11"/>
              <w:jc w:val="left"/>
              <w:rPr/>
            </w:pPr>
            <w:r>
              <w:rPr/>
              <w:t> </w:t>
            </w:r>
          </w:p>
        </w:tc>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64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pPr>
            <w:r>
              <w:rPr/>
              <w:t> </w:t>
            </w:r>
          </w:p>
        </w:tc>
        <w:tc>
          <w:tcPr>
            <w:tcW w:w="868" w:type="dxa"/>
            <w:tcBorders/>
            <w:vAlign w:val="center"/>
          </w:tcPr>
          <w:p>
            <w:pPr>
              <w:pStyle w:val="TableContents"/>
              <w:bidi w:val="0"/>
              <w:spacing w:before="0" w:after="283"/>
              <w:ind w:left="0" w:right="0" w:firstLine="200"/>
              <w:jc w:val="center"/>
              <w:rPr>
                <w:rFonts w:ascii="Times New Roman" w:hAnsi="Times New Roman"/>
                <w:b w:val="false"/>
                <w:color w:val="000000"/>
                <w:sz w:val="20"/>
              </w:rPr>
            </w:pPr>
            <w:r>
              <w:rPr>
                <w:rFonts w:ascii="Times New Roman" w:hAnsi="Times New Roman"/>
                <w:b w:val="false"/>
                <w:color w:val="000000"/>
                <w:sz w:val="20"/>
              </w:rPr>
              <w:t>X</w:t>
            </w:r>
          </w:p>
        </w:tc>
      </w:tr>
      <w:tr>
        <w:trPr/>
        <w:tc>
          <w:tcPr>
            <w:tcW w:w="881" w:type="dxa"/>
            <w:tcBorders/>
            <w:vAlign w:val="center"/>
          </w:tcPr>
          <w:p>
            <w:pPr>
              <w:pStyle w:val="TableContents"/>
              <w:bidi w:val="0"/>
              <w:spacing w:before="0" w:after="283"/>
              <w:ind w:left="200" w:right="0" w:firstLine="200"/>
              <w:jc w:val="left"/>
              <w:rPr/>
            </w:pPr>
            <w:r>
              <w:rPr/>
              <w:t> </w:t>
            </w:r>
          </w:p>
        </w:tc>
        <w:tc>
          <w:tcPr>
            <w:tcW w:w="266" w:type="dxa"/>
            <w:tcBorders/>
            <w:vAlign w:val="center"/>
          </w:tcPr>
          <w:p>
            <w:pPr>
              <w:pStyle w:val="TableContents"/>
              <w:bidi w:val="0"/>
              <w:spacing w:before="0" w:after="283"/>
              <w:ind w:left="0" w:right="0" w:firstLine="120"/>
              <w:jc w:val="left"/>
              <w:rPr/>
            </w:pPr>
            <w:r>
              <w:rPr/>
              <w:t> </w:t>
            </w:r>
          </w:p>
        </w:tc>
        <w:tc>
          <w:tcPr>
            <w:tcW w:w="5084" w:type="dxa"/>
            <w:tcBorders/>
            <w:vAlign w:val="center"/>
          </w:tcPr>
          <w:p>
            <w:pPr>
              <w:pStyle w:val="TableContents"/>
              <w:bidi w:val="0"/>
              <w:spacing w:before="0" w:after="283"/>
              <w:ind w:left="0" w:right="0" w:firstLine="112"/>
              <w:jc w:val="left"/>
              <w:rPr/>
            </w:pPr>
            <w:r>
              <w:rPr/>
              <w:t> </w:t>
            </w:r>
          </w:p>
        </w:tc>
        <w:tc>
          <w:tcPr>
            <w:tcW w:w="146" w:type="dxa"/>
            <w:tcBorders/>
            <w:vAlign w:val="center"/>
          </w:tcPr>
          <w:p>
            <w:pPr>
              <w:pStyle w:val="TableContents"/>
              <w:pBdr/>
              <w:bidi w:val="0"/>
              <w:spacing w:before="0" w:after="283"/>
              <w:ind w:left="101" w:right="0" w:hanging="11"/>
              <w:jc w:val="left"/>
              <w:rPr/>
            </w:pPr>
            <w:r>
              <w:rPr/>
              <w:t> </w:t>
            </w:r>
          </w:p>
        </w:tc>
        <w:tc>
          <w:tcPr>
            <w:tcW w:w="9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868" w:type="dxa"/>
            <w:tcBorders/>
            <w:vAlign w:val="center"/>
          </w:tcPr>
          <w:p>
            <w:pPr>
              <w:pStyle w:val="TableContents"/>
              <w:bidi w:val="0"/>
              <w:spacing w:before="0" w:after="283"/>
              <w:ind w:left="0" w:right="0" w:firstLine="200"/>
              <w:jc w:val="center"/>
              <w:rPr/>
            </w:pPr>
            <w:r>
              <w:rPr/>
              <w:t> </w:t>
            </w:r>
          </w:p>
        </w:tc>
      </w:tr>
      <w:tr>
        <w:trPr/>
        <w:tc>
          <w:tcPr>
            <w:tcW w:w="881" w:type="dxa"/>
            <w:tcBorders/>
            <w:vAlign w:val="center"/>
          </w:tcPr>
          <w:p>
            <w:pPr>
              <w:pStyle w:val="TableContents"/>
              <w:bidi w:val="0"/>
              <w:spacing w:before="0" w:after="283"/>
              <w:ind w:left="200" w:right="0" w:firstLine="200"/>
              <w:jc w:val="left"/>
              <w:rPr>
                <w:color w:val="000000"/>
              </w:rPr>
            </w:pPr>
            <w:r>
              <w:rPr>
                <w:color w:val="000000"/>
              </w:rPr>
              <w:t>  </w:t>
            </w:r>
            <w:r>
              <w:rPr>
                <w:rFonts w:ascii="Times New Roman" w:hAnsi="Times New Roman"/>
                <w:b w:val="false"/>
                <w:color w:val="000000"/>
                <w:sz w:val="20"/>
              </w:rPr>
              <w:t>31.2</w:t>
            </w:r>
          </w:p>
        </w:tc>
        <w:tc>
          <w:tcPr>
            <w:tcW w:w="266" w:type="dxa"/>
            <w:tcBorders/>
            <w:vAlign w:val="center"/>
          </w:tcPr>
          <w:p>
            <w:pPr>
              <w:pStyle w:val="TableContents"/>
              <w:bidi w:val="0"/>
              <w:spacing w:before="0" w:after="283"/>
              <w:ind w:left="0" w:right="0" w:firstLine="115"/>
              <w:jc w:val="left"/>
              <w:rPr/>
            </w:pPr>
            <w:r>
              <w:rPr/>
              <w:t> </w:t>
            </w:r>
          </w:p>
        </w:tc>
        <w:tc>
          <w:tcPr>
            <w:tcW w:w="5084" w:type="dxa"/>
            <w:tcBorders/>
            <w:vAlign w:val="center"/>
          </w:tcPr>
          <w:p>
            <w:pPr>
              <w:pStyle w:val="TableContents"/>
              <w:bidi w:val="0"/>
              <w:spacing w:before="0" w:after="283"/>
              <w:ind w:left="0" w:right="0" w:firstLine="112"/>
              <w:jc w:val="left"/>
              <w:rPr/>
            </w:pPr>
            <w:hyperlink w:anchor="slno-ex31_2.htm">
              <w:r>
                <w:rPr>
                  <w:rStyle w:val="InternetLink"/>
                  <w:rFonts w:ascii="Times New Roman" w:hAnsi="Times New Roman"/>
                  <w:b w:val="false"/>
                  <w:color w:val="0000FF"/>
                  <w:sz w:val="20"/>
                  <w:u w:val="single"/>
                </w:rPr>
                <w:t>Certification of Principal Financial and Accounting Officer Required Under Rule 13a-14(a) and 15d-14(a) of the Securities and Exchange Act of 1934, as amended</w:t>
              </w:r>
            </w:hyperlink>
            <w:hyperlink w:anchor="slno-ex31_2.htm">
              <w:r>
                <w:rPr>
                  <w:rStyle w:val="InternetLink"/>
                  <w:rFonts w:ascii="Times New Roman" w:hAnsi="Times New Roman"/>
                  <w:color w:val="0000FF"/>
                  <w:sz w:val="20"/>
                </w:rPr>
                <w:t xml:space="preserve"> </w:t>
              </w:r>
            </w:hyperlink>
          </w:p>
        </w:tc>
        <w:tc>
          <w:tcPr>
            <w:tcW w:w="146" w:type="dxa"/>
            <w:tcBorders/>
            <w:vAlign w:val="center"/>
          </w:tcPr>
          <w:p>
            <w:pPr>
              <w:pStyle w:val="TableContents"/>
              <w:pBdr/>
              <w:bidi w:val="0"/>
              <w:spacing w:before="0" w:after="283"/>
              <w:ind w:left="101" w:right="0" w:hanging="11"/>
              <w:jc w:val="left"/>
              <w:rPr/>
            </w:pPr>
            <w:r>
              <w:rPr/>
              <w:t> </w:t>
            </w:r>
          </w:p>
        </w:tc>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64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pPr>
            <w:r>
              <w:rPr/>
              <w:t> </w:t>
            </w:r>
          </w:p>
        </w:tc>
        <w:tc>
          <w:tcPr>
            <w:tcW w:w="868" w:type="dxa"/>
            <w:tcBorders/>
            <w:vAlign w:val="center"/>
          </w:tcPr>
          <w:p>
            <w:pPr>
              <w:pStyle w:val="TableContents"/>
              <w:bidi w:val="0"/>
              <w:spacing w:before="0" w:after="283"/>
              <w:ind w:left="0" w:right="0" w:firstLine="200"/>
              <w:jc w:val="center"/>
              <w:rPr>
                <w:rFonts w:ascii="Times New Roman" w:hAnsi="Times New Roman"/>
                <w:b w:val="false"/>
                <w:color w:val="000000"/>
                <w:sz w:val="20"/>
              </w:rPr>
            </w:pPr>
            <w:r>
              <w:rPr>
                <w:rFonts w:ascii="Times New Roman" w:hAnsi="Times New Roman"/>
                <w:b w:val="false"/>
                <w:color w:val="000000"/>
                <w:sz w:val="20"/>
              </w:rPr>
              <w:t>X</w:t>
            </w:r>
          </w:p>
        </w:tc>
      </w:tr>
      <w:tr>
        <w:trPr/>
        <w:tc>
          <w:tcPr>
            <w:tcW w:w="881" w:type="dxa"/>
            <w:tcBorders/>
            <w:vAlign w:val="center"/>
          </w:tcPr>
          <w:p>
            <w:pPr>
              <w:pStyle w:val="TableContents"/>
              <w:bidi w:val="0"/>
              <w:spacing w:before="0" w:after="283"/>
              <w:ind w:left="200" w:right="0" w:firstLine="200"/>
              <w:jc w:val="left"/>
              <w:rPr/>
            </w:pPr>
            <w:r>
              <w:rPr/>
              <w:t> </w:t>
            </w:r>
          </w:p>
        </w:tc>
        <w:tc>
          <w:tcPr>
            <w:tcW w:w="266" w:type="dxa"/>
            <w:tcBorders/>
            <w:vAlign w:val="center"/>
          </w:tcPr>
          <w:p>
            <w:pPr>
              <w:pStyle w:val="TableContents"/>
              <w:bidi w:val="0"/>
              <w:spacing w:before="0" w:after="283"/>
              <w:ind w:left="0" w:right="0" w:firstLine="120"/>
              <w:jc w:val="left"/>
              <w:rPr/>
            </w:pPr>
            <w:r>
              <w:rPr/>
              <w:t> </w:t>
            </w:r>
          </w:p>
        </w:tc>
        <w:tc>
          <w:tcPr>
            <w:tcW w:w="5084" w:type="dxa"/>
            <w:tcBorders/>
            <w:vAlign w:val="center"/>
          </w:tcPr>
          <w:p>
            <w:pPr>
              <w:pStyle w:val="TableContents"/>
              <w:bidi w:val="0"/>
              <w:spacing w:before="0" w:after="283"/>
              <w:ind w:left="0" w:right="0" w:firstLine="112"/>
              <w:jc w:val="left"/>
              <w:rPr/>
            </w:pPr>
            <w:r>
              <w:rPr/>
              <w:t> </w:t>
            </w:r>
          </w:p>
        </w:tc>
        <w:tc>
          <w:tcPr>
            <w:tcW w:w="146" w:type="dxa"/>
            <w:tcBorders/>
            <w:vAlign w:val="center"/>
          </w:tcPr>
          <w:p>
            <w:pPr>
              <w:pStyle w:val="TableContents"/>
              <w:pBdr/>
              <w:bidi w:val="0"/>
              <w:spacing w:before="0" w:after="283"/>
              <w:ind w:left="101" w:right="0" w:hanging="11"/>
              <w:jc w:val="left"/>
              <w:rPr/>
            </w:pPr>
            <w:r>
              <w:rPr/>
              <w:t> </w:t>
            </w:r>
          </w:p>
        </w:tc>
        <w:tc>
          <w:tcPr>
            <w:tcW w:w="9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868" w:type="dxa"/>
            <w:tcBorders/>
            <w:vAlign w:val="center"/>
          </w:tcPr>
          <w:p>
            <w:pPr>
              <w:pStyle w:val="TableContents"/>
              <w:bidi w:val="0"/>
              <w:spacing w:before="0" w:after="283"/>
              <w:ind w:left="0" w:right="0" w:firstLine="200"/>
              <w:jc w:val="center"/>
              <w:rPr/>
            </w:pPr>
            <w:r>
              <w:rPr/>
              <w:t> </w:t>
            </w:r>
          </w:p>
        </w:tc>
      </w:tr>
      <w:tr>
        <w:trPr/>
        <w:tc>
          <w:tcPr>
            <w:tcW w:w="881" w:type="dxa"/>
            <w:tcBorders/>
            <w:vAlign w:val="center"/>
          </w:tcPr>
          <w:p>
            <w:pPr>
              <w:pStyle w:val="TableContents"/>
              <w:bidi w:val="0"/>
              <w:spacing w:before="0" w:after="283"/>
              <w:ind w:left="200" w:right="0" w:firstLine="200"/>
              <w:jc w:val="left"/>
              <w:rPr>
                <w:color w:val="000000"/>
              </w:rPr>
            </w:pPr>
            <w:r>
              <w:rPr>
                <w:color w:val="000000"/>
              </w:rPr>
              <w:t>  </w:t>
            </w:r>
            <w:r>
              <w:rPr>
                <w:rFonts w:ascii="Times New Roman" w:hAnsi="Times New Roman"/>
                <w:b w:val="false"/>
                <w:color w:val="000000"/>
                <w:sz w:val="20"/>
              </w:rPr>
              <w:t>32.1</w:t>
            </w:r>
          </w:p>
        </w:tc>
        <w:tc>
          <w:tcPr>
            <w:tcW w:w="266" w:type="dxa"/>
            <w:tcBorders/>
            <w:vAlign w:val="center"/>
          </w:tcPr>
          <w:p>
            <w:pPr>
              <w:pStyle w:val="TableContents"/>
              <w:bidi w:val="0"/>
              <w:spacing w:before="0" w:after="283"/>
              <w:ind w:left="0" w:right="0" w:firstLine="120"/>
              <w:jc w:val="left"/>
              <w:rPr/>
            </w:pPr>
            <w:r>
              <w:rPr/>
              <w:t> </w:t>
            </w:r>
          </w:p>
        </w:tc>
        <w:tc>
          <w:tcPr>
            <w:tcW w:w="5084" w:type="dxa"/>
            <w:tcBorders/>
            <w:vAlign w:val="center"/>
          </w:tcPr>
          <w:p>
            <w:pPr>
              <w:pStyle w:val="TableContents"/>
              <w:bidi w:val="0"/>
              <w:spacing w:before="0" w:after="283"/>
              <w:ind w:left="0" w:right="0" w:firstLine="112"/>
              <w:jc w:val="left"/>
              <w:rPr/>
            </w:pPr>
            <w:hyperlink w:anchor="slno-ex32_1.htm">
              <w:r>
                <w:rPr>
                  <w:rStyle w:val="InternetLink"/>
                  <w:rFonts w:ascii="Times New Roman" w:hAnsi="Times New Roman"/>
                  <w:b w:val="false"/>
                  <w:color w:val="0000FF"/>
                  <w:sz w:val="20"/>
                  <w:u w:val="single"/>
                </w:rPr>
                <w:t>Certification of Principal Executive Officer Required Under Rule 13a-14(b) of the Securities and Exchange Act of 1934, as amended, and 18 U.S.C. §1350</w:t>
              </w:r>
            </w:hyperlink>
            <w:hyperlink w:anchor="slno-ex32_1.htm">
              <w:r>
                <w:rPr>
                  <w:rStyle w:val="InternetLink"/>
                  <w:rFonts w:ascii="Times New Roman" w:hAnsi="Times New Roman"/>
                  <w:color w:val="0000FF"/>
                  <w:sz w:val="20"/>
                </w:rPr>
                <w:t xml:space="preserve"> </w:t>
              </w:r>
            </w:hyperlink>
          </w:p>
        </w:tc>
        <w:tc>
          <w:tcPr>
            <w:tcW w:w="146" w:type="dxa"/>
            <w:tcBorders/>
            <w:vAlign w:val="center"/>
          </w:tcPr>
          <w:p>
            <w:pPr>
              <w:pStyle w:val="TableContents"/>
              <w:pBdr/>
              <w:bidi w:val="0"/>
              <w:spacing w:before="0" w:after="283"/>
              <w:ind w:left="101" w:right="0" w:hanging="11"/>
              <w:jc w:val="left"/>
              <w:rPr/>
            </w:pPr>
            <w:r>
              <w:rPr/>
              <w:t> </w:t>
            </w:r>
          </w:p>
        </w:tc>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64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pPr>
            <w:r>
              <w:rPr/>
              <w:t> </w:t>
            </w:r>
          </w:p>
        </w:tc>
        <w:tc>
          <w:tcPr>
            <w:tcW w:w="868" w:type="dxa"/>
            <w:tcBorders/>
            <w:vAlign w:val="center"/>
          </w:tcPr>
          <w:p>
            <w:pPr>
              <w:pStyle w:val="TableContents"/>
              <w:bidi w:val="0"/>
              <w:spacing w:before="0" w:after="283"/>
              <w:ind w:left="0" w:right="0" w:firstLine="200"/>
              <w:jc w:val="center"/>
              <w:rPr>
                <w:rFonts w:ascii="Times New Roman" w:hAnsi="Times New Roman"/>
                <w:b w:val="false"/>
                <w:color w:val="000000"/>
                <w:sz w:val="20"/>
              </w:rPr>
            </w:pPr>
            <w:r>
              <w:rPr>
                <w:rFonts w:ascii="Times New Roman" w:hAnsi="Times New Roman"/>
                <w:b w:val="false"/>
                <w:color w:val="000000"/>
                <w:sz w:val="20"/>
              </w:rPr>
              <w:t>X</w:t>
            </w:r>
          </w:p>
        </w:tc>
      </w:tr>
      <w:tr>
        <w:trPr/>
        <w:tc>
          <w:tcPr>
            <w:tcW w:w="881" w:type="dxa"/>
            <w:tcBorders/>
            <w:vAlign w:val="center"/>
          </w:tcPr>
          <w:p>
            <w:pPr>
              <w:pStyle w:val="TableContents"/>
              <w:bidi w:val="0"/>
              <w:spacing w:before="0" w:after="283"/>
              <w:ind w:left="200" w:right="0" w:firstLine="200"/>
              <w:jc w:val="left"/>
              <w:rPr/>
            </w:pPr>
            <w:r>
              <w:rPr/>
              <w:t> </w:t>
            </w:r>
          </w:p>
        </w:tc>
        <w:tc>
          <w:tcPr>
            <w:tcW w:w="266" w:type="dxa"/>
            <w:tcBorders/>
            <w:vAlign w:val="center"/>
          </w:tcPr>
          <w:p>
            <w:pPr>
              <w:pStyle w:val="TableContents"/>
              <w:bidi w:val="0"/>
              <w:spacing w:before="0" w:after="283"/>
              <w:ind w:left="0" w:right="0" w:firstLine="120"/>
              <w:jc w:val="left"/>
              <w:rPr/>
            </w:pPr>
            <w:r>
              <w:rPr/>
              <w:t> </w:t>
            </w:r>
          </w:p>
        </w:tc>
        <w:tc>
          <w:tcPr>
            <w:tcW w:w="5084" w:type="dxa"/>
            <w:tcBorders/>
            <w:vAlign w:val="center"/>
          </w:tcPr>
          <w:p>
            <w:pPr>
              <w:pStyle w:val="TableContents"/>
              <w:bidi w:val="0"/>
              <w:spacing w:before="0" w:after="283"/>
              <w:ind w:left="0" w:right="0" w:firstLine="112"/>
              <w:jc w:val="left"/>
              <w:rPr/>
            </w:pPr>
            <w:r>
              <w:rPr/>
              <w:t> </w:t>
            </w:r>
          </w:p>
        </w:tc>
        <w:tc>
          <w:tcPr>
            <w:tcW w:w="146" w:type="dxa"/>
            <w:tcBorders/>
            <w:vAlign w:val="center"/>
          </w:tcPr>
          <w:p>
            <w:pPr>
              <w:pStyle w:val="TableContents"/>
              <w:pBdr/>
              <w:bidi w:val="0"/>
              <w:spacing w:before="0" w:after="283"/>
              <w:ind w:left="101" w:right="0" w:hanging="11"/>
              <w:jc w:val="left"/>
              <w:rPr/>
            </w:pPr>
            <w:r>
              <w:rPr/>
              <w:t> </w:t>
            </w:r>
          </w:p>
        </w:tc>
        <w:tc>
          <w:tcPr>
            <w:tcW w:w="9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868" w:type="dxa"/>
            <w:tcBorders/>
            <w:vAlign w:val="center"/>
          </w:tcPr>
          <w:p>
            <w:pPr>
              <w:pStyle w:val="TableContents"/>
              <w:bidi w:val="0"/>
              <w:spacing w:before="0" w:after="283"/>
              <w:ind w:left="0" w:right="0" w:firstLine="200"/>
              <w:jc w:val="center"/>
              <w:rPr/>
            </w:pPr>
            <w:r>
              <w:rPr/>
              <w:t> </w:t>
            </w:r>
          </w:p>
        </w:tc>
      </w:tr>
      <w:tr>
        <w:trPr/>
        <w:tc>
          <w:tcPr>
            <w:tcW w:w="881" w:type="dxa"/>
            <w:tcBorders/>
            <w:vAlign w:val="center"/>
          </w:tcPr>
          <w:p>
            <w:pPr>
              <w:pStyle w:val="TableContents"/>
              <w:bidi w:val="0"/>
              <w:spacing w:before="0" w:after="283"/>
              <w:ind w:left="200" w:right="0" w:firstLine="200"/>
              <w:jc w:val="left"/>
              <w:rPr>
                <w:color w:val="000000"/>
              </w:rPr>
            </w:pPr>
            <w:r>
              <w:rPr>
                <w:color w:val="000000"/>
              </w:rPr>
              <w:t>  </w:t>
            </w:r>
            <w:r>
              <w:rPr>
                <w:rFonts w:ascii="Times New Roman" w:hAnsi="Times New Roman"/>
                <w:b w:val="false"/>
                <w:color w:val="000000"/>
                <w:sz w:val="20"/>
              </w:rPr>
              <w:t>32.2</w:t>
            </w:r>
          </w:p>
        </w:tc>
        <w:tc>
          <w:tcPr>
            <w:tcW w:w="266" w:type="dxa"/>
            <w:tcBorders/>
            <w:vAlign w:val="center"/>
          </w:tcPr>
          <w:p>
            <w:pPr>
              <w:pStyle w:val="TableContents"/>
              <w:bidi w:val="0"/>
              <w:spacing w:before="0" w:after="283"/>
              <w:ind w:left="0" w:right="0" w:firstLine="120"/>
              <w:jc w:val="left"/>
              <w:rPr/>
            </w:pPr>
            <w:r>
              <w:rPr/>
              <w:t> </w:t>
            </w:r>
          </w:p>
        </w:tc>
        <w:tc>
          <w:tcPr>
            <w:tcW w:w="5084" w:type="dxa"/>
            <w:tcBorders/>
            <w:vAlign w:val="center"/>
          </w:tcPr>
          <w:p>
            <w:pPr>
              <w:pStyle w:val="TableContents"/>
              <w:bidi w:val="0"/>
              <w:spacing w:before="0" w:after="283"/>
              <w:ind w:left="0" w:right="0" w:firstLine="112"/>
              <w:jc w:val="left"/>
              <w:rPr/>
            </w:pPr>
            <w:hyperlink w:anchor="slno-ex32_2.htm">
              <w:r>
                <w:rPr>
                  <w:rStyle w:val="InternetLink"/>
                  <w:rFonts w:ascii="Times New Roman" w:hAnsi="Times New Roman"/>
                  <w:b w:val="false"/>
                  <w:color w:val="0000FF"/>
                  <w:sz w:val="20"/>
                  <w:u w:val="single"/>
                </w:rPr>
                <w:t>Certification of Principal Financial and Accounting Officer Required Under Rule 13a-14(b) of the Securities and Exchange Act of 1934, as amended, and 18 U.S.C. §1350</w:t>
              </w:r>
            </w:hyperlink>
            <w:hyperlink w:anchor="slno-ex32_2.htm">
              <w:r>
                <w:rPr>
                  <w:rStyle w:val="InternetLink"/>
                  <w:rFonts w:ascii="Times New Roman" w:hAnsi="Times New Roman"/>
                  <w:color w:val="0000FF"/>
                  <w:sz w:val="20"/>
                </w:rPr>
                <w:t xml:space="preserve"> </w:t>
              </w:r>
            </w:hyperlink>
          </w:p>
        </w:tc>
        <w:tc>
          <w:tcPr>
            <w:tcW w:w="146" w:type="dxa"/>
            <w:tcBorders/>
            <w:vAlign w:val="center"/>
          </w:tcPr>
          <w:p>
            <w:pPr>
              <w:pStyle w:val="TableContents"/>
              <w:pBdr/>
              <w:bidi w:val="0"/>
              <w:spacing w:before="0" w:after="283"/>
              <w:ind w:left="101" w:right="0" w:hanging="11"/>
              <w:jc w:val="left"/>
              <w:rPr/>
            </w:pPr>
            <w:r>
              <w:rPr/>
              <w:t> </w:t>
            </w:r>
          </w:p>
        </w:tc>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64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pPr>
            <w:r>
              <w:rPr/>
              <w:t> </w:t>
            </w:r>
          </w:p>
        </w:tc>
        <w:tc>
          <w:tcPr>
            <w:tcW w:w="868" w:type="dxa"/>
            <w:tcBorders/>
            <w:vAlign w:val="center"/>
          </w:tcPr>
          <w:p>
            <w:pPr>
              <w:pStyle w:val="TableContents"/>
              <w:bidi w:val="0"/>
              <w:spacing w:before="0" w:after="283"/>
              <w:ind w:left="0" w:right="0" w:firstLine="200"/>
              <w:jc w:val="center"/>
              <w:rPr>
                <w:rFonts w:ascii="Times New Roman" w:hAnsi="Times New Roman"/>
                <w:b w:val="false"/>
                <w:color w:val="000000"/>
                <w:sz w:val="20"/>
              </w:rPr>
            </w:pPr>
            <w:r>
              <w:rPr>
                <w:rFonts w:ascii="Times New Roman" w:hAnsi="Times New Roman"/>
                <w:b w:val="false"/>
                <w:color w:val="000000"/>
                <w:sz w:val="20"/>
              </w:rPr>
              <w:t>X</w:t>
            </w:r>
          </w:p>
        </w:tc>
      </w:tr>
      <w:tr>
        <w:trPr/>
        <w:tc>
          <w:tcPr>
            <w:tcW w:w="881" w:type="dxa"/>
            <w:tcBorders/>
            <w:vAlign w:val="center"/>
          </w:tcPr>
          <w:p>
            <w:pPr>
              <w:pStyle w:val="TableContents"/>
              <w:bidi w:val="0"/>
              <w:spacing w:before="0" w:after="283"/>
              <w:ind w:left="200" w:right="0" w:firstLine="200"/>
              <w:jc w:val="left"/>
              <w:rPr/>
            </w:pPr>
            <w:r>
              <w:rPr/>
              <w:t> </w:t>
            </w:r>
          </w:p>
        </w:tc>
        <w:tc>
          <w:tcPr>
            <w:tcW w:w="266" w:type="dxa"/>
            <w:tcBorders/>
            <w:vAlign w:val="center"/>
          </w:tcPr>
          <w:p>
            <w:pPr>
              <w:pStyle w:val="TableContents"/>
              <w:bidi w:val="0"/>
              <w:spacing w:before="0" w:after="283"/>
              <w:ind w:left="0" w:right="0" w:firstLine="120"/>
              <w:jc w:val="left"/>
              <w:rPr/>
            </w:pPr>
            <w:r>
              <w:rPr/>
              <w:t> </w:t>
            </w:r>
          </w:p>
        </w:tc>
        <w:tc>
          <w:tcPr>
            <w:tcW w:w="5084" w:type="dxa"/>
            <w:tcBorders/>
            <w:vAlign w:val="center"/>
          </w:tcPr>
          <w:p>
            <w:pPr>
              <w:pStyle w:val="TableContents"/>
              <w:bidi w:val="0"/>
              <w:spacing w:before="0" w:after="283"/>
              <w:ind w:left="0" w:right="0" w:firstLine="112"/>
              <w:jc w:val="left"/>
              <w:rPr/>
            </w:pPr>
            <w:r>
              <w:rPr/>
              <w:t> </w:t>
            </w:r>
          </w:p>
        </w:tc>
        <w:tc>
          <w:tcPr>
            <w:tcW w:w="146" w:type="dxa"/>
            <w:tcBorders/>
            <w:vAlign w:val="center"/>
          </w:tcPr>
          <w:p>
            <w:pPr>
              <w:pStyle w:val="TableContents"/>
              <w:pBdr/>
              <w:bidi w:val="0"/>
              <w:spacing w:before="0" w:after="283"/>
              <w:ind w:left="101" w:right="0" w:hanging="11"/>
              <w:jc w:val="left"/>
              <w:rPr/>
            </w:pPr>
            <w:r>
              <w:rPr/>
              <w:t> </w:t>
            </w:r>
          </w:p>
        </w:tc>
        <w:tc>
          <w:tcPr>
            <w:tcW w:w="9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868" w:type="dxa"/>
            <w:tcBorders/>
            <w:vAlign w:val="center"/>
          </w:tcPr>
          <w:p>
            <w:pPr>
              <w:pStyle w:val="TableContents"/>
              <w:bidi w:val="0"/>
              <w:spacing w:before="0" w:after="283"/>
              <w:ind w:left="0" w:right="0" w:firstLine="200"/>
              <w:jc w:val="center"/>
              <w:rPr/>
            </w:pPr>
            <w:r>
              <w:rPr/>
              <w:t> </w:t>
            </w:r>
          </w:p>
        </w:tc>
      </w:tr>
      <w:tr>
        <w:trPr/>
        <w:tc>
          <w:tcPr>
            <w:tcW w:w="881" w:type="dxa"/>
            <w:tcBorders/>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101.INS</w:t>
            </w:r>
          </w:p>
        </w:tc>
        <w:tc>
          <w:tcPr>
            <w:tcW w:w="266" w:type="dxa"/>
            <w:tcBorders/>
            <w:vAlign w:val="center"/>
          </w:tcPr>
          <w:p>
            <w:pPr>
              <w:pStyle w:val="TableContents"/>
              <w:bidi w:val="0"/>
              <w:spacing w:before="0" w:after="283"/>
              <w:ind w:left="0" w:right="0" w:firstLine="120"/>
              <w:jc w:val="left"/>
              <w:rPr/>
            </w:pPr>
            <w:r>
              <w:rPr/>
              <w:t> </w:t>
            </w:r>
          </w:p>
        </w:tc>
        <w:tc>
          <w:tcPr>
            <w:tcW w:w="5084" w:type="dxa"/>
            <w:tcBorders/>
            <w:vAlign w:val="center"/>
          </w:tcPr>
          <w:p>
            <w:pPr>
              <w:pStyle w:val="TableContents"/>
              <w:bidi w:val="0"/>
              <w:spacing w:before="0" w:after="283"/>
              <w:ind w:left="0" w:right="0" w:firstLine="112"/>
              <w:jc w:val="left"/>
              <w:rPr>
                <w:rFonts w:ascii="Times New Roman" w:hAnsi="Times New Roman"/>
                <w:b w:val="false"/>
                <w:color w:val="000000"/>
                <w:sz w:val="20"/>
              </w:rPr>
            </w:pPr>
            <w:r>
              <w:rPr>
                <w:rFonts w:ascii="Times New Roman" w:hAnsi="Times New Roman"/>
                <w:b w:val="false"/>
                <w:color w:val="000000"/>
                <w:sz w:val="20"/>
              </w:rPr>
              <w:t>Inline XBRL Instance Document – the instance document does not appear in the Interactive Data File because XBRL tags are embedded within the Inline XBRL document.</w:t>
            </w:r>
          </w:p>
        </w:tc>
        <w:tc>
          <w:tcPr>
            <w:tcW w:w="146" w:type="dxa"/>
            <w:tcBorders/>
            <w:vAlign w:val="center"/>
          </w:tcPr>
          <w:p>
            <w:pPr>
              <w:pStyle w:val="TableContents"/>
              <w:pBdr/>
              <w:bidi w:val="0"/>
              <w:spacing w:before="0" w:after="283"/>
              <w:ind w:left="101" w:right="0" w:hanging="11"/>
              <w:jc w:val="left"/>
              <w:rPr/>
            </w:pPr>
            <w:r>
              <w:rPr/>
              <w:t> </w:t>
            </w:r>
          </w:p>
        </w:tc>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64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pPr>
            <w:r>
              <w:rPr/>
              <w:t> </w:t>
            </w:r>
          </w:p>
        </w:tc>
        <w:tc>
          <w:tcPr>
            <w:tcW w:w="868" w:type="dxa"/>
            <w:tcBorders/>
            <w:vAlign w:val="center"/>
          </w:tcPr>
          <w:p>
            <w:pPr>
              <w:pStyle w:val="TableContents"/>
              <w:bidi w:val="0"/>
              <w:spacing w:before="0" w:after="283"/>
              <w:ind w:left="0" w:right="0" w:firstLine="200"/>
              <w:jc w:val="center"/>
              <w:rPr>
                <w:rFonts w:ascii="Times New Roman" w:hAnsi="Times New Roman"/>
                <w:b w:val="false"/>
                <w:color w:val="000000"/>
                <w:sz w:val="20"/>
              </w:rPr>
            </w:pPr>
            <w:r>
              <w:rPr>
                <w:rFonts w:ascii="Times New Roman" w:hAnsi="Times New Roman"/>
                <w:b w:val="false"/>
                <w:color w:val="000000"/>
                <w:sz w:val="20"/>
              </w:rPr>
              <w:t>X</w:t>
            </w:r>
          </w:p>
        </w:tc>
      </w:tr>
      <w:tr>
        <w:trPr/>
        <w:tc>
          <w:tcPr>
            <w:tcW w:w="881" w:type="dxa"/>
            <w:tcBorders/>
            <w:vAlign w:val="center"/>
          </w:tcPr>
          <w:p>
            <w:pPr>
              <w:pStyle w:val="TableContents"/>
              <w:bidi w:val="0"/>
              <w:spacing w:before="0" w:after="283"/>
              <w:ind w:left="200" w:right="0" w:firstLine="200"/>
              <w:jc w:val="left"/>
              <w:rPr/>
            </w:pPr>
            <w:r>
              <w:rPr/>
              <w:t> </w:t>
            </w:r>
          </w:p>
        </w:tc>
        <w:tc>
          <w:tcPr>
            <w:tcW w:w="266" w:type="dxa"/>
            <w:tcBorders/>
            <w:vAlign w:val="center"/>
          </w:tcPr>
          <w:p>
            <w:pPr>
              <w:pStyle w:val="TableContents"/>
              <w:bidi w:val="0"/>
              <w:spacing w:before="0" w:after="283"/>
              <w:ind w:left="0" w:right="0" w:firstLine="120"/>
              <w:jc w:val="left"/>
              <w:rPr/>
            </w:pPr>
            <w:r>
              <w:rPr/>
              <w:t> </w:t>
            </w:r>
          </w:p>
        </w:tc>
        <w:tc>
          <w:tcPr>
            <w:tcW w:w="5084" w:type="dxa"/>
            <w:tcBorders/>
            <w:vAlign w:val="center"/>
          </w:tcPr>
          <w:p>
            <w:pPr>
              <w:pStyle w:val="TableContents"/>
              <w:bidi w:val="0"/>
              <w:spacing w:before="0" w:after="283"/>
              <w:ind w:left="0" w:right="0" w:firstLine="112"/>
              <w:jc w:val="left"/>
              <w:rPr/>
            </w:pPr>
            <w:r>
              <w:rPr/>
              <w:t> </w:t>
            </w:r>
          </w:p>
        </w:tc>
        <w:tc>
          <w:tcPr>
            <w:tcW w:w="146" w:type="dxa"/>
            <w:tcBorders/>
            <w:vAlign w:val="center"/>
          </w:tcPr>
          <w:p>
            <w:pPr>
              <w:pStyle w:val="TableContents"/>
              <w:pBdr/>
              <w:bidi w:val="0"/>
              <w:spacing w:before="0" w:after="283"/>
              <w:ind w:left="101" w:right="0" w:hanging="11"/>
              <w:jc w:val="left"/>
              <w:rPr/>
            </w:pPr>
            <w:r>
              <w:rPr/>
              <w:t> </w:t>
            </w:r>
          </w:p>
        </w:tc>
        <w:tc>
          <w:tcPr>
            <w:tcW w:w="9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868" w:type="dxa"/>
            <w:tcBorders/>
            <w:vAlign w:val="center"/>
          </w:tcPr>
          <w:p>
            <w:pPr>
              <w:pStyle w:val="TableContents"/>
              <w:bidi w:val="0"/>
              <w:spacing w:before="0" w:after="283"/>
              <w:ind w:left="0" w:right="0" w:firstLine="200"/>
              <w:jc w:val="center"/>
              <w:rPr/>
            </w:pPr>
            <w:r>
              <w:rPr/>
              <w:t> </w:t>
            </w:r>
          </w:p>
        </w:tc>
      </w:tr>
      <w:tr>
        <w:trPr/>
        <w:tc>
          <w:tcPr>
            <w:tcW w:w="881" w:type="dxa"/>
            <w:tcBorders/>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101.SCH</w:t>
            </w:r>
          </w:p>
        </w:tc>
        <w:tc>
          <w:tcPr>
            <w:tcW w:w="266" w:type="dxa"/>
            <w:tcBorders/>
            <w:vAlign w:val="center"/>
          </w:tcPr>
          <w:p>
            <w:pPr>
              <w:pStyle w:val="TableContents"/>
              <w:bidi w:val="0"/>
              <w:spacing w:before="0" w:after="283"/>
              <w:ind w:left="0" w:right="0" w:firstLine="120"/>
              <w:jc w:val="left"/>
              <w:rPr/>
            </w:pPr>
            <w:r>
              <w:rPr/>
              <w:t> </w:t>
            </w:r>
          </w:p>
        </w:tc>
        <w:tc>
          <w:tcPr>
            <w:tcW w:w="5084" w:type="dxa"/>
            <w:tcBorders/>
            <w:vAlign w:val="center"/>
          </w:tcPr>
          <w:p>
            <w:pPr>
              <w:pStyle w:val="TableContents"/>
              <w:bidi w:val="0"/>
              <w:spacing w:before="0" w:after="283"/>
              <w:ind w:left="0" w:right="0" w:firstLine="112"/>
              <w:jc w:val="left"/>
              <w:rPr>
                <w:rFonts w:ascii="Times New Roman" w:hAnsi="Times New Roman"/>
                <w:b w:val="false"/>
                <w:color w:val="000000"/>
                <w:sz w:val="20"/>
              </w:rPr>
            </w:pPr>
            <w:r>
              <w:rPr>
                <w:rFonts w:ascii="Times New Roman" w:hAnsi="Times New Roman"/>
                <w:b w:val="false"/>
                <w:color w:val="000000"/>
                <w:sz w:val="20"/>
              </w:rPr>
              <w:t>Inline XBRL Taxonomy Extension Schema Document.</w:t>
            </w:r>
          </w:p>
        </w:tc>
        <w:tc>
          <w:tcPr>
            <w:tcW w:w="146" w:type="dxa"/>
            <w:tcBorders/>
            <w:vAlign w:val="center"/>
          </w:tcPr>
          <w:p>
            <w:pPr>
              <w:pStyle w:val="TableContents"/>
              <w:pBdr/>
              <w:bidi w:val="0"/>
              <w:spacing w:before="0" w:after="283"/>
              <w:ind w:left="101" w:right="0" w:hanging="11"/>
              <w:jc w:val="left"/>
              <w:rPr/>
            </w:pPr>
            <w:r>
              <w:rPr/>
              <w:t> </w:t>
            </w:r>
          </w:p>
        </w:tc>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64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pPr>
            <w:r>
              <w:rPr/>
              <w:t> </w:t>
            </w:r>
          </w:p>
        </w:tc>
        <w:tc>
          <w:tcPr>
            <w:tcW w:w="868" w:type="dxa"/>
            <w:tcBorders/>
            <w:vAlign w:val="center"/>
          </w:tcPr>
          <w:p>
            <w:pPr>
              <w:pStyle w:val="TableContents"/>
              <w:bidi w:val="0"/>
              <w:spacing w:before="0" w:after="283"/>
              <w:ind w:left="0" w:right="0" w:firstLine="200"/>
              <w:jc w:val="center"/>
              <w:rPr>
                <w:rFonts w:ascii="Times New Roman" w:hAnsi="Times New Roman"/>
                <w:b w:val="false"/>
                <w:color w:val="000000"/>
                <w:sz w:val="20"/>
              </w:rPr>
            </w:pPr>
            <w:r>
              <w:rPr>
                <w:rFonts w:ascii="Times New Roman" w:hAnsi="Times New Roman"/>
                <w:b w:val="false"/>
                <w:color w:val="000000"/>
                <w:sz w:val="20"/>
              </w:rPr>
              <w:t>X</w:t>
            </w:r>
          </w:p>
        </w:tc>
      </w:tr>
      <w:tr>
        <w:trPr/>
        <w:tc>
          <w:tcPr>
            <w:tcW w:w="881" w:type="dxa"/>
            <w:tcBorders/>
            <w:vAlign w:val="center"/>
          </w:tcPr>
          <w:p>
            <w:pPr>
              <w:pStyle w:val="TableContents"/>
              <w:bidi w:val="0"/>
              <w:spacing w:before="0" w:after="283"/>
              <w:ind w:left="200" w:right="0" w:firstLine="200"/>
              <w:jc w:val="left"/>
              <w:rPr/>
            </w:pPr>
            <w:r>
              <w:rPr/>
              <w:t> </w:t>
            </w:r>
          </w:p>
        </w:tc>
        <w:tc>
          <w:tcPr>
            <w:tcW w:w="266" w:type="dxa"/>
            <w:tcBorders/>
            <w:vAlign w:val="center"/>
          </w:tcPr>
          <w:p>
            <w:pPr>
              <w:pStyle w:val="TableContents"/>
              <w:bidi w:val="0"/>
              <w:spacing w:before="0" w:after="283"/>
              <w:ind w:left="0" w:right="0" w:firstLine="120"/>
              <w:jc w:val="left"/>
              <w:rPr/>
            </w:pPr>
            <w:r>
              <w:rPr/>
              <w:t> </w:t>
            </w:r>
          </w:p>
        </w:tc>
        <w:tc>
          <w:tcPr>
            <w:tcW w:w="5084" w:type="dxa"/>
            <w:tcBorders/>
            <w:vAlign w:val="center"/>
          </w:tcPr>
          <w:p>
            <w:pPr>
              <w:pStyle w:val="TableContents"/>
              <w:bidi w:val="0"/>
              <w:spacing w:before="0" w:after="283"/>
              <w:ind w:left="0" w:right="0" w:firstLine="112"/>
              <w:jc w:val="left"/>
              <w:rPr/>
            </w:pPr>
            <w:r>
              <w:rPr/>
              <w:t> </w:t>
            </w:r>
          </w:p>
        </w:tc>
        <w:tc>
          <w:tcPr>
            <w:tcW w:w="146" w:type="dxa"/>
            <w:tcBorders/>
            <w:vAlign w:val="center"/>
          </w:tcPr>
          <w:p>
            <w:pPr>
              <w:pStyle w:val="TableContents"/>
              <w:pBdr/>
              <w:bidi w:val="0"/>
              <w:spacing w:before="0" w:after="283"/>
              <w:ind w:left="101" w:right="0" w:hanging="11"/>
              <w:jc w:val="left"/>
              <w:rPr/>
            </w:pPr>
            <w:r>
              <w:rPr/>
              <w:t> </w:t>
            </w:r>
          </w:p>
        </w:tc>
        <w:tc>
          <w:tcPr>
            <w:tcW w:w="9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868" w:type="dxa"/>
            <w:tcBorders/>
            <w:vAlign w:val="center"/>
          </w:tcPr>
          <w:p>
            <w:pPr>
              <w:pStyle w:val="TableContents"/>
              <w:bidi w:val="0"/>
              <w:spacing w:before="0" w:after="283"/>
              <w:ind w:left="0" w:right="0" w:firstLine="200"/>
              <w:jc w:val="center"/>
              <w:rPr/>
            </w:pPr>
            <w:r>
              <w:rPr/>
              <w:t> </w:t>
            </w:r>
          </w:p>
        </w:tc>
      </w:tr>
      <w:tr>
        <w:trPr/>
        <w:tc>
          <w:tcPr>
            <w:tcW w:w="881" w:type="dxa"/>
            <w:tcBorders/>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101.CAL</w:t>
            </w:r>
          </w:p>
        </w:tc>
        <w:tc>
          <w:tcPr>
            <w:tcW w:w="266" w:type="dxa"/>
            <w:tcBorders/>
            <w:vAlign w:val="center"/>
          </w:tcPr>
          <w:p>
            <w:pPr>
              <w:pStyle w:val="TableContents"/>
              <w:bidi w:val="0"/>
              <w:spacing w:before="0" w:after="283"/>
              <w:ind w:left="0" w:right="0" w:firstLine="120"/>
              <w:jc w:val="left"/>
              <w:rPr/>
            </w:pPr>
            <w:r>
              <w:rPr/>
              <w:t> </w:t>
            </w:r>
          </w:p>
        </w:tc>
        <w:tc>
          <w:tcPr>
            <w:tcW w:w="5084" w:type="dxa"/>
            <w:tcBorders/>
            <w:vAlign w:val="center"/>
          </w:tcPr>
          <w:p>
            <w:pPr>
              <w:pStyle w:val="TableContents"/>
              <w:bidi w:val="0"/>
              <w:spacing w:before="0" w:after="283"/>
              <w:ind w:left="0" w:right="0" w:firstLine="112"/>
              <w:jc w:val="left"/>
              <w:rPr>
                <w:rFonts w:ascii="Times New Roman" w:hAnsi="Times New Roman"/>
                <w:b w:val="false"/>
                <w:color w:val="000000"/>
                <w:sz w:val="20"/>
              </w:rPr>
            </w:pPr>
            <w:r>
              <w:rPr>
                <w:rFonts w:ascii="Times New Roman" w:hAnsi="Times New Roman"/>
                <w:b w:val="false"/>
                <w:color w:val="000000"/>
                <w:sz w:val="20"/>
              </w:rPr>
              <w:t>Inline XBRL Taxonomy Extension Calculation Linkbase Document.</w:t>
            </w:r>
          </w:p>
        </w:tc>
        <w:tc>
          <w:tcPr>
            <w:tcW w:w="146" w:type="dxa"/>
            <w:tcBorders/>
            <w:vAlign w:val="center"/>
          </w:tcPr>
          <w:p>
            <w:pPr>
              <w:pStyle w:val="TableContents"/>
              <w:pBdr/>
              <w:bidi w:val="0"/>
              <w:spacing w:before="0" w:after="283"/>
              <w:ind w:left="101" w:right="0" w:hanging="11"/>
              <w:jc w:val="left"/>
              <w:rPr/>
            </w:pPr>
            <w:r>
              <w:rPr/>
              <w:t> </w:t>
            </w:r>
          </w:p>
        </w:tc>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64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pPr>
            <w:r>
              <w:rPr/>
              <w:t> </w:t>
            </w:r>
          </w:p>
        </w:tc>
        <w:tc>
          <w:tcPr>
            <w:tcW w:w="868" w:type="dxa"/>
            <w:tcBorders/>
            <w:vAlign w:val="center"/>
          </w:tcPr>
          <w:p>
            <w:pPr>
              <w:pStyle w:val="TableContents"/>
              <w:bidi w:val="0"/>
              <w:spacing w:before="0" w:after="283"/>
              <w:ind w:left="0" w:right="0" w:firstLine="200"/>
              <w:jc w:val="center"/>
              <w:rPr>
                <w:rFonts w:ascii="Times New Roman" w:hAnsi="Times New Roman"/>
                <w:b w:val="false"/>
                <w:color w:val="000000"/>
                <w:sz w:val="20"/>
              </w:rPr>
            </w:pPr>
            <w:r>
              <w:rPr>
                <w:rFonts w:ascii="Times New Roman" w:hAnsi="Times New Roman"/>
                <w:b w:val="false"/>
                <w:color w:val="000000"/>
                <w:sz w:val="20"/>
              </w:rPr>
              <w:t>X</w:t>
            </w:r>
          </w:p>
        </w:tc>
      </w:tr>
      <w:tr>
        <w:trPr/>
        <w:tc>
          <w:tcPr>
            <w:tcW w:w="881" w:type="dxa"/>
            <w:tcBorders/>
            <w:vAlign w:val="center"/>
          </w:tcPr>
          <w:p>
            <w:pPr>
              <w:pStyle w:val="TableContents"/>
              <w:bidi w:val="0"/>
              <w:spacing w:before="0" w:after="283"/>
              <w:ind w:left="200" w:right="0" w:firstLine="200"/>
              <w:jc w:val="left"/>
              <w:rPr/>
            </w:pPr>
            <w:r>
              <w:rPr/>
              <w:t> </w:t>
            </w:r>
          </w:p>
        </w:tc>
        <w:tc>
          <w:tcPr>
            <w:tcW w:w="266" w:type="dxa"/>
            <w:tcBorders/>
            <w:vAlign w:val="center"/>
          </w:tcPr>
          <w:p>
            <w:pPr>
              <w:pStyle w:val="TableContents"/>
              <w:bidi w:val="0"/>
              <w:spacing w:before="0" w:after="283"/>
              <w:ind w:left="0" w:right="0" w:firstLine="120"/>
              <w:jc w:val="left"/>
              <w:rPr/>
            </w:pPr>
            <w:r>
              <w:rPr/>
              <w:t> </w:t>
            </w:r>
          </w:p>
        </w:tc>
        <w:tc>
          <w:tcPr>
            <w:tcW w:w="5084" w:type="dxa"/>
            <w:tcBorders/>
            <w:vAlign w:val="center"/>
          </w:tcPr>
          <w:p>
            <w:pPr>
              <w:pStyle w:val="TableContents"/>
              <w:bidi w:val="0"/>
              <w:spacing w:before="0" w:after="283"/>
              <w:ind w:left="0" w:right="0" w:firstLine="112"/>
              <w:jc w:val="left"/>
              <w:rPr/>
            </w:pPr>
            <w:r>
              <w:rPr/>
              <w:t> </w:t>
            </w:r>
          </w:p>
        </w:tc>
        <w:tc>
          <w:tcPr>
            <w:tcW w:w="146" w:type="dxa"/>
            <w:tcBorders/>
            <w:vAlign w:val="center"/>
          </w:tcPr>
          <w:p>
            <w:pPr>
              <w:pStyle w:val="TableContents"/>
              <w:pBdr/>
              <w:bidi w:val="0"/>
              <w:spacing w:before="0" w:after="283"/>
              <w:ind w:left="101" w:right="0" w:hanging="11"/>
              <w:jc w:val="left"/>
              <w:rPr/>
            </w:pPr>
            <w:r>
              <w:rPr/>
              <w:t> </w:t>
            </w:r>
          </w:p>
        </w:tc>
        <w:tc>
          <w:tcPr>
            <w:tcW w:w="9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868" w:type="dxa"/>
            <w:tcBorders/>
            <w:vAlign w:val="center"/>
          </w:tcPr>
          <w:p>
            <w:pPr>
              <w:pStyle w:val="TableContents"/>
              <w:bidi w:val="0"/>
              <w:spacing w:before="0" w:after="283"/>
              <w:ind w:left="0" w:right="0" w:firstLine="200"/>
              <w:jc w:val="center"/>
              <w:rPr/>
            </w:pPr>
            <w:r>
              <w:rPr/>
              <w:t> </w:t>
            </w:r>
          </w:p>
        </w:tc>
      </w:tr>
      <w:tr>
        <w:trPr/>
        <w:tc>
          <w:tcPr>
            <w:tcW w:w="881" w:type="dxa"/>
            <w:tcBorders/>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101.DEF</w:t>
            </w:r>
          </w:p>
        </w:tc>
        <w:tc>
          <w:tcPr>
            <w:tcW w:w="266" w:type="dxa"/>
            <w:tcBorders/>
            <w:vAlign w:val="center"/>
          </w:tcPr>
          <w:p>
            <w:pPr>
              <w:pStyle w:val="TableContents"/>
              <w:bidi w:val="0"/>
              <w:spacing w:before="0" w:after="283"/>
              <w:ind w:left="0" w:right="0" w:firstLine="120"/>
              <w:jc w:val="left"/>
              <w:rPr/>
            </w:pPr>
            <w:r>
              <w:rPr/>
              <w:t> </w:t>
            </w:r>
          </w:p>
        </w:tc>
        <w:tc>
          <w:tcPr>
            <w:tcW w:w="5084" w:type="dxa"/>
            <w:tcBorders/>
            <w:vAlign w:val="center"/>
          </w:tcPr>
          <w:p>
            <w:pPr>
              <w:pStyle w:val="TableContents"/>
              <w:bidi w:val="0"/>
              <w:spacing w:before="0" w:after="283"/>
              <w:ind w:left="0" w:right="0" w:firstLine="112"/>
              <w:jc w:val="left"/>
              <w:rPr>
                <w:rFonts w:ascii="Times New Roman" w:hAnsi="Times New Roman"/>
                <w:b w:val="false"/>
                <w:color w:val="000000"/>
                <w:sz w:val="20"/>
              </w:rPr>
            </w:pPr>
            <w:r>
              <w:rPr>
                <w:rFonts w:ascii="Times New Roman" w:hAnsi="Times New Roman"/>
                <w:b w:val="false"/>
                <w:color w:val="000000"/>
                <w:sz w:val="20"/>
              </w:rPr>
              <w:t>Inline XBRL Taxonomy Extension Definition Linkbase Document.</w:t>
            </w:r>
          </w:p>
        </w:tc>
        <w:tc>
          <w:tcPr>
            <w:tcW w:w="146" w:type="dxa"/>
            <w:tcBorders/>
            <w:vAlign w:val="center"/>
          </w:tcPr>
          <w:p>
            <w:pPr>
              <w:pStyle w:val="TableContents"/>
              <w:pBdr/>
              <w:bidi w:val="0"/>
              <w:spacing w:before="0" w:after="283"/>
              <w:ind w:left="101" w:right="0" w:hanging="11"/>
              <w:jc w:val="left"/>
              <w:rPr/>
            </w:pPr>
            <w:r>
              <w:rPr/>
              <w:t> </w:t>
            </w:r>
          </w:p>
        </w:tc>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64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pPr>
            <w:r>
              <w:rPr/>
              <w:t> </w:t>
            </w:r>
          </w:p>
        </w:tc>
        <w:tc>
          <w:tcPr>
            <w:tcW w:w="868" w:type="dxa"/>
            <w:tcBorders/>
            <w:vAlign w:val="center"/>
          </w:tcPr>
          <w:p>
            <w:pPr>
              <w:pStyle w:val="TableContents"/>
              <w:bidi w:val="0"/>
              <w:spacing w:before="0" w:after="283"/>
              <w:ind w:left="0" w:right="0" w:firstLine="200"/>
              <w:jc w:val="center"/>
              <w:rPr>
                <w:rFonts w:ascii="Times New Roman" w:hAnsi="Times New Roman"/>
                <w:b w:val="false"/>
                <w:color w:val="000000"/>
                <w:sz w:val="20"/>
              </w:rPr>
            </w:pPr>
            <w:r>
              <w:rPr>
                <w:rFonts w:ascii="Times New Roman" w:hAnsi="Times New Roman"/>
                <w:b w:val="false"/>
                <w:color w:val="000000"/>
                <w:sz w:val="20"/>
              </w:rPr>
              <w:t>X</w:t>
            </w:r>
          </w:p>
        </w:tc>
      </w:tr>
      <w:tr>
        <w:trPr/>
        <w:tc>
          <w:tcPr>
            <w:tcW w:w="881" w:type="dxa"/>
            <w:tcBorders/>
            <w:vAlign w:val="center"/>
          </w:tcPr>
          <w:p>
            <w:pPr>
              <w:pStyle w:val="TableContents"/>
              <w:bidi w:val="0"/>
              <w:spacing w:before="0" w:after="283"/>
              <w:ind w:left="200" w:right="0" w:firstLine="200"/>
              <w:jc w:val="left"/>
              <w:rPr/>
            </w:pPr>
            <w:r>
              <w:rPr/>
              <w:t> </w:t>
            </w:r>
          </w:p>
        </w:tc>
        <w:tc>
          <w:tcPr>
            <w:tcW w:w="266" w:type="dxa"/>
            <w:tcBorders/>
            <w:vAlign w:val="center"/>
          </w:tcPr>
          <w:p>
            <w:pPr>
              <w:pStyle w:val="TableContents"/>
              <w:bidi w:val="0"/>
              <w:spacing w:before="0" w:after="283"/>
              <w:ind w:left="0" w:right="0" w:firstLine="120"/>
              <w:jc w:val="left"/>
              <w:rPr/>
            </w:pPr>
            <w:r>
              <w:rPr/>
              <w:t> </w:t>
            </w:r>
          </w:p>
        </w:tc>
        <w:tc>
          <w:tcPr>
            <w:tcW w:w="5084" w:type="dxa"/>
            <w:tcBorders/>
            <w:vAlign w:val="center"/>
          </w:tcPr>
          <w:p>
            <w:pPr>
              <w:pStyle w:val="TableContents"/>
              <w:bidi w:val="0"/>
              <w:spacing w:before="0" w:after="283"/>
              <w:ind w:left="0" w:right="0" w:firstLine="112"/>
              <w:jc w:val="left"/>
              <w:rPr/>
            </w:pPr>
            <w:r>
              <w:rPr/>
              <w:t> </w:t>
            </w:r>
          </w:p>
        </w:tc>
        <w:tc>
          <w:tcPr>
            <w:tcW w:w="146" w:type="dxa"/>
            <w:tcBorders/>
            <w:vAlign w:val="center"/>
          </w:tcPr>
          <w:p>
            <w:pPr>
              <w:pStyle w:val="TableContents"/>
              <w:pBdr/>
              <w:bidi w:val="0"/>
              <w:spacing w:before="0" w:after="283"/>
              <w:ind w:left="101" w:right="0" w:hanging="11"/>
              <w:jc w:val="left"/>
              <w:rPr/>
            </w:pPr>
            <w:r>
              <w:rPr/>
              <w:t> </w:t>
            </w:r>
          </w:p>
        </w:tc>
        <w:tc>
          <w:tcPr>
            <w:tcW w:w="9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868" w:type="dxa"/>
            <w:tcBorders/>
            <w:vAlign w:val="center"/>
          </w:tcPr>
          <w:p>
            <w:pPr>
              <w:pStyle w:val="TableContents"/>
              <w:bidi w:val="0"/>
              <w:spacing w:before="0" w:after="283"/>
              <w:ind w:left="0" w:right="0" w:firstLine="200"/>
              <w:jc w:val="center"/>
              <w:rPr/>
            </w:pPr>
            <w:r>
              <w:rPr/>
              <w:t> </w:t>
            </w:r>
          </w:p>
        </w:tc>
      </w:tr>
      <w:tr>
        <w:trPr/>
        <w:tc>
          <w:tcPr>
            <w:tcW w:w="881" w:type="dxa"/>
            <w:tcBorders/>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101.LAB</w:t>
            </w:r>
          </w:p>
        </w:tc>
        <w:tc>
          <w:tcPr>
            <w:tcW w:w="266" w:type="dxa"/>
            <w:tcBorders/>
            <w:vAlign w:val="center"/>
          </w:tcPr>
          <w:p>
            <w:pPr>
              <w:pStyle w:val="TableContents"/>
              <w:bidi w:val="0"/>
              <w:spacing w:before="0" w:after="283"/>
              <w:ind w:left="0" w:right="0" w:firstLine="120"/>
              <w:jc w:val="left"/>
              <w:rPr/>
            </w:pPr>
            <w:r>
              <w:rPr/>
              <w:t> </w:t>
            </w:r>
          </w:p>
        </w:tc>
        <w:tc>
          <w:tcPr>
            <w:tcW w:w="5084" w:type="dxa"/>
            <w:tcBorders/>
            <w:vAlign w:val="center"/>
          </w:tcPr>
          <w:p>
            <w:pPr>
              <w:pStyle w:val="TableContents"/>
              <w:bidi w:val="0"/>
              <w:spacing w:before="0" w:after="283"/>
              <w:ind w:left="0" w:right="0" w:firstLine="112"/>
              <w:jc w:val="left"/>
              <w:rPr>
                <w:rFonts w:ascii="Times New Roman" w:hAnsi="Times New Roman"/>
                <w:b w:val="false"/>
                <w:color w:val="000000"/>
                <w:sz w:val="20"/>
              </w:rPr>
            </w:pPr>
            <w:r>
              <w:rPr>
                <w:rFonts w:ascii="Times New Roman" w:hAnsi="Times New Roman"/>
                <w:b w:val="false"/>
                <w:color w:val="000000"/>
                <w:sz w:val="20"/>
              </w:rPr>
              <w:t>Inline XBRL Taxonomy Extension Label Linkbase Document.</w:t>
            </w:r>
          </w:p>
        </w:tc>
        <w:tc>
          <w:tcPr>
            <w:tcW w:w="146" w:type="dxa"/>
            <w:tcBorders/>
            <w:vAlign w:val="center"/>
          </w:tcPr>
          <w:p>
            <w:pPr>
              <w:pStyle w:val="TableContents"/>
              <w:pBdr/>
              <w:bidi w:val="0"/>
              <w:spacing w:before="0" w:after="283"/>
              <w:ind w:left="101" w:right="0" w:hanging="11"/>
              <w:jc w:val="left"/>
              <w:rPr/>
            </w:pPr>
            <w:r>
              <w:rPr/>
              <w:t> </w:t>
            </w:r>
          </w:p>
        </w:tc>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64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pPr>
            <w:r>
              <w:rPr/>
              <w:t> </w:t>
            </w:r>
          </w:p>
        </w:tc>
        <w:tc>
          <w:tcPr>
            <w:tcW w:w="868" w:type="dxa"/>
            <w:tcBorders/>
            <w:vAlign w:val="center"/>
          </w:tcPr>
          <w:p>
            <w:pPr>
              <w:pStyle w:val="TableContents"/>
              <w:bidi w:val="0"/>
              <w:spacing w:before="0" w:after="283"/>
              <w:ind w:left="0" w:right="0" w:firstLine="200"/>
              <w:jc w:val="center"/>
              <w:rPr>
                <w:rFonts w:ascii="Times New Roman" w:hAnsi="Times New Roman"/>
                <w:b w:val="false"/>
                <w:color w:val="000000"/>
                <w:sz w:val="20"/>
              </w:rPr>
            </w:pPr>
            <w:r>
              <w:rPr>
                <w:rFonts w:ascii="Times New Roman" w:hAnsi="Times New Roman"/>
                <w:b w:val="false"/>
                <w:color w:val="000000"/>
                <w:sz w:val="20"/>
              </w:rPr>
              <w:t>X</w:t>
            </w:r>
          </w:p>
        </w:tc>
      </w:tr>
      <w:tr>
        <w:trPr/>
        <w:tc>
          <w:tcPr>
            <w:tcW w:w="881" w:type="dxa"/>
            <w:tcBorders/>
            <w:vAlign w:val="center"/>
          </w:tcPr>
          <w:p>
            <w:pPr>
              <w:pStyle w:val="TableContents"/>
              <w:bidi w:val="0"/>
              <w:spacing w:before="0" w:after="283"/>
              <w:ind w:left="200" w:right="0" w:firstLine="200"/>
              <w:jc w:val="left"/>
              <w:rPr/>
            </w:pPr>
            <w:r>
              <w:rPr/>
              <w:t> </w:t>
            </w:r>
          </w:p>
        </w:tc>
        <w:tc>
          <w:tcPr>
            <w:tcW w:w="266" w:type="dxa"/>
            <w:tcBorders/>
            <w:vAlign w:val="center"/>
          </w:tcPr>
          <w:p>
            <w:pPr>
              <w:pStyle w:val="TableContents"/>
              <w:bidi w:val="0"/>
              <w:spacing w:before="0" w:after="283"/>
              <w:ind w:left="0" w:right="0" w:firstLine="120"/>
              <w:jc w:val="left"/>
              <w:rPr/>
            </w:pPr>
            <w:r>
              <w:rPr/>
              <w:t> </w:t>
            </w:r>
          </w:p>
        </w:tc>
        <w:tc>
          <w:tcPr>
            <w:tcW w:w="5084" w:type="dxa"/>
            <w:tcBorders/>
            <w:vAlign w:val="center"/>
          </w:tcPr>
          <w:p>
            <w:pPr>
              <w:pStyle w:val="TableContents"/>
              <w:bidi w:val="0"/>
              <w:spacing w:before="0" w:after="283"/>
              <w:ind w:left="0" w:right="0" w:firstLine="112"/>
              <w:jc w:val="left"/>
              <w:rPr/>
            </w:pPr>
            <w:r>
              <w:rPr/>
              <w:t> </w:t>
            </w:r>
          </w:p>
        </w:tc>
        <w:tc>
          <w:tcPr>
            <w:tcW w:w="146" w:type="dxa"/>
            <w:tcBorders/>
            <w:vAlign w:val="center"/>
          </w:tcPr>
          <w:p>
            <w:pPr>
              <w:pStyle w:val="TableContents"/>
              <w:pBdr/>
              <w:bidi w:val="0"/>
              <w:spacing w:before="0" w:after="283"/>
              <w:ind w:left="101" w:right="0" w:hanging="11"/>
              <w:jc w:val="left"/>
              <w:rPr/>
            </w:pPr>
            <w:r>
              <w:rPr/>
              <w:t> </w:t>
            </w:r>
          </w:p>
        </w:tc>
        <w:tc>
          <w:tcPr>
            <w:tcW w:w="9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868" w:type="dxa"/>
            <w:tcBorders/>
            <w:vAlign w:val="center"/>
          </w:tcPr>
          <w:p>
            <w:pPr>
              <w:pStyle w:val="TableContents"/>
              <w:bidi w:val="0"/>
              <w:spacing w:before="0" w:after="283"/>
              <w:ind w:left="0" w:right="0" w:firstLine="200"/>
              <w:jc w:val="center"/>
              <w:rPr/>
            </w:pPr>
            <w:r>
              <w:rPr/>
              <w:t> </w:t>
            </w:r>
          </w:p>
        </w:tc>
      </w:tr>
      <w:tr>
        <w:trPr/>
        <w:tc>
          <w:tcPr>
            <w:tcW w:w="881" w:type="dxa"/>
            <w:tcBorders/>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101.PRE</w:t>
            </w:r>
          </w:p>
        </w:tc>
        <w:tc>
          <w:tcPr>
            <w:tcW w:w="266" w:type="dxa"/>
            <w:tcBorders/>
            <w:vAlign w:val="center"/>
          </w:tcPr>
          <w:p>
            <w:pPr>
              <w:pStyle w:val="TableContents"/>
              <w:bidi w:val="0"/>
              <w:spacing w:before="0" w:after="283"/>
              <w:ind w:left="0" w:right="0" w:firstLine="120"/>
              <w:jc w:val="left"/>
              <w:rPr/>
            </w:pPr>
            <w:r>
              <w:rPr/>
              <w:t> </w:t>
            </w:r>
          </w:p>
        </w:tc>
        <w:tc>
          <w:tcPr>
            <w:tcW w:w="5084" w:type="dxa"/>
            <w:tcBorders/>
            <w:vAlign w:val="center"/>
          </w:tcPr>
          <w:p>
            <w:pPr>
              <w:pStyle w:val="TableContents"/>
              <w:bidi w:val="0"/>
              <w:ind w:left="120" w:right="0" w:firstLine="120"/>
              <w:jc w:val="left"/>
              <w:rPr>
                <w:rFonts w:ascii="Times New Roman" w:hAnsi="Times New Roman"/>
                <w:b w:val="false"/>
                <w:color w:val="000000"/>
                <w:sz w:val="20"/>
              </w:rPr>
            </w:pPr>
            <w:r>
              <w:rPr>
                <w:rFonts w:ascii="Times New Roman" w:hAnsi="Times New Roman"/>
                <w:b w:val="false"/>
                <w:color w:val="000000"/>
                <w:sz w:val="20"/>
              </w:rPr>
              <w:t>Inline XBRL Taxonomy Extension Presentation Linkbase Document.</w:t>
            </w:r>
          </w:p>
          <w:p>
            <w:pPr>
              <w:pStyle w:val="TableContents"/>
              <w:bidi w:val="0"/>
              <w:ind w:left="120" w:right="0" w:firstLine="120"/>
              <w:jc w:val="left"/>
              <w:rPr/>
            </w:pPr>
            <w:r>
              <w:rPr/>
              <w:t> </w:t>
            </w:r>
          </w:p>
          <w:p>
            <w:pPr>
              <w:pStyle w:val="TableContents"/>
              <w:bidi w:val="0"/>
              <w:spacing w:before="0" w:after="283"/>
              <w:ind w:left="0" w:right="0" w:firstLine="112"/>
              <w:jc w:val="left"/>
              <w:rPr/>
            </w:pPr>
            <w:r>
              <w:rPr/>
              <w:t> </w:t>
            </w:r>
          </w:p>
        </w:tc>
        <w:tc>
          <w:tcPr>
            <w:tcW w:w="146" w:type="dxa"/>
            <w:tcBorders/>
            <w:vAlign w:val="center"/>
          </w:tcPr>
          <w:p>
            <w:pPr>
              <w:pStyle w:val="TableContents"/>
              <w:pBdr/>
              <w:bidi w:val="0"/>
              <w:spacing w:before="0" w:after="283"/>
              <w:ind w:left="101" w:right="0" w:hanging="11"/>
              <w:jc w:val="left"/>
              <w:rPr/>
            </w:pPr>
            <w:r>
              <w:rPr/>
              <w:t> </w:t>
            </w:r>
          </w:p>
        </w:tc>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64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pPr>
            <w:r>
              <w:rPr/>
              <w:t> </w:t>
            </w:r>
          </w:p>
        </w:tc>
        <w:tc>
          <w:tcPr>
            <w:tcW w:w="868" w:type="dxa"/>
            <w:tcBorders/>
            <w:vAlign w:val="center"/>
          </w:tcPr>
          <w:p>
            <w:pPr>
              <w:pStyle w:val="TableContents"/>
              <w:bidi w:val="0"/>
              <w:spacing w:before="0" w:after="283"/>
              <w:ind w:left="0" w:right="0" w:firstLine="200"/>
              <w:jc w:val="center"/>
              <w:rPr>
                <w:rFonts w:ascii="Times New Roman" w:hAnsi="Times New Roman"/>
                <w:b w:val="false"/>
                <w:color w:val="000000"/>
                <w:sz w:val="20"/>
              </w:rPr>
            </w:pPr>
            <w:r>
              <w:rPr>
                <w:rFonts w:ascii="Times New Roman" w:hAnsi="Times New Roman"/>
                <w:b w:val="false"/>
                <w:color w:val="000000"/>
                <w:sz w:val="20"/>
              </w:rPr>
              <w:t>X</w:t>
            </w:r>
          </w:p>
        </w:tc>
      </w:tr>
      <w:tr>
        <w:trPr/>
        <w:tc>
          <w:tcPr>
            <w:tcW w:w="881" w:type="dxa"/>
            <w:tcBorders/>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104</w:t>
            </w:r>
          </w:p>
        </w:tc>
        <w:tc>
          <w:tcPr>
            <w:tcW w:w="266" w:type="dxa"/>
            <w:tcBorders/>
            <w:vAlign w:val="center"/>
          </w:tcPr>
          <w:p>
            <w:pPr>
              <w:pStyle w:val="TableContents"/>
              <w:bidi w:val="0"/>
              <w:spacing w:before="0" w:after="283"/>
              <w:ind w:left="0" w:right="0" w:firstLine="120"/>
              <w:jc w:val="left"/>
              <w:rPr/>
            </w:pPr>
            <w:r>
              <w:rPr/>
              <w:t> </w:t>
            </w:r>
          </w:p>
        </w:tc>
        <w:tc>
          <w:tcPr>
            <w:tcW w:w="5084" w:type="dxa"/>
            <w:tcBorders/>
            <w:vAlign w:val="center"/>
          </w:tcPr>
          <w:p>
            <w:pPr>
              <w:pStyle w:val="TableContents"/>
              <w:bidi w:val="0"/>
              <w:ind w:left="120" w:right="0" w:firstLine="120"/>
              <w:jc w:val="left"/>
              <w:rPr>
                <w:rFonts w:ascii="Times New Roman" w:hAnsi="Times New Roman"/>
                <w:b w:val="false"/>
                <w:color w:val="000000"/>
                <w:sz w:val="20"/>
              </w:rPr>
            </w:pPr>
            <w:r>
              <w:rPr>
                <w:rFonts w:ascii="Times New Roman" w:hAnsi="Times New Roman"/>
                <w:b w:val="false"/>
                <w:color w:val="000000"/>
                <w:sz w:val="20"/>
              </w:rPr>
              <w:t>Cover Page Interactive Data File (embedded within the Inline XBRL document).</w:t>
            </w:r>
          </w:p>
          <w:p>
            <w:pPr>
              <w:pStyle w:val="TableContents"/>
              <w:bidi w:val="0"/>
              <w:spacing w:before="0" w:after="283"/>
              <w:ind w:left="0" w:right="0" w:firstLine="112"/>
              <w:jc w:val="left"/>
              <w:rPr/>
            </w:pPr>
            <w:r>
              <w:rPr/>
              <w:t> </w:t>
            </w:r>
          </w:p>
        </w:tc>
        <w:tc>
          <w:tcPr>
            <w:tcW w:w="146" w:type="dxa"/>
            <w:tcBorders/>
            <w:vAlign w:val="center"/>
          </w:tcPr>
          <w:p>
            <w:pPr>
              <w:pStyle w:val="TableContents"/>
              <w:pBdr/>
              <w:bidi w:val="0"/>
              <w:spacing w:before="0" w:after="283"/>
              <w:ind w:left="101" w:right="0" w:hanging="11"/>
              <w:jc w:val="left"/>
              <w:rPr/>
            </w:pPr>
            <w:r>
              <w:rPr/>
              <w:t> </w:t>
            </w:r>
          </w:p>
        </w:tc>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64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pPr>
            <w:r>
              <w:rPr/>
              <w:t> </w:t>
            </w:r>
          </w:p>
        </w:tc>
        <w:tc>
          <w:tcPr>
            <w:tcW w:w="868"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X</w:t>
            </w:r>
          </w:p>
        </w:tc>
      </w:tr>
    </w:tbl>
    <w:p>
      <w:pPr>
        <w:pStyle w:val="TextBody"/>
        <w:bidi w:val="0"/>
        <w:jc w:val="left"/>
        <w:rPr/>
      </w:pPr>
      <w:r>
        <w:rPr/>
        <w:t> </w:t>
      </w:r>
    </w:p>
    <w:p>
      <w:pPr>
        <w:pStyle w:val="TextBody"/>
        <w:bidi w:val="0"/>
        <w:jc w:val="center"/>
        <w:rPr>
          <w:rFonts w:ascii="Times New Roman" w:hAnsi="Times New Roman"/>
          <w:b/>
          <w:color w:val="000000"/>
          <w:sz w:val="20"/>
        </w:rPr>
      </w:pPr>
      <w:bookmarkStart w:id="22" w:name="signatures"/>
      <w:bookmarkEnd w:id="22"/>
      <w:r>
        <w:rPr>
          <w:rFonts w:ascii="Times New Roman" w:hAnsi="Times New Roman"/>
          <w:b/>
          <w:color w:val="000000"/>
          <w:sz w:val="20"/>
        </w:rPr>
        <w:t>SIGNATURES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Pursuant to the requirements of the Securities Exchange Act of 1934, the registrant has duly caused this report to be signed on its behalf by the undersigned, thereunto duly authorized.</w:t>
      </w:r>
      <w:r>
        <w:rPr>
          <w:rFonts w:ascii="Times New Roman" w:hAnsi="Times New Roman"/>
          <w:color w:val="000000"/>
          <w:sz w:val="20"/>
        </w:rPr>
        <w:t xml:space="preserve"> </w:t>
      </w:r>
    </w:p>
    <w:p>
      <w:pPr>
        <w:pStyle w:val="TextBody"/>
        <w:bidi w:val="0"/>
        <w:jc w:val="left"/>
        <w:rPr/>
      </w:pPr>
      <w:r>
        <w:rPr/>
        <w:t> </w:t>
      </w:r>
    </w:p>
    <w:tbl>
      <w:tblPr>
        <w:tblW w:w="6618" w:type="dxa"/>
        <w:jc w:val="left"/>
        <w:tblInd w:w="0" w:type="dxa"/>
        <w:tblLayout w:type="fixed"/>
        <w:tblCellMar>
          <w:top w:w="28" w:type="dxa"/>
          <w:left w:w="28" w:type="dxa"/>
          <w:bottom w:w="28" w:type="dxa"/>
          <w:right w:w="28" w:type="dxa"/>
        </w:tblCellMar>
      </w:tblPr>
      <w:tblGrid>
        <w:gridCol w:w="2101"/>
        <w:gridCol w:w="406"/>
        <w:gridCol w:w="4111"/>
      </w:tblGrid>
      <w:tr>
        <w:trPr/>
        <w:tc>
          <w:tcPr>
            <w:tcW w:w="210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111" w:type="dxa"/>
            <w:tcBorders/>
            <w:vAlign w:val="center"/>
          </w:tcPr>
          <w:p>
            <w:pPr>
              <w:pStyle w:val="TableContents"/>
              <w:bidi w:val="0"/>
              <w:spacing w:before="0" w:after="283"/>
              <w:jc w:val="left"/>
              <w:rPr>
                <w:sz w:val="4"/>
                <w:szCs w:val="4"/>
              </w:rPr>
            </w:pPr>
            <w:r>
              <w:rPr>
                <w:sz w:val="4"/>
                <w:szCs w:val="4"/>
              </w:rPr>
            </w:r>
          </w:p>
        </w:tc>
      </w:tr>
      <w:tr>
        <w:trPr/>
        <w:tc>
          <w:tcPr>
            <w:tcW w:w="210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7, 2023</w:t>
            </w:r>
          </w:p>
        </w:tc>
        <w:tc>
          <w:tcPr>
            <w:tcW w:w="4517" w:type="dxa"/>
            <w:gridSpan w:val="2"/>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SOLENO THERAPEUTICS, INC.</w:t>
            </w:r>
          </w:p>
        </w:tc>
      </w:tr>
      <w:tr>
        <w:trPr/>
        <w:tc>
          <w:tcPr>
            <w:tcW w:w="2101"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4111" w:type="dxa"/>
            <w:tcBorders/>
            <w:vAlign w:val="center"/>
          </w:tcPr>
          <w:p>
            <w:pPr>
              <w:pStyle w:val="TableContents"/>
              <w:bidi w:val="0"/>
              <w:spacing w:before="0" w:after="283"/>
              <w:jc w:val="left"/>
              <w:rPr/>
            </w:pPr>
            <w:r>
              <w:rPr/>
              <w:t> </w:t>
            </w:r>
          </w:p>
        </w:tc>
      </w:tr>
      <w:tr>
        <w:trPr/>
        <w:tc>
          <w:tcPr>
            <w:tcW w:w="210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41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 James Mackaness</w:t>
            </w:r>
          </w:p>
        </w:tc>
      </w:tr>
      <w:tr>
        <w:trPr/>
        <w:tc>
          <w:tcPr>
            <w:tcW w:w="210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111" w:type="dxa"/>
            <w:tcBorders/>
            <w:vAlign w:val="center"/>
          </w:tcPr>
          <w:p>
            <w:pPr>
              <w:pStyle w:val="TableContents"/>
              <w:bidi w:val="0"/>
              <w:jc w:val="left"/>
              <w:rPr>
                <w:rFonts w:ascii="Times New Roman" w:hAnsi="Times New Roman"/>
                <w:b w:val="false"/>
                <w:color w:val="000000"/>
                <w:sz w:val="20"/>
              </w:rPr>
            </w:pPr>
            <w:r>
              <w:rPr>
                <w:rFonts w:ascii="Times New Roman" w:hAnsi="Times New Roman"/>
                <w:b w:val="false"/>
                <w:color w:val="000000"/>
                <w:sz w:val="20"/>
              </w:rPr>
              <w:t>James Mackaness</w:t>
            </w:r>
          </w:p>
          <w:p>
            <w:pPr>
              <w:pStyle w:val="TableContents"/>
              <w:bidi w:val="0"/>
              <w:jc w:val="left"/>
              <w:rPr>
                <w:rFonts w:ascii="Times New Roman" w:hAnsi="Times New Roman"/>
                <w:b w:val="false"/>
                <w:color w:val="000000"/>
                <w:sz w:val="20"/>
              </w:rPr>
            </w:pPr>
            <w:r>
              <w:rPr>
                <w:rFonts w:ascii="Times New Roman" w:hAnsi="Times New Roman"/>
                <w:b w:val="false"/>
                <w:color w:val="000000"/>
                <w:sz w:val="20"/>
              </w:rPr>
              <w:t>Chief Financial Officer</w:t>
            </w:r>
          </w:p>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(authorized officer and principal financial and </w:t>
              <w:br/>
              <w:t>accounting officer)</w:t>
            </w:r>
          </w:p>
        </w:tc>
      </w:tr>
    </w:tbl>
    <w:p>
      <w:pPr>
        <w:pStyle w:val="TextBody"/>
        <w:bidi w:val="0"/>
        <w:jc w:val="left"/>
        <w:rPr/>
      </w:pPr>
      <w:r>
        <w:rPr/>
        <w:t>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bookmarkStart w:id="23" w:name="slno-ex31_1.htm"/>
      <w:bookmarkStart w:id="24" w:name="ksslnoex31_1"/>
      <w:bookmarkEnd w:id="23"/>
      <w:bookmarkEnd w:id="24"/>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31.1</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OF THE CHIEF EXECUTIVE OFFICER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SECURITIES EXCHANGE ACT RULES 13A-14(A) AND 15D-14(A)</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 Anish Bhatnagar, M.D., certify that: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1. I have reviewed this quarterly report on Form 10-Q of Soleno Therapeutics, Inc.;</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(b) Any fraud, whether or not material, that involves management or other employees who have a significant role in the registrant’s internal control over financial reporting.</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Date: November 7, 2023</w:t>
      </w:r>
    </w:p>
    <w:p>
      <w:pPr>
        <w:pStyle w:val="TextBody"/>
        <w:bidi w:val="0"/>
        <w:jc w:val="left"/>
        <w:rPr/>
      </w:pPr>
      <w:r>
        <w:rPr/>
        <w:t> </w:t>
      </w:r>
    </w:p>
    <w:tbl>
      <w:tblPr>
        <w:tblW w:w="2926" w:type="dxa"/>
        <w:jc w:val="left"/>
        <w:tblInd w:w="0" w:type="dxa"/>
        <w:tblLayout w:type="fixed"/>
        <w:tblCellMar>
          <w:top w:w="28" w:type="dxa"/>
          <w:left w:w="28" w:type="dxa"/>
          <w:bottom w:w="28" w:type="dxa"/>
          <w:right w:w="28" w:type="dxa"/>
        </w:tblCellMar>
      </w:tblPr>
      <w:tblGrid>
        <w:gridCol w:w="2926"/>
      </w:tblGrid>
      <w:tr>
        <w:trPr/>
        <w:tc>
          <w:tcPr>
            <w:tcW w:w="2926" w:type="dxa"/>
            <w:tcBorders/>
            <w:vAlign w:val="center"/>
          </w:tcPr>
          <w:p>
            <w:pPr>
              <w:pStyle w:val="TableContents"/>
              <w:bidi w:val="0"/>
              <w:spacing w:before="0" w:after="283"/>
              <w:jc w:val="left"/>
              <w:rPr>
                <w:sz w:val="4"/>
                <w:szCs w:val="4"/>
              </w:rPr>
            </w:pPr>
            <w:r>
              <w:rPr>
                <w:sz w:val="4"/>
                <w:szCs w:val="4"/>
              </w:rPr>
            </w:r>
          </w:p>
        </w:tc>
      </w:tr>
      <w:tr>
        <w:trPr/>
        <w:tc>
          <w:tcPr>
            <w:tcW w:w="29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 Anish Bhatnagar</w:t>
            </w:r>
          </w:p>
        </w:tc>
      </w:tr>
      <w:tr>
        <w:trPr/>
        <w:tc>
          <w:tcPr>
            <w:tcW w:w="292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Anish Bhatnagar</w:t>
            </w:r>
          </w:p>
        </w:tc>
      </w:tr>
      <w:tr>
        <w:trPr/>
        <w:tc>
          <w:tcPr>
            <w:tcW w:w="292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President, Chief Executive Officer</w:t>
            </w:r>
          </w:p>
        </w:tc>
      </w:tr>
      <w:tr>
        <w:trPr/>
        <w:tc>
          <w:tcPr>
            <w:tcW w:w="292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5" w:name="slno-ex31_2.htm"/>
      <w:bookmarkStart w:id="26" w:name="ksslnoex31_2"/>
      <w:bookmarkEnd w:id="25"/>
      <w:bookmarkEnd w:id="26"/>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31.2</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OF THE CHIEF FINANCIAL OFFICER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SECURITIES EXCHANGE ACT RULES 13A-14(A) AND 15D-14(A)</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 James Mackaness, certify that: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1. I have reviewed this quarterly report on Form 10-Q of Soleno Therapeutics, Inc.;</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(b) Any fraud, whether or not material, that involves management or other employees who have a significant role in the registrant’s internal control over financial reporting.</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Date: November 7, 2023</w:t>
      </w:r>
    </w:p>
    <w:p>
      <w:pPr>
        <w:pStyle w:val="TextBody"/>
        <w:bidi w:val="0"/>
        <w:jc w:val="left"/>
        <w:rPr/>
      </w:pPr>
      <w:r>
        <w:rPr/>
        <w:t> </w:t>
      </w:r>
    </w:p>
    <w:tbl>
      <w:tblPr>
        <w:tblW w:w="3661" w:type="dxa"/>
        <w:jc w:val="left"/>
        <w:tblInd w:w="0" w:type="dxa"/>
        <w:tblLayout w:type="fixed"/>
        <w:tblCellMar>
          <w:top w:w="28" w:type="dxa"/>
          <w:left w:w="28" w:type="dxa"/>
          <w:bottom w:w="28" w:type="dxa"/>
          <w:right w:w="28" w:type="dxa"/>
        </w:tblCellMar>
      </w:tblPr>
      <w:tblGrid>
        <w:gridCol w:w="3661"/>
      </w:tblGrid>
      <w:tr>
        <w:trPr/>
        <w:tc>
          <w:tcPr>
            <w:tcW w:w="3661" w:type="dxa"/>
            <w:tcBorders/>
            <w:vAlign w:val="center"/>
          </w:tcPr>
          <w:p>
            <w:pPr>
              <w:pStyle w:val="TableContents"/>
              <w:bidi w:val="0"/>
              <w:spacing w:before="0" w:after="283"/>
              <w:jc w:val="left"/>
              <w:rPr>
                <w:sz w:val="4"/>
                <w:szCs w:val="4"/>
              </w:rPr>
            </w:pPr>
            <w:r>
              <w:rPr>
                <w:sz w:val="4"/>
                <w:szCs w:val="4"/>
              </w:rPr>
            </w:r>
          </w:p>
        </w:tc>
      </w:tr>
      <w:tr>
        <w:trPr/>
        <w:tc>
          <w:tcPr>
            <w:tcW w:w="366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 James Mackaness</w:t>
            </w:r>
          </w:p>
        </w:tc>
      </w:tr>
      <w:tr>
        <w:trPr/>
        <w:tc>
          <w:tcPr>
            <w:tcW w:w="366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James Mackaness</w:t>
            </w:r>
          </w:p>
        </w:tc>
      </w:tr>
      <w:tr>
        <w:trPr/>
        <w:tc>
          <w:tcPr>
            <w:tcW w:w="366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Chief Financial Officer</w:t>
            </w:r>
          </w:p>
        </w:tc>
      </w:tr>
      <w:tr>
        <w:trPr/>
        <w:tc>
          <w:tcPr>
            <w:tcW w:w="366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7" w:name="slno-ex32_1.htm"/>
      <w:bookmarkStart w:id="28" w:name="ksslnoex32_1"/>
      <w:bookmarkEnd w:id="27"/>
      <w:bookmarkEnd w:id="28"/>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32.1</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18 U.S.C. SECTION 1350,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AS ADOPTED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SECTION 906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 connection with the Quarterly Report of Soleno Therapeutics, Inc. (the “Company”) on Form 10-Q for the fiscal quarter ended September 30, 2023, as filed with the Securities and Exchange Commission (the “Report”), Anish Bhatnagar, President, Chief Executive Officer of the Company does hereby certify, pursuant to 18 U.S.C. Section 1350, as adopted pursuant to Section 906 of the Sarbanes-Oxley Act of 2002, that:</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Report fully complies with the requirements of Section 13(a) or 15(d) of the Securities Exchange Act of 1934;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information in the Report fairly presents, in all material respects, the financial condition and results of operations of the Company.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Date: November 7, 2023</w:t>
      </w:r>
    </w:p>
    <w:p>
      <w:pPr>
        <w:pStyle w:val="TextBody"/>
        <w:bidi w:val="0"/>
        <w:jc w:val="left"/>
        <w:rPr/>
      </w:pPr>
      <w:r>
        <w:rPr/>
        <w:t> </w:t>
      </w:r>
    </w:p>
    <w:tbl>
      <w:tblPr>
        <w:tblW w:w="2926" w:type="dxa"/>
        <w:jc w:val="left"/>
        <w:tblInd w:w="0" w:type="dxa"/>
        <w:tblLayout w:type="fixed"/>
        <w:tblCellMar>
          <w:top w:w="28" w:type="dxa"/>
          <w:left w:w="28" w:type="dxa"/>
          <w:bottom w:w="28" w:type="dxa"/>
          <w:right w:w="28" w:type="dxa"/>
        </w:tblCellMar>
      </w:tblPr>
      <w:tblGrid>
        <w:gridCol w:w="2926"/>
      </w:tblGrid>
      <w:tr>
        <w:trPr/>
        <w:tc>
          <w:tcPr>
            <w:tcW w:w="2926" w:type="dxa"/>
            <w:tcBorders/>
            <w:vAlign w:val="center"/>
          </w:tcPr>
          <w:p>
            <w:pPr>
              <w:pStyle w:val="TableContents"/>
              <w:bidi w:val="0"/>
              <w:spacing w:before="0" w:after="283"/>
              <w:jc w:val="left"/>
              <w:rPr>
                <w:sz w:val="4"/>
                <w:szCs w:val="4"/>
              </w:rPr>
            </w:pPr>
            <w:r>
              <w:rPr>
                <w:sz w:val="4"/>
                <w:szCs w:val="4"/>
              </w:rPr>
            </w:r>
          </w:p>
        </w:tc>
      </w:tr>
      <w:tr>
        <w:trPr/>
        <w:tc>
          <w:tcPr>
            <w:tcW w:w="29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 Anish Bhatnagar</w:t>
            </w:r>
          </w:p>
        </w:tc>
      </w:tr>
      <w:tr>
        <w:trPr/>
        <w:tc>
          <w:tcPr>
            <w:tcW w:w="292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Anish Bhatnagar</w:t>
            </w:r>
          </w:p>
        </w:tc>
      </w:tr>
      <w:tr>
        <w:trPr/>
        <w:tc>
          <w:tcPr>
            <w:tcW w:w="292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President, Chief Executive Officer</w:t>
            </w:r>
          </w:p>
        </w:tc>
      </w:tr>
      <w:tr>
        <w:trPr/>
        <w:tc>
          <w:tcPr>
            <w:tcW w:w="292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9" w:name="slno-ex32_2.htm"/>
      <w:bookmarkStart w:id="30" w:name="ksslnoex32_2"/>
      <w:bookmarkEnd w:id="29"/>
      <w:bookmarkEnd w:id="30"/>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32.2</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18 U.S.C. SECTION 1350,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AS ADOPTED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SECTION 906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 connection with the Quarterly Report of Soleno Therapeutics, Inc. (the “Company”) on Form 10-Q for the fiscal quarter ended September 30, 2023, as filed with the Securities and Exchange Commission (the “Report”), James Mackaness, Chief Financial Officer of the Company does hereby certify, pursuant to 18 U.S.C. Section 1350, as adopted pursuant to Section 906 of the Sarbanes-Oxley Act of 2002, that:</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Report fully complies with the requirements of Section 13(a) or 15(d) of the Securities Exchange Act of 1934;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information in the Report fairly presents, in all material respects, the financial condition and results of operations of the Company.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Date: November 7, 2023</w:t>
      </w:r>
    </w:p>
    <w:p>
      <w:pPr>
        <w:pStyle w:val="TextBody"/>
        <w:bidi w:val="0"/>
        <w:jc w:val="left"/>
        <w:rPr/>
      </w:pPr>
      <w:r>
        <w:rPr/>
        <w:t> </w:t>
      </w:r>
    </w:p>
    <w:tbl>
      <w:tblPr>
        <w:tblW w:w="3661" w:type="dxa"/>
        <w:jc w:val="left"/>
        <w:tblInd w:w="0" w:type="dxa"/>
        <w:tblLayout w:type="fixed"/>
        <w:tblCellMar>
          <w:top w:w="28" w:type="dxa"/>
          <w:left w:w="28" w:type="dxa"/>
          <w:bottom w:w="28" w:type="dxa"/>
          <w:right w:w="28" w:type="dxa"/>
        </w:tblCellMar>
      </w:tblPr>
      <w:tblGrid>
        <w:gridCol w:w="3661"/>
      </w:tblGrid>
      <w:tr>
        <w:trPr/>
        <w:tc>
          <w:tcPr>
            <w:tcW w:w="3661" w:type="dxa"/>
            <w:tcBorders/>
            <w:vAlign w:val="center"/>
          </w:tcPr>
          <w:p>
            <w:pPr>
              <w:pStyle w:val="TableContents"/>
              <w:bidi w:val="0"/>
              <w:spacing w:before="0" w:after="283"/>
              <w:jc w:val="left"/>
              <w:rPr>
                <w:sz w:val="4"/>
                <w:szCs w:val="4"/>
              </w:rPr>
            </w:pPr>
            <w:r>
              <w:rPr>
                <w:sz w:val="4"/>
                <w:szCs w:val="4"/>
              </w:rPr>
            </w:r>
          </w:p>
        </w:tc>
      </w:tr>
      <w:tr>
        <w:trPr/>
        <w:tc>
          <w:tcPr>
            <w:tcW w:w="366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 James Mackaness</w:t>
            </w:r>
          </w:p>
        </w:tc>
      </w:tr>
      <w:tr>
        <w:trPr/>
        <w:tc>
          <w:tcPr>
            <w:tcW w:w="366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James Mackaness</w:t>
            </w:r>
          </w:p>
        </w:tc>
      </w:tr>
      <w:tr>
        <w:trPr/>
        <w:tc>
          <w:tcPr>
            <w:tcW w:w="366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Chief Financial Officer</w:t>
            </w:r>
          </w:p>
        </w:tc>
      </w:tr>
      <w:tr>
        <w:trPr/>
        <w:tc>
          <w:tcPr>
            <w:tcW w:w="366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13054</Words>
  <Characters>70056</Characters>
  <CharactersWithSpaces>84259</CharactersWithSpaces>
  <Paragraphs>4442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