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3777615</wp:posOffset>
            </wp:positionH>
            <wp:positionV relativeFrom="paragraph">
              <wp:posOffset>-5080</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860" w:type="dxa"/>
            <w:vAlign w:val="bottom"/>
          </w:tcPr>
          <w:p>
            <w:pPr>
              <w:jc w:val="center"/>
              <w:ind w:left="168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7"/>
                <w:szCs w:val="17"/>
                <w:b w:val="1"/>
                <w:bCs w:val="1"/>
                <w:color w:val="auto"/>
                <w:w w:val="99"/>
              </w:rPr>
              <w:t>77-0523891</w:t>
            </w:r>
          </w:p>
        </w:tc>
      </w:tr>
      <w:tr>
        <w:trPr>
          <w:trHeight w:val="148"/>
        </w:trPr>
        <w:tc>
          <w:tcPr>
            <w:tcW w:w="3860" w:type="dxa"/>
            <w:vAlign w:val="bottom"/>
          </w:tcPr>
          <w:p>
            <w:pPr>
              <w:jc w:val="center"/>
              <w:ind w:left="17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1"/>
        </w:trPr>
        <w:tc>
          <w:tcPr>
            <w:tcW w:w="3860" w:type="dxa"/>
            <w:vAlign w:val="bottom"/>
          </w:tcPr>
          <w:p>
            <w:pPr>
              <w:spacing w:after="0"/>
              <w:rPr>
                <w:sz w:val="20"/>
                <w:szCs w:val="20"/>
                <w:color w:val="auto"/>
              </w:rPr>
            </w:pPr>
          </w:p>
        </w:tc>
        <w:tc>
          <w:tcPr>
            <w:tcW w:w="3500" w:type="dxa"/>
            <w:vAlign w:val="bottom"/>
            <w:gridSpan w:val="6"/>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100 Marine Parkway, Suite 400</w:t>
            </w:r>
          </w:p>
        </w:tc>
        <w:tc>
          <w:tcPr>
            <w:tcW w:w="3900" w:type="dxa"/>
            <w:vAlign w:val="bottom"/>
          </w:tcPr>
          <w:p>
            <w:pPr>
              <w:spacing w:after="0"/>
              <w:rPr>
                <w:sz w:val="20"/>
                <w:szCs w:val="20"/>
                <w:color w:val="auto"/>
              </w:rPr>
            </w:pPr>
          </w:p>
        </w:tc>
      </w:tr>
      <w:tr>
        <w:trPr>
          <w:trHeight w:val="204"/>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gridSpan w:val="5"/>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Redwood City, California</w:t>
            </w:r>
          </w:p>
        </w:tc>
        <w:tc>
          <w:tcPr>
            <w:tcW w:w="3900" w:type="dxa"/>
            <w:vAlign w:val="bottom"/>
          </w:tcPr>
          <w:p>
            <w:pPr>
              <w:spacing w:after="0"/>
              <w:rPr>
                <w:sz w:val="17"/>
                <w:szCs w:val="17"/>
                <w:color w:val="auto"/>
              </w:rPr>
            </w:pPr>
          </w:p>
        </w:tc>
      </w:tr>
      <w:tr>
        <w:trPr>
          <w:trHeight w:val="190"/>
        </w:trPr>
        <w:tc>
          <w:tcPr>
            <w:tcW w:w="386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00" w:type="dxa"/>
            <w:vAlign w:val="bottom"/>
          </w:tcPr>
          <w:p>
            <w:pPr>
              <w:spacing w:after="0"/>
              <w:rPr>
                <w:sz w:val="16"/>
                <w:szCs w:val="16"/>
                <w:color w:val="auto"/>
              </w:rPr>
            </w:pPr>
          </w:p>
        </w:tc>
      </w:tr>
      <w:tr>
        <w:trPr>
          <w:trHeight w:val="228"/>
        </w:trPr>
        <w:tc>
          <w:tcPr>
            <w:tcW w:w="3860" w:type="dxa"/>
            <w:vAlign w:val="bottom"/>
          </w:tcPr>
          <w:p>
            <w:pPr>
              <w:spacing w:after="0"/>
              <w:rPr>
                <w:sz w:val="19"/>
                <w:szCs w:val="19"/>
                <w:color w:val="auto"/>
              </w:rPr>
            </w:pPr>
          </w:p>
        </w:tc>
        <w:tc>
          <w:tcPr>
            <w:tcW w:w="2660" w:type="dxa"/>
            <w:vAlign w:val="bottom"/>
            <w:gridSpan w:val="3"/>
          </w:tcPr>
          <w:p>
            <w:pPr>
              <w:jc w:val="right"/>
              <w:ind w:right="62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3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00" w:type="dxa"/>
            <w:vAlign w:val="bottom"/>
          </w:tcPr>
          <w:p>
            <w:pPr>
              <w:spacing w:after="0"/>
              <w:rPr>
                <w:sz w:val="16"/>
                <w:szCs w:val="16"/>
                <w:color w:val="auto"/>
              </w:rPr>
            </w:pPr>
          </w:p>
        </w:tc>
      </w:tr>
      <w:tr>
        <w:trPr>
          <w:trHeight w:val="242"/>
        </w:trPr>
        <w:tc>
          <w:tcPr>
            <w:tcW w:w="3860" w:type="dxa"/>
            <w:vAlign w:val="bottom"/>
          </w:tcPr>
          <w:p>
            <w:pPr>
              <w:spacing w:after="0"/>
              <w:rPr>
                <w:sz w:val="21"/>
                <w:szCs w:val="21"/>
                <w:color w:val="auto"/>
              </w:rPr>
            </w:pPr>
          </w:p>
        </w:tc>
        <w:tc>
          <w:tcPr>
            <w:tcW w:w="2660" w:type="dxa"/>
            <w:vAlign w:val="bottom"/>
            <w:gridSpan w:val="3"/>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190"/>
        </w:trPr>
        <w:tc>
          <w:tcPr>
            <w:tcW w:w="386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77"/>
        </w:trPr>
        <w:tc>
          <w:tcPr>
            <w:tcW w:w="4500" w:type="dxa"/>
            <w:vAlign w:val="bottom"/>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r>
      <w:tr>
        <w:trPr>
          <w:trHeight w:val="336"/>
        </w:trPr>
        <w:tc>
          <w:tcPr>
            <w:tcW w:w="7360" w:type="dxa"/>
            <w:vAlign w:val="bottom"/>
            <w:gridSpan w:val="7"/>
          </w:tcPr>
          <w:p>
            <w:pPr>
              <w:ind w:left="5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900" w:type="dxa"/>
            <w:vAlign w:val="bottom"/>
          </w:tcPr>
          <w:p>
            <w:pPr>
              <w:spacing w:after="0"/>
              <w:rPr>
                <w:sz w:val="24"/>
                <w:szCs w:val="24"/>
                <w:color w:val="auto"/>
              </w:rPr>
            </w:pPr>
          </w:p>
        </w:tc>
      </w:tr>
      <w:tr>
        <w:trPr>
          <w:trHeight w:val="197"/>
        </w:trPr>
        <w:tc>
          <w:tcPr>
            <w:tcW w:w="3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r>
      <w:tr>
        <w:trPr>
          <w:trHeight w:val="206"/>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80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right w:val="single" w:sz="8" w:color="auto"/>
            </w:tcBorders>
          </w:tcPr>
          <w:p>
            <w:pPr>
              <w:jc w:val="center"/>
              <w:ind w:right="78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3"/>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3900" w:type="dxa"/>
            <w:vAlign w:val="bottom"/>
            <w:tcBorders>
              <w:bottom w:val="single" w:sz="8" w:color="auto"/>
              <w:right w:val="single" w:sz="8" w:color="auto"/>
            </w:tcBorders>
          </w:tcPr>
          <w:p>
            <w:pPr>
              <w:jc w:val="center"/>
              <w:ind w:right="784"/>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60" w:lineRule="exact"/>
        <w:rPr>
          <w:sz w:val="24"/>
          <w:szCs w:val="24"/>
          <w:color w:val="auto"/>
        </w:rPr>
      </w:pPr>
    </w:p>
    <w:p>
      <w:pPr>
        <w:ind w:right="1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3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7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80" w:firstLine="509"/>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20" w:right="2620"/>
        <w:spacing w:after="0" w:line="24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August 1, 2025, there were 53,145,009 shares of the registrant’s Common Stock, par value $0.001 per share,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11"/>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SOLENO THERAPEUTICS, INC.</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11"/>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920" w:type="dxa"/>
            <w:vAlign w:val="bottom"/>
            <w:gridSpan w:val="12"/>
            <w:vMerge w:val="restart"/>
          </w:tcPr>
          <w:p>
            <w:pPr>
              <w:spacing w:after="0"/>
              <w:rPr>
                <w:sz w:val="24"/>
                <w:szCs w:val="24"/>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0000FF"/>
            </w:tcBorders>
            <w:gridSpan w:val="13"/>
            <w:vMerge w:val="continue"/>
          </w:tcPr>
          <w:p>
            <w:pPr>
              <w:spacing w:after="0"/>
              <w:rPr>
                <w:sz w:val="16"/>
                <w:szCs w:val="16"/>
                <w:color w:val="auto"/>
              </w:rPr>
            </w:pPr>
          </w:p>
        </w:tc>
        <w:tc>
          <w:tcPr>
            <w:tcW w:w="5920" w:type="dxa"/>
            <w:vAlign w:val="bottom"/>
            <w:gridSpan w:val="12"/>
            <w:vMerge w:val="continue"/>
          </w:tcPr>
          <w:p>
            <w:pPr>
              <w:spacing w:after="0"/>
              <w:rPr>
                <w:sz w:val="16"/>
                <w:szCs w:val="16"/>
                <w:color w:val="auto"/>
              </w:rPr>
            </w:pPr>
          </w:p>
        </w:tc>
        <w:tc>
          <w:tcPr>
            <w:tcW w:w="2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20" w:type="dxa"/>
            <w:vAlign w:val="bottom"/>
            <w:tcBorders>
              <w:bottom w:val="single" w:sz="8" w:color="0000EE"/>
            </w:tcBorders>
          </w:tcPr>
          <w:p>
            <w:pPr>
              <w:spacing w:after="0"/>
              <w:rPr>
                <w:sz w:val="17"/>
                <w:szCs w:val="17"/>
                <w:color w:val="auto"/>
              </w:rPr>
            </w:pPr>
          </w:p>
        </w:tc>
        <w:tc>
          <w:tcPr>
            <w:tcW w:w="6560" w:type="dxa"/>
            <w:vAlign w:val="bottom"/>
            <w:gridSpan w:val="15"/>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20" w:type="dxa"/>
            <w:vAlign w:val="bottom"/>
            <w:tcBorders>
              <w:bottom w:val="single" w:sz="8" w:color="0000EE"/>
            </w:tcBorders>
          </w:tcPr>
          <w:p>
            <w:pPr>
              <w:spacing w:after="0"/>
              <w:rPr>
                <w:sz w:val="17"/>
                <w:szCs w:val="17"/>
                <w:color w:val="auto"/>
              </w:rPr>
            </w:pPr>
          </w:p>
        </w:tc>
        <w:tc>
          <w:tcPr>
            <w:tcW w:w="4340" w:type="dxa"/>
            <w:vAlign w:val="bottom"/>
            <w:gridSpan w:val="9"/>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740" w:type="dxa"/>
            <w:vAlign w:val="bottom"/>
            <w:gridSpan w:val="2"/>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2900" w:type="dxa"/>
            <w:vAlign w:val="bottom"/>
            <w:gridSpan w:val="3"/>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540" w:type="dxa"/>
            <w:vAlign w:val="bottom"/>
            <w:gridSpan w:val="6"/>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7"/>
                <w:szCs w:val="17"/>
                <w:color w:val="auto"/>
              </w:rPr>
            </w:pPr>
          </w:p>
        </w:tc>
        <w:tc>
          <w:tcPr>
            <w:tcW w:w="3280" w:type="dxa"/>
            <w:vAlign w:val="bottom"/>
            <w:gridSpan w:val="4"/>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62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9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720" w:type="dxa"/>
            <w:vAlign w:val="bottom"/>
            <w:gridSpan w:val="7"/>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8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220" w:type="dxa"/>
            <w:vAlign w:val="bottom"/>
            <w:gridSpan w:val="13"/>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8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8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6760" w:type="dxa"/>
            <w:vAlign w:val="bottom"/>
            <w:gridSpan w:val="17"/>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9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8"/>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5760" w:type="dxa"/>
            <w:vAlign w:val="bottom"/>
            <w:gridSpan w:val="11"/>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8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3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6300" w:type="dxa"/>
            <w:vAlign w:val="bottom"/>
            <w:gridSpan w:val="14"/>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7"/>
                <w:szCs w:val="17"/>
                <w:color w:val="auto"/>
              </w:rPr>
            </w:pPr>
          </w:p>
        </w:tc>
        <w:tc>
          <w:tcPr>
            <w:tcW w:w="6780" w:type="dxa"/>
            <w:vAlign w:val="bottom"/>
            <w:gridSpan w:val="18"/>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EXHIBIT INDEX</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720" w:type="dxa"/>
            <w:vAlign w:val="bottom"/>
            <w:gridSpan w:val="21"/>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01"/>
        </w:trPr>
        <w:tc>
          <w:tcPr>
            <w:tcW w:w="4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76,497</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332,306</w:t>
            </w:r>
          </w:p>
        </w:tc>
        <w:tc>
          <w:tcPr>
            <w:tcW w:w="1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50,437,066 and 45,703,811 shares issued and outstanding at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696,966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(500,741)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(452,260)</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245,113</w:t>
            </w:r>
          </w:p>
        </w:tc>
        <w:tc>
          <w:tcPr>
            <w:tcW w:w="100" w:type="dxa"/>
            <w:vAlign w:val="bottom"/>
            <w:tcBorders>
              <w:top w:val="single" w:sz="8" w:color="CFF0FC"/>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332,306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-4773930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-4773930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-3659505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-3642995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-3659505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-3642995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-2536825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-2536825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-1704975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(6,525)</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(24,868)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(52,268)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(48,343)</w:t>
            </w: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(21,854)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(48,481)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(43,252)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(48,757)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(43,405)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78"/>
        </w:trPr>
        <w:tc>
          <w:tcPr>
            <w:tcW w:w="55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50,483,281</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38,631,565</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48,342,928</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37,419,968</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 net loss per common share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-3299460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-3299460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-3299460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-3299460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-2322195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-2322195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-2322195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-2030730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-2030730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-2030730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-1464945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-1464945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-1464945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-744855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-744855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-744855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-299720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-281940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-299720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-281940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-299720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2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8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7"/>
                <w:szCs w:val="17"/>
                <w:color w:val="auto"/>
              </w:rPr>
            </w:pPr>
          </w:p>
        </w:tc>
        <w:tc>
          <w:tcPr>
            <w:tcW w:w="202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45,703,811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696,966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(452,260)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exercise of stock</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943,980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1,879,678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(43,773)</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(43,773)</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48,527,469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(496,033)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exercise of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(4,708)</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(4,708)</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50,437,066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740,746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(500,741)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2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8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7"/>
                <w:szCs w:val="17"/>
                <w:color w:val="auto"/>
              </w:rPr>
            </w:pPr>
          </w:p>
        </w:tc>
        <w:tc>
          <w:tcPr>
            <w:tcW w:w="202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31,678,159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433,885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(276,410)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exercise of stock</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1,644,886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(21,398)</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(21,398)</w:t>
            </w:r>
          </w:p>
        </w:tc>
        <w:tc>
          <w:tcPr>
            <w:tcW w:w="0" w:type="dxa"/>
            <w:vAlign w:val="bottom"/>
          </w:tcPr>
          <w:p>
            <w:pPr>
              <w:spacing w:after="0"/>
              <w:rPr>
                <w:sz w:val="1"/>
                <w:szCs w:val="1"/>
                <w:color w:val="auto"/>
              </w:rPr>
            </w:pPr>
          </w:p>
        </w:tc>
      </w:tr>
      <w:tr>
        <w:trPr>
          <w:trHeight w:val="20"/>
        </w:trPr>
        <w:tc>
          <w:tcPr>
            <w:tcW w:w="46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33,337,079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(297,808)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 of common stock, net of issuance costs of $9,746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88,631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2"/>
        </w:trPr>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(21,854)</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38,386,779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(319,662)</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-5005705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-5005705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-5005705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-5005705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-5005705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-3839845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-3839845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-3839845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-3839845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-3839845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-1456690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-1456690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-1456690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-1456690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-1456690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(43,252)</w:t>
            </w: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premium/discount on marketable securities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reconciling items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7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(30,179)</w:t>
            </w: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(104,764)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(261,146)</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09"/>
        </w:trPr>
        <w:tc>
          <w:tcPr>
            <w:tcW w:w="7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(236,165)</w:t>
            </w:r>
          </w:p>
        </w:tc>
      </w:tr>
      <w:tr>
        <w:trPr>
          <w:trHeight w:val="210"/>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sale of common stock, net of issuance costs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148,955</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common stock and pre-funded stock warrants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prior to and for the issuance of common stock and pre-funded warrants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(112,657)</w:t>
            </w: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57,024</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and financing information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right="140" w:firstLine="714"/>
        <w:spacing w:after="0" w:line="244" w:lineRule="auto"/>
        <w:rPr>
          <w:sz w:val="20"/>
          <w:szCs w:val="20"/>
          <w:color w:val="auto"/>
        </w:rPr>
      </w:pPr>
      <w:r>
        <w:rPr>
          <w:rFonts w:ascii="Times New Roman" w:cs="Times New Roman" w:eastAsia="Times New Roman" w:hAnsi="Times New Roman"/>
          <w:sz w:val="18"/>
          <w:szCs w:val="18"/>
          <w:color w:val="auto"/>
        </w:rPr>
        <w:t>Soleno Therapeutics, Inc. (the Company or Soleno) is a biopharmaceutical company developing novel therapeutics for the treatment of rare diseases. On March 26, 2025, the Company announced that its lead product candidate,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the Company announced that prescriptions of VYKAT XR had been delivered to the first individuals living with PWS who had been prescribed the medication and began recognizing revenue from the sales of VYKAT XR during the three months ended June 30, 2025. The Company is incorporated in the State of Delaware and is headquartered in Redwood City, California.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12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8"/>
          <w:szCs w:val="18"/>
          <w:color w:val="auto"/>
        </w:rPr>
        <w:t>The Company used $45.4 million of cash in its operating activities, had a net loss of $48.5 million during the six months ended June 30, 2025 and had an accumulated deficit of $500.7 million at June 30, 2025 resulting from having incurred losses since its inception. The Company had $76.5 million of cash and cash equivalents and $217.3 million of marketable securities on June 30, 2025. With FDA approval of VYKAT XR and first prescriptions being delivered in April 2025, the Company recognized revenue during the three months ended June 30, 2025.</w:t>
      </w:r>
    </w:p>
    <w:p>
      <w:pPr>
        <w:spacing w:after="0" w:line="6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$50.0 million of debt outstanding under the loan and security agreement with Oxford Financing LLC and its affiliates (collectively, Oxford) entered into in December 2024. Under the terms of the loan agreement with Oxford, following FDA approval of VYKAT XR, an additional $50 million is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the Company's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w:t>
      </w:r>
    </w:p>
    <w:p>
      <w:pPr>
        <w:spacing w:after="0" w:line="8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Prior to entering into the Oxford loan and security agreement, the Company had historically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79" w:lineRule="exact"/>
        <w:rPr>
          <w:sz w:val="20"/>
          <w:szCs w:val="20"/>
          <w:color w:val="auto"/>
        </w:rPr>
      </w:pPr>
    </w:p>
    <w:p>
      <w:pPr>
        <w:ind w:right="20" w:firstLine="509"/>
        <w:spacing w:after="0" w:line="234" w:lineRule="auto"/>
        <w:rPr>
          <w:sz w:val="20"/>
          <w:szCs w:val="20"/>
          <w:color w:val="auto"/>
        </w:rPr>
      </w:pPr>
      <w:r>
        <w:rPr>
          <w:rFonts w:ascii="Times New Roman" w:cs="Times New Roman" w:eastAsia="Times New Roman" w:hAnsi="Times New Roman"/>
          <w:sz w:val="18"/>
          <w:szCs w:val="18"/>
          <w:color w:val="auto"/>
        </w:rPr>
        <w:t>On July 19,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as sales agent (Jefferies), pursuant to which the Company may offer and sell, from time to time, through Jefferies shares of its common stock having an aggregate offering price of up to $150 million.</w:t>
      </w:r>
    </w:p>
    <w:p>
      <w:pPr>
        <w:spacing w:after="0" w:line="90" w:lineRule="exact"/>
        <w:rPr>
          <w:sz w:val="20"/>
          <w:szCs w:val="20"/>
          <w:color w:val="auto"/>
        </w:rPr>
      </w:pPr>
    </w:p>
    <w:p>
      <w:pPr>
        <w:jc w:val="both"/>
        <w:ind w:right="20" w:firstLine="469"/>
        <w:spacing w:after="0" w:line="266" w:lineRule="auto"/>
        <w:rPr>
          <w:sz w:val="20"/>
          <w:szCs w:val="20"/>
          <w:color w:val="auto"/>
        </w:rPr>
      </w:pPr>
      <w:r>
        <w:rPr>
          <w:rFonts w:ascii="Times New Roman" w:cs="Times New Roman" w:eastAsia="Times New Roman" w:hAnsi="Times New Roman"/>
          <w:sz w:val="18"/>
          <w:szCs w:val="18"/>
          <w:color w:val="auto"/>
        </w:rPr>
        <w:t>In July 2025, the Company closed an underwritten public offering of 2,705,882 shares of its common stock at an offering price of $85.00 per share, which included the exercise in full by the underwriters of their option to purchase additional shares of its common stock. The gross proceeds of the public offering were $230.0 million, before deducting the underwriter discount and other offering expenses, totaling approximately $14.3 million.</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that its current cash, cash equivalents and marketable securities balances will be sufficient to enable the Company to meet its obligations for at least the next twelve months from the date of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three and six months ended June 30, 2025 as compared to the significant accounting policies described in Note 3 of the “Notes to Consolidated Financial Statements” in the Company’s Annual Report on Form 10-K for the year ended December 31, 2024, except as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7" w:name="page8"/>
    <w:bookmarkEnd w:id="7"/>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2025 are not necessarily indicative of the results that may be expected for any other interim period or for the fiscal year ending December 31, 2025. For further information, refer to the financial statements and footnotes included in the Company’s annual financial statements for the fiscal year ended December 31, 2024, which are included in the Company’s Annual Report on Form 10-K filed with the Securities Exchange Commission (SEC) on February 28,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reserves for product sales, and the valuation of contingent liabilities for the purchase price of assets obtained through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net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 with its customer has customary payment terms that require payment within 45 days. The Company analyzes amounts that are past due for collectability, and periodically evaluates the creditworthiness of its customer. Based on its assessment, as of June 30, 2025, the Company determined that an allowance for credit loss was not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Major Customers and Off-Balance Sheet Risk</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contracts with one customer, its specialty pharmacy, to market and distribute VYKAT XR to patients in the United States. As of June 30, 2025, its accounts receivable, net are solely from sales of VYKAT XR, and are from this sole customer.</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dependency on one customer exposes it to several risks, including the potential for disruptions in its distribution network, changes in this customer's business strategies, or financial difficulties faced by this customer. Any significant disruption or change in the Company's relationship with this customer could materially and adversely affect its ability to effectively reach other potential end users and maintain its market position.</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While the Company believes its relationship with this customer is strong and mutually beneficial, there can be no assurance that it will be able to maintain this relationship or that it will be able to replace this specialty pharmacy with alternative specialty pharmacies, if necessary.</w:t>
      </w:r>
    </w:p>
    <w:p>
      <w:pPr>
        <w:spacing w:after="0" w:line="5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on sole source suppliers and third-party manufacturers to supply raw materials and manufacture its product. The inability of these suppliers or manufacturers to fulfill supply requirements of the Company could materially impact future operating results. A change in the relationship with these suppliers or manufacturers, or an adverse change in their business, could materially impact future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sells its product to one specialty pharmacy. The product is distributed through a third-party logistics distribution agent (3PL) that does not take title to the product. In the Company's agreement with the 3PL, the Company acts as principal because it retains control of the product. Once the product is delivered to the Company’s specialty pharmacy, the specialty pharmacy takes title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ind w:right="300"/>
        <w:spacing w:after="0" w:line="282" w:lineRule="auto"/>
        <w:rPr>
          <w:sz w:val="20"/>
          <w:szCs w:val="20"/>
          <w:color w:val="auto"/>
        </w:rPr>
      </w:pPr>
      <w:r>
        <w:rPr>
          <w:rFonts w:ascii="Times New Roman" w:cs="Times New Roman" w:eastAsia="Times New Roman" w:hAnsi="Times New Roman"/>
          <w:sz w:val="18"/>
          <w:szCs w:val="18"/>
          <w:color w:val="auto"/>
        </w:rPr>
        <w:t>to the product. The specialty pharmacy then distributes the product to patients. The Company offers returns of product sold to the customer on a limited basis; however, no material returns have been recognized to date.</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the Company's product, which occurs at the point in time that there is a transfer of title to the customer. The Company has no other performance obligations besides the sale of product. The Company classifies payments to its customers or other parties in the distribution channel for services that are distinct and priced at fair value as selling, general and administrative expenses in its condensed consolidated statements of operations and comprehensive loss. Otherwise, payments to a customer or other parties in the distribution channel that do not meet those criteria are classified as a reduction of revenue, as discussed further below. Because the Company's payment terms are 45 days or less, the Company concluded there is not a significant financing component. The Company expenses incremental costs of obtaining a contract as and when incurred since the expected amortization period of the asset that the Company would have recognized is one year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rebates, discounts, returns, and co-pay assistance that are offered within the contract between the Company and its customer relating to the sale of VYKAT XR. These reserves are based on the amounts earned or to be claimed on the related sales and are classified as reductions of accounts receivable (if the amount is payable to the customer) or a current liability (if the amount is payable to a party other than the customer). Where appropriate, these estimates take into consideration a range of possible outcomes that are 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the Company's estimates. If actual results in the future vary from the Company's estimates, it will adjust these estimates, which would affect net product revenue and earnings in the period such variances become known.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several government programs, including Medicaid programs,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TRICARE in the United States. The Company estimates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accrued expenses and other current liabilities on the Company's condensed consolidated balance sheets. On a quarterly basis, the Company updates its estimates and records any adjustments in the period that it identifies the adjustments.</w:t>
      </w:r>
    </w:p>
    <w:p>
      <w:pPr>
        <w:spacing w:after="0" w:line="183" w:lineRule="exact"/>
        <w:rPr>
          <w:sz w:val="20"/>
          <w:szCs w:val="20"/>
          <w:color w:val="auto"/>
        </w:rPr>
      </w:pPr>
    </w:p>
    <w:p>
      <w:pPr>
        <w:ind w:right="4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discounts on VYKAT XR sales to its customer for prompt payment. This discount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as a reduction of revenue in the period the related product revenue is recognized. In addition, the Company receives and pays for various distribution services from its customer in the distribution channel.</w:t>
      </w:r>
    </w:p>
    <w:p>
      <w:pPr>
        <w:spacing w:after="0" w:line="1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customer has limited return rights related to unexpected instances in which the product is found to be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The Company estimates the amount of product sales that may be returned and records the estimate as a reduction of revenue and a refund liability in the period in which the related product revenue is recognized. Based on the distribution model for VYKAT XR, the Company believes there will be minimal returns as such returns have not been material to date.</w:t>
      </w:r>
    </w:p>
    <w:p>
      <w:pPr>
        <w:spacing w:after="0" w:line="1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 commercial insurance that have coverage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reside in states that allow co-payment assistance. The calculation of the accrual for co-pay assistance is based on an estimate of claims and the cost per claim that the Company expects to receive associated with product that has been recognized as revenue. The estimate is recorded as a reduction of revenue in the same period the related revenue is recognized.</w:t>
      </w:r>
    </w:p>
    <w:p>
      <w:pPr>
        <w:spacing w:after="0" w:line="18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Provisions for trade discounts and allowances are recorded as reductions to accounts receivable, and returns, government rebates, and other incentives are recorded as a component of accrued expenses.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table below summarizes balances and activity in each of the product revenue allowance and reserve categories as follows (in thousands):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tbl>
      <w:tblPr>
        <w:tblLayout w:type="fixed"/>
        <w:tblInd w:w="9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Discounts and</w:t>
            </w: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Copay Assistance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2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Rebates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Chargebacks</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and Returns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2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Provisions</w:t>
            </w: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80" w:type="dxa"/>
            <w:vAlign w:val="bottom"/>
            <w:shd w:val="clear" w:color="auto" w:fill="CFF0FC"/>
          </w:tcPr>
          <w:p>
            <w:pPr>
              <w:spacing w:after="0"/>
              <w:rPr>
                <w:sz w:val="17"/>
                <w:szCs w:val="17"/>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Credits/payments</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(503)</w:t>
            </w:r>
          </w:p>
        </w:tc>
      </w:tr>
      <w:tr>
        <w:trPr>
          <w:trHeight w:val="236"/>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-8255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products when future economic benefit is expected to be realized. These costs consist of raw materials, manufacturing-related costs, personnel costs including stock-based compensation, facility costs, and other indirect overhead costs. Prior to receiving FDA approval for VYKAT XR in March 2025, the Company expensed costs related to inventory for clinical and pre-commercial purposes directly to research and development expense. Following the FDA’s approval of VYKAT XR, the Company began capitalizing inventory related to commercialized products held for sale, in-process of production for sale, and raw materials to be used in the manufacturing of inventory.</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values inventory at the lower of cost or estimated net realizable value. The Company determines the cost of inventory, which includes amounts related to materials and manufacturing overhead, on a first-in, first-out basis. Raw materials and work in process includes all inventory costs prior to packaging and labeling, including raw materials, active pharmaceutical ingredient, and drug product. Finished goods include packaged and labeled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Based on its assessment, as of June 30, 2025, the Company determined that an allowance for excess and obsolete inventory and lower of cost or estimated net realizable value adjustments was not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consists of manufacturing costs, transportation and freight, amortization of capitalized intangibles, royalty payments and indirect overhead costs associated with the manufacturing and distribution of VYKAT XR. Cost of goods sold may also include periodic costs related to certain manufacturing services and inventory adjustment charges. Finally, cost of goods sold may also include costs related to excess or obsolete inventory adjustment charges, abnormal costs, unabsorbed manufacturing and overhead costs, and manufacturing variances.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52"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amends the guidance in </w:t>
      </w:r>
      <w:r>
        <w:rPr>
          <w:rFonts w:ascii="Times New Roman" w:cs="Times New Roman" w:eastAsia="Times New Roman" w:hAnsi="Times New Roman"/>
          <w:sz w:val="18"/>
          <w:szCs w:val="18"/>
          <w:i w:val="1"/>
          <w:iCs w:val="1"/>
          <w:color w:val="auto"/>
        </w:rPr>
        <w:t>ASC 740,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This ASU is intended to improve the transparency of income tax disclosures by requiring (1) consistent categories and greater disaggregation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The Company is evaluating the effect that ASU 2023-09 will have on its annual financial statements and disclosures.</w:t>
      </w:r>
    </w:p>
    <w:p>
      <w:pPr>
        <w:spacing w:after="0" w:line="75"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 </w:t>
      </w:r>
      <w:r>
        <w:rPr>
          <w:rFonts w:ascii="Times New Roman" w:cs="Times New Roman" w:eastAsia="Times New Roman" w:hAnsi="Times New Roman"/>
          <w:sz w:val="18"/>
          <w:szCs w:val="18"/>
          <w:color w:val="auto"/>
        </w:rPr>
        <w:t>which requires the disclosure of additional information related to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evaluating the effect that ASU 2024-03 will have on its financial statements and disclosures.</w:t>
      </w:r>
    </w:p>
    <w:p>
      <w:pPr>
        <w:spacing w:after="0" w:line="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9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June 30, 2025 (in thousands):</w:t>
      </w:r>
    </w:p>
    <w:p>
      <w:pPr>
        <w:spacing w:after="0" w:line="182"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7"/>
              </w:rPr>
              <w:t>Estimated Fair</w:t>
            </w:r>
          </w:p>
        </w:tc>
        <w:tc>
          <w:tcPr>
            <w:tcW w:w="100" w:type="dxa"/>
            <w:vAlign w:val="bottom"/>
          </w:tcPr>
          <w:p>
            <w:pPr>
              <w:spacing w:after="0"/>
              <w:rPr>
                <w:sz w:val="16"/>
                <w:szCs w:val="16"/>
                <w:color w:val="auto"/>
              </w:rPr>
            </w:pPr>
          </w:p>
        </w:tc>
      </w:tr>
      <w:tr>
        <w:trPr>
          <w:trHeight w:val="215"/>
        </w:trPr>
        <w:tc>
          <w:tcPr>
            <w:tcW w:w="4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6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r>
      <w:tr>
        <w:trPr>
          <w:trHeight w:val="19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129,691</w:t>
            </w:r>
          </w:p>
        </w:tc>
        <w:tc>
          <w:tcPr>
            <w:tcW w:w="74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6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129,732</w:t>
            </w:r>
          </w:p>
        </w:tc>
        <w:tc>
          <w:tcPr>
            <w:tcW w:w="10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 and commercial paper</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87,614</w:t>
            </w:r>
          </w:p>
        </w:tc>
        <w:tc>
          <w:tcPr>
            <w:tcW w:w="10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217,276</w:t>
            </w:r>
          </w:p>
        </w:tc>
        <w:tc>
          <w:tcPr>
            <w:tcW w:w="74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6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217,346</w:t>
            </w:r>
          </w:p>
        </w:tc>
        <w:tc>
          <w:tcPr>
            <w:tcW w:w="10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8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equivalents</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287,138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217,346</w:t>
            </w:r>
          </w:p>
        </w:tc>
        <w:tc>
          <w:tcPr>
            <w:tcW w:w="2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-2459355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-2459355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-2459355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-2459355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-1739265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-1739265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-1739265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-1739265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-1447800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-1431290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-1447800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-1431290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-1447800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-1431290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-1447800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-1431290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-1010920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-1010920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-1010920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-1010920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290,605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-1619885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-1619885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-1619885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-1619885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-899795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-899795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-899795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-899795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-607695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-591185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-607695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-591185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-607695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-591185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-607695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-591185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has historically been estimated using scenario-based methods based upon the Company’s analysis of the likelihood of obtaining specified approvals from the FDA as well as achieving two commercial sales milestones of $100 million and $200 million in cumulative revenue. The Level 3 estimates are based, in part, on subjective assumptions. As of June 30, 2025, following the receipt of FDA approval for VYKAT XR, the Company no longer considers FDA approval as a variable and determined a 100% probability of achieving the remaining two milestones. Prior to receiving FDA approval, management relied on published research relating to clinical development success rates to determine the likelihood of FDA approval occurring. Based on this assessment, an 88% probability of achieving all three milestones was determined to be reasonable as of December 31, 2024. During the periods presented, other than as discussed above regarding the receipt of FDA approval for VYKAT XR, the Company has not changed the manner in which it values its Essentialis purchase price contingent liability.</w:t>
      </w:r>
    </w:p>
    <w:p>
      <w:pPr>
        <w:spacing w:after="0" w:line="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liabilities for the six months ended June 30, 2025 and 2024 (in thousands):</w:t>
      </w:r>
    </w:p>
    <w:p>
      <w:pPr>
        <w:spacing w:after="0" w:line="191"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3"/>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Contingent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14,791</w:t>
            </w:r>
          </w:p>
        </w:tc>
        <w:tc>
          <w:tcPr>
            <w:tcW w:w="6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value of contingent liability</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60" w:type="dxa"/>
            <w:vAlign w:val="bottom"/>
          </w:tcPr>
          <w:p>
            <w:pPr>
              <w:spacing w:after="0"/>
              <w:rPr>
                <w:sz w:val="17"/>
                <w:szCs w:val="17"/>
                <w:color w:val="auto"/>
              </w:rPr>
            </w:pPr>
          </w:p>
        </w:tc>
      </w:tr>
      <w:tr>
        <w:trPr>
          <w:trHeight w:val="23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7"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3"/>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Contingent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6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value of contingent liability</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60" w:type="dxa"/>
            <w:vAlign w:val="bottom"/>
          </w:tcPr>
          <w:p>
            <w:pPr>
              <w:spacing w:after="0"/>
              <w:rPr>
                <w:sz w:val="17"/>
                <w:szCs w:val="17"/>
                <w:color w:val="auto"/>
              </w:rPr>
            </w:pPr>
          </w:p>
        </w:tc>
      </w:tr>
      <w:tr>
        <w:trPr>
          <w:trHeight w:val="23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9"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355"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80" w:type="dxa"/>
            <w:vAlign w:val="bottom"/>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The Company’s operating lease for its predecessor headquarters facility office space in Redwood City, California began on June 1, 2023 and expired in May 2025.</w:t>
      </w:r>
    </w:p>
    <w:p>
      <w:pPr>
        <w:spacing w:after="0" w:line="18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operating lease right-of-use (ROU) assets, current operating lease liabilities and long-term operating lease liabilities each appear as a separate line within the Company's condensed consolidated balance sheets. In September 2024, the Company recorded an increase to its ROU assets by $2.8 million and an increase to its lease liability of $2.8 million as a result of the June 2024 office lease. As of June 30, 2025 and December 31, 2024, the Company's short-term liabilities were equal to $0.7 million and $0.5 million, respectively, and the long-term operating lease liabilities were equal to $2.2 million and $2.5 million, respectively.</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related to the Company's lease liabilities was 8.5% as of June 30, 2025 over a remaining term of 4.2 years, and 8.5% as of December 31, 2024 over a remaining term of 4.7 years. The discount rate was determined based on estimates of the Company’s incremental borrowing rate, as the discount rate implicit in the lease cannot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during the three and six months ended June 30, 2025 and 2024 were as follows (in thousands):</w:t>
      </w:r>
    </w:p>
    <w:p>
      <w:pPr>
        <w:spacing w:after="0" w:line="34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6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29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232</w:t>
            </w: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2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2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94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246</w:t>
            </w:r>
          </w:p>
        </w:tc>
        <w:tc>
          <w:tcPr>
            <w:tcW w:w="7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wp:posOffset>
            </wp:positionV>
            <wp:extent cx="22713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ind w:left="796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wp:posOffset>
            </wp:positionV>
            <wp:extent cx="677227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300"/>
        <w:spacing w:after="0"/>
        <w:tabs>
          <w:tab w:leader="none" w:pos="7260" w:val="left"/>
          <w:tab w:leader="none" w:pos="8620" w:val="left"/>
          <w:tab w:leader="none" w:pos="9220" w:val="left"/>
          <w:tab w:leader="none" w:pos="1056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121</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June 30, 2025 (in thousands):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13" w:name="page14"/>
    <w:bookmarkEnd w:id="13"/>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7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09"/>
        </w:trPr>
        <w:tc>
          <w:tcPr>
            <w:tcW w:w="20" w:type="dxa"/>
            <w:vAlign w:val="bottom"/>
          </w:tcPr>
          <w:p>
            <w:pPr>
              <w:spacing w:after="0"/>
              <w:rPr>
                <w:sz w:val="18"/>
                <w:szCs w:val="18"/>
                <w:color w:val="auto"/>
              </w:rPr>
            </w:pPr>
          </w:p>
        </w:tc>
        <w:tc>
          <w:tcPr>
            <w:tcW w:w="8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-454025</wp:posOffset>
            </wp:positionV>
            <wp:extent cx="59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including with contract research organizations for clinical trials, contract manufacturing organizations for certain manufacturing services and supplies, and vendors for preclinical studies as well as other services and products for operating purposes, which are generally cancelable upon written notice. As of June 30, 2025, the Company’s non-cancelable other commitments were $15.7 million in the aggregate.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17, 2024, the Company entered into a loan and security agreement for up to $200 million with Oxford. The loan is collateralized by substantially all of the Company's assets, including its intellectual property, subject to certain limitations.</w:t>
      </w:r>
    </w:p>
    <w:p>
      <w:pPr>
        <w:spacing w:after="0" w:line="54"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As of June 30, 2025, the Company had $50.0 million outstanding under the Oxford loan agreement. Under the terms of the loan agreement with Oxford, following FDA approval of VYKAT XR, an additional $50 million is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the mutual consent of the Company and Oxford. The loan carries an interest-only period of 48 months and a total term of 60 months; provided that if specific milestones are achieved prior to September 30, 2026, the interest-only period and maturity date will be extended by 12 months. The term loans accrue interest, payable monthly, at a floating rate equal to, subject to certain conditions,</w:t>
      </w:r>
    </w:p>
    <w:p>
      <w:pPr>
        <w:spacing w:after="0" w:line="5" w:lineRule="exact"/>
        <w:rPr>
          <w:sz w:val="20"/>
          <w:szCs w:val="20"/>
          <w:color w:val="auto"/>
        </w:rPr>
      </w:pPr>
    </w:p>
    <w:p>
      <w:pPr>
        <w:ind w:firstLine="8"/>
        <w:spacing w:after="0" w:line="251"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1-month term SOFR plus (b) 5.50%. The principal portion of the loan is due in eleven equal monthly installments beginning February 1, 2029, through December 1, 2029. However, if a specified milestone is achieved on or after December 17, 2025, then the term loan will begin to amortize in equal monthly installments beginning on February 1, 2030, and the maturity date will be extended to December 1, 2030. At maturity, the final principal payment will include a fee of 5% of the total principal borrowed. The $2.5 million final interest payment related to the $50 million borrowed as of June 30, 2025 is accrued over the term of loan as long-term accrued interest payable. However, if a specified milestone is achieved on or after December 17, 2025, then the term loan will begin to amortize in equal monthly installments beginning on February 1, 2030, the maturity date will be extended to December 1, 2030, and the final payment will include a fee of 6.5% of the total principal borrowed. As of June 30, 2025, $271 thousand was accrued as part of other long-term liabilities on the condensed consolidated balance sheet. Loan issuance costs of $174 thousand were recorded as a reduction of the principal loan balance on the condensed consolidated balance sheet and are amortized as interest expense over the term of the loan.</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outstanding long-term debt consisted of the following (in thousands):</w:t>
      </w: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5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3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100" w:type="dxa"/>
            <w:vAlign w:val="bottom"/>
            <w:shd w:val="clear" w:color="auto" w:fill="CFF0FC"/>
          </w:tcPr>
          <w:p>
            <w:pPr>
              <w:spacing w:after="0"/>
              <w:rPr>
                <w:sz w:val="19"/>
                <w:szCs w:val="19"/>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the long-term debt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4" w:name="page15"/>
    <w:bookmarkEnd w:id="14"/>
    <w:tbl>
      <w:tblPr>
        <w:tblLayout w:type="fixed"/>
        <w:tblInd w:w="5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1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based on contractual loan rate</w:t>
            </w: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and accretion of final interest payment</w:t>
            </w:r>
          </w:p>
        </w:tc>
        <w:tc>
          <w:tcPr>
            <w:tcW w:w="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a minimum revenue covenant commencing on the earlier of the date that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Company’s obligations under the loan and security agreement, the termination of the lenders’ commitments, a 5.0% increase in the applicable rate of interest and the exercise by the lender of other rights and remedies provided for under the loan and security agreement. The Company was in compliance with all applicable debt covenants as of June 30, 2025.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2024 Public Offering of Common Stock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 of Common Stock and Concurrent Private Placement of Common Stock and Pre-Funded Warrants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pre-funded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7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5" w:name="page16"/>
    <w:bookmarkEnd w:id="15"/>
    <w:p>
      <w:pPr>
        <w:ind w:right="40"/>
        <w:spacing w:after="0" w:line="266" w:lineRule="auto"/>
        <w:rPr>
          <w:sz w:val="20"/>
          <w:szCs w:val="20"/>
          <w:color w:val="auto"/>
        </w:rPr>
      </w:pPr>
      <w:r>
        <w:rPr>
          <w:rFonts w:ascii="Times New Roman" w:cs="Times New Roman" w:eastAsia="Times New Roman" w:hAnsi="Times New Roman"/>
          <w:sz w:val="18"/>
          <w:szCs w:val="18"/>
          <w:color w:val="auto"/>
        </w:rPr>
        <w:t>Tranche A warrants. The Tranche B warrants were also immediately exercisable and, following the FDA's approval of VYKAT XR, the remainder of these warrants were exercised. The Company received an aggregate of $35.0 million from the exercise of the Tranche B warrants. As of June 30, 2025, there were no remaining warrants outstanding under the Securities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Public Offering of Common Stock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Through June 30, 2025, 2,150,406 of the March 2022 common warrants had been exercised for gross proceeds of $9.7 million and 1,333,329 warrants were exercised using the cashless exercise option with no proceeds to the Company. As of June 30, 2025, 516,265 of the March 2022 common warrants remained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the Sales Agreement with Jefferies, pursuant to which the Company may offer and sell up to $150.0 million of shares of its common stock, from time to time, through Jefferies.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and December 31, 2024, the following table summarizes the Company's outstanding common stock warrants:</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2022 Common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2023 Tranche B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2023 pre-funded warrants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ind w:right="8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Incentive Plans </w:t>
      </w:r>
      <w:r>
        <w:rPr>
          <w:rFonts w:ascii="Times New Roman" w:cs="Times New Roman" w:eastAsia="Times New Roman" w:hAnsi="Times New Roman"/>
          <w:sz w:val="18"/>
          <w:szCs w:val="18"/>
          <w:b w:val="1"/>
          <w:bCs w:val="1"/>
          <w:color w:val="auto"/>
        </w:rPr>
        <w:t>2014 Plan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0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20" w:type="dxa"/>
            <w:vAlign w:val="bottom"/>
          </w:tcPr>
          <w:p>
            <w:pPr>
              <w:spacing w:after="0"/>
              <w:rPr>
                <w:sz w:val="10"/>
                <w:szCs w:val="10"/>
                <w:color w:val="auto"/>
              </w:rPr>
            </w:pPr>
          </w:p>
        </w:tc>
        <w:tc>
          <w:tcPr>
            <w:tcW w:w="1480" w:type="dxa"/>
            <w:vAlign w:val="bottom"/>
            <w:gridSpan w:val="2"/>
          </w:tcPr>
          <w:p>
            <w:pPr>
              <w:jc w:val="center"/>
              <w:ind w:left="44"/>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20" w:type="dxa"/>
            <w:vAlign w:val="bottom"/>
          </w:tcPr>
          <w:p>
            <w:pPr>
              <w:spacing w:after="0"/>
              <w:rPr>
                <w:sz w:val="10"/>
                <w:szCs w:val="10"/>
                <w:color w:val="auto"/>
              </w:rPr>
            </w:pP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0"/>
                <w:szCs w:val="10"/>
                <w:color w:val="auto"/>
              </w:rPr>
            </w:pPr>
          </w:p>
        </w:tc>
        <w:tc>
          <w:tcPr>
            <w:tcW w:w="1480" w:type="dxa"/>
            <w:vAlign w:val="bottom"/>
            <w:gridSpan w:val="2"/>
          </w:tcPr>
          <w:p>
            <w:pPr>
              <w:jc w:val="center"/>
              <w:ind w:left="25"/>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left="4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left="4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516,265</w:t>
            </w:r>
          </w:p>
        </w:tc>
        <w:tc>
          <w:tcPr>
            <w:tcW w:w="120" w:type="dxa"/>
            <w:vAlign w:val="bottom"/>
          </w:tcPr>
          <w:p>
            <w:pPr>
              <w:spacing w:after="0"/>
              <w:rPr>
                <w:sz w:val="16"/>
                <w:szCs w:val="16"/>
                <w:color w:val="auto"/>
              </w:rPr>
            </w:pPr>
          </w:p>
        </w:tc>
        <w:tc>
          <w:tcPr>
            <w:tcW w:w="600" w:type="dxa"/>
            <w:vAlign w:val="bottom"/>
          </w:tcPr>
          <w:p>
            <w:pPr>
              <w:jc w:val="right"/>
              <w:ind w:right="264"/>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1,255,346</w:t>
            </w:r>
          </w:p>
        </w:tc>
        <w:tc>
          <w:tcPr>
            <w:tcW w:w="100" w:type="dxa"/>
            <w:vAlign w:val="bottom"/>
          </w:tcPr>
          <w:p>
            <w:pPr>
              <w:spacing w:after="0"/>
              <w:rPr>
                <w:sz w:val="16"/>
                <w:szCs w:val="16"/>
                <w:color w:val="auto"/>
              </w:rPr>
            </w:pPr>
          </w:p>
        </w:tc>
        <w:tc>
          <w:tcPr>
            <w:tcW w:w="1080" w:type="dxa"/>
            <w:vAlign w:val="bottom"/>
          </w:tcPr>
          <w:p>
            <w:pPr>
              <w:jc w:val="right"/>
              <w:ind w:right="765"/>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March 2027</w:t>
            </w:r>
          </w:p>
        </w:tc>
        <w:tc>
          <w:tcPr>
            <w:tcW w:w="0" w:type="dxa"/>
            <w:vAlign w:val="bottom"/>
          </w:tcPr>
          <w:p>
            <w:pPr>
              <w:spacing w:after="0"/>
              <w:rPr>
                <w:sz w:val="1"/>
                <w:szCs w:val="1"/>
                <w:color w:val="auto"/>
              </w:rPr>
            </w:pP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2,065,305</w:t>
            </w:r>
          </w:p>
        </w:tc>
        <w:tc>
          <w:tcPr>
            <w:tcW w:w="1180" w:type="dxa"/>
            <w:vAlign w:val="bottom"/>
            <w:gridSpan w:val="2"/>
          </w:tcPr>
          <w:p>
            <w:pPr>
              <w:jc w:val="right"/>
              <w:ind w:right="76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2026</w:t>
            </w:r>
          </w:p>
        </w:tc>
        <w:tc>
          <w:tcPr>
            <w:tcW w:w="0" w:type="dxa"/>
            <w:vAlign w:val="bottom"/>
          </w:tcPr>
          <w:p>
            <w:pPr>
              <w:spacing w:after="0"/>
              <w:rPr>
                <w:sz w:val="1"/>
                <w:szCs w:val="1"/>
                <w:color w:val="auto"/>
              </w:rPr>
            </w:pPr>
          </w:p>
        </w:tc>
      </w:tr>
      <w:tr>
        <w:trPr>
          <w:trHeight w:val="23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72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gridSpan w:val="2"/>
          </w:tcPr>
          <w:p>
            <w:pPr>
              <w:jc w:val="right"/>
              <w:ind w:right="76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0"/>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766,265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3,570,651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-445135</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-162560</wp:posOffset>
            </wp:positionV>
            <wp:extent cx="713232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2560" w:space="720"/>
            <w:col w:w="7960"/>
          </w:cols>
          <w:pgMar w:left="320" w:top="1120" w:right="339" w:bottom="1440" w:gutter="0" w:footer="0" w:header="0"/>
          <w:type w:val="continuous"/>
        </w:sect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6" w:name="page17"/>
    <w:bookmarkEnd w:id="16"/>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On January 17, 2024, the Company filed a Registration Statement on Form S-8 which registered an additional 1.0 million shares which automatically became available for issuance under the 2014 Plan as of January 1, 2024. On June 6, 2024, the Company's stockholders approved the Amended and Restated 2014 Plan which included an increase of 2.0 million shares, which became immediately available for issuance. On February 28, 2025, the Company filed a Registration Statement on Form S-8 which registered an additional 1.8 million shares which automatically became available for issuance under the 2014 Plan as of January 1, 2025. As of June 30, 2025, a total of 1,104,779 shares were available for future grant under the 2014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 total of 8,318 shares were available for future grant under the Inducement Plan.</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spacing w:after="0" w:line="72"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Stock-based compensation expense was recognized in the condensed consolidated statements of operations and comprehensive loss as follows (in thousands):</w:t>
      </w:r>
    </w:p>
    <w:tbl>
      <w:tblPr>
        <w:tblLayout w:type="fixed"/>
        <w:tblInd w:w="1580" w:type="dxa"/>
        <w:tblCellMar>
          <w:top w:w="0" w:type="dxa"/>
          <w:left w:w="0" w:type="dxa"/>
          <w:bottom w:w="0" w:type="dxa"/>
          <w:right w:w="0" w:type="dxa"/>
        </w:tblCellMar>
      </w:tblPr>
      <w:tr>
        <w:trPr>
          <w:trHeight w:val="156"/>
        </w:trPr>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shd w:val="clear" w:color="auto" w:fill="CFF0F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80" w:type="dxa"/>
            <w:vAlign w:val="bottom"/>
          </w:tcPr>
          <w:p>
            <w:pPr>
              <w:spacing w:after="0"/>
              <w:rPr>
                <w:sz w:val="18"/>
                <w:szCs w:val="18"/>
                <w:color w:val="auto"/>
              </w:rPr>
            </w:pPr>
          </w:p>
        </w:tc>
      </w:tr>
      <w:tr>
        <w:trPr>
          <w:trHeight w:val="230"/>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80" w:type="dxa"/>
            <w:vAlign w:val="bottom"/>
            <w:shd w:val="clear" w:color="auto" w:fill="CFF0FC"/>
          </w:tcPr>
          <w:p>
            <w:pPr>
              <w:spacing w:after="0"/>
              <w:rPr>
                <w:sz w:val="19"/>
                <w:szCs w:val="19"/>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43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After the FDA approval of VYKAT XR in March 2025, the Company began capitalizing stock-based compensation associated with the allocation of labor costs related to work performed to manufacture VYKAT XR. For the three months ended June 30, 2025, the Company capitalized $0.3 million into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granted options to purchase 102,242 and 343,700 shares of the Company’s common stock to employees during the three months ended June 30, 2025 and 2024, respectively. During the six months ended June 30, 2025, the Company granted options to purchase 689,403 and 3,600 shares of the Company’s stock to employees and a consultant, respectively. During the six months ended June 30, 2024, the Company granted options to purchase 1,080,380 of the Company's stock to employees and a consultant. There were no performance-based options granted during the three and six months ended June 30, 2025 and 2024, respectively. The fair value of each award granted was estimated on the date of grant using the Black-Scholes option pricing model with the following assumptions: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4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6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60" w:type="dxa"/>
            <w:vAlign w:val="bottom"/>
          </w:tcPr>
          <w:p>
            <w:pPr>
              <w:spacing w:after="0"/>
              <w:rPr>
                <w:sz w:val="17"/>
                <w:szCs w:val="17"/>
                <w:color w:val="auto"/>
              </w:rPr>
            </w:pPr>
          </w:p>
        </w:tc>
      </w:tr>
      <w:tr>
        <w:trPr>
          <w:trHeight w:val="209"/>
        </w:trPr>
        <w:tc>
          <w:tcPr>
            <w:tcW w:w="14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3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5.9-6.1</w:t>
            </w:r>
          </w:p>
        </w:tc>
        <w:tc>
          <w:tcPr>
            <w:tcW w:w="1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5.8-6.1</w:t>
            </w: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4.3%-4.6%</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3.8%-4.7%</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4.0%-4.6%</w:t>
            </w: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117%</w:t>
            </w:r>
          </w:p>
        </w:tc>
        <w:tc>
          <w:tcPr>
            <w:tcW w:w="1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13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117%-120%</w:t>
            </w:r>
          </w:p>
        </w:tc>
        <w:tc>
          <w:tcPr>
            <w:tcW w:w="1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122%-124%</w:t>
            </w:r>
          </w:p>
        </w:tc>
        <w:tc>
          <w:tcPr>
            <w:tcW w:w="14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rPr>
                <w:sz w:val="20"/>
                <w:szCs w:val="20"/>
                <w:color w:val="auto"/>
              </w:rPr>
            </w:pPr>
          </w:p>
        </w:tc>
      </w:tr>
      <w:tr>
        <w:trPr>
          <w:trHeight w:val="522"/>
        </w:trPr>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180" w:hanging="383"/>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2025 which were for awards issued under the 2014 Plan and the Inducement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3,971,798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26.75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79,578</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693,003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53.24</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(1,026,329)</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13.63</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(170,194)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3,468,278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34.66</w:t>
            </w:r>
          </w:p>
        </w:tc>
        <w:tc>
          <w:tcPr>
            <w:tcW w:w="13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170,585</w:t>
            </w: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June 30, 2025</w:t>
            </w:r>
          </w:p>
        </w:tc>
        <w:tc>
          <w:tcPr>
            <w:tcW w:w="14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1,007,206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24.22</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7.47</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60,193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June 30,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3,468,278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34.66</w:t>
            </w:r>
          </w:p>
        </w:tc>
        <w:tc>
          <w:tcPr>
            <w:tcW w:w="132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8.47</w:t>
            </w:r>
          </w:p>
        </w:tc>
        <w:tc>
          <w:tcPr>
            <w:tcW w:w="2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170,585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-333375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$46.61 and $36.34 per share for the six months ended June 30, 2025 and 2024, respectively. The intrinsic value of the stock options exercised was $55.6 million and $3.9 million for the six months ended June 30, 2025 and 2024, respectively. At June 30, 2025, total unrecognized employee stock-based compensation related to stock options that are likely to vest was $77.2 million, which is expected to be recognized over the weighted-average remaining vesting period of 2.7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There were 130,955 and 32,500 restricted stock units granted to employees and directors by the Company during the three months ended June 30, 2025 and 2024, respectively, and 353,581 and 391,530 restricted stock units granted to employees and directors by the Company during the six months ended June 30, 2025 and 2024, respectively. During the six months ended June 30, 2024, the Company granted 10,000 performance-based restricted stock units to a consultant. The shares were valued based on the Company’s common stock price on the grant date.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six months ended June 30, 2025 under the 2014 Plan: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56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939,865</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16"/>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5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353,581</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5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(819,273)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16"/>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canceled/forfeited</w:t>
            </w:r>
          </w:p>
        </w:tc>
        <w:tc>
          <w:tcPr>
            <w:tcW w:w="4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(5,716)</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4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468,457</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55.02</w:t>
            </w:r>
          </w:p>
        </w:tc>
        <w:tc>
          <w:tcPr>
            <w:tcW w:w="0" w:type="dxa"/>
            <w:vAlign w:val="bottom"/>
          </w:tcPr>
          <w:p>
            <w:pPr>
              <w:spacing w:after="0"/>
              <w:rPr>
                <w:sz w:val="1"/>
                <w:szCs w:val="1"/>
                <w:color w:val="auto"/>
              </w:rPr>
            </w:pPr>
          </w:p>
        </w:tc>
      </w:tr>
      <w:tr>
        <w:trPr>
          <w:trHeight w:val="520"/>
        </w:trPr>
        <w:tc>
          <w:tcPr>
            <w:tcW w:w="4300" w:type="dxa"/>
            <w:vAlign w:val="bottom"/>
          </w:tcPr>
          <w:p>
            <w:pPr>
              <w:spacing w:after="0"/>
              <w:rPr>
                <w:sz w:val="24"/>
                <w:szCs w:val="24"/>
                <w:color w:val="auto"/>
              </w:rPr>
            </w:pPr>
          </w:p>
        </w:tc>
        <w:tc>
          <w:tcPr>
            <w:tcW w:w="426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-864870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-847725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during the six months ended June 30, 2025 and 2024 was $57.26 and $37.58, respectively. The fair value of all restricted stock units vested during the six months ended June 30, 2025 and 2024 was $40.6 million and $6.8 million, respectively. At June 30, 2025, total unrecognized employee stock-based compensation related to restricted stock units was $19.3 million, which is expected to be recognized over the weighted-average remaining vesting period of 2.2 years.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Certain directors have elected to delay the issuance of certain vested restricted stock units granted under the 2014 Plan. Certain of these RSUs have vested as of June 30, 2025 based on the applicable service periods, but the issuance of common stock has been deferred until a future date when the directors' service to the Company terminates, or there is a change in control of the Company. The grant-date fair value of these 13,000 shares is $0.6 million, which has been recognized as stock-based compensation expense over the requisite service period in the condensed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5"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there were no purchases by employees under this plan.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18"/>
          <w:szCs w:val="18"/>
          <w:i w:val="1"/>
          <w:iCs w:val="1"/>
          <w:color w:val="auto"/>
        </w:rPr>
        <w:t>ASC 260 Earnings Per Shares</w:t>
      </w:r>
      <w:r>
        <w:rPr>
          <w:rFonts w:ascii="Times New Roman" w:cs="Times New Roman" w:eastAsia="Times New Roman" w:hAnsi="Times New Roman"/>
          <w:sz w:val="18"/>
          <w:szCs w:val="18"/>
          <w:color w:val="auto"/>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three and six months ended June 30, 2025 and 2024, the effect of issuing potential common stock is anti-dilutive due to the net losses in those periods and therefore the number of shares used to compute basic and diluted net loss per share are the same in each of those periods.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securities are the weighted-average common shares outstanding used to calculate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8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50,233,281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35,641,878</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48,092,928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34,037,201</w:t>
            </w:r>
          </w:p>
        </w:tc>
        <w:tc>
          <w:tcPr>
            <w:tcW w:w="100" w:type="dxa"/>
            <w:vAlign w:val="bottom"/>
            <w:shd w:val="clear" w:color="auto" w:fill="CFF0FC"/>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May 2023</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A pre-funded warrants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2,241,352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2,325,091</w:t>
            </w:r>
          </w:p>
        </w:tc>
        <w:tc>
          <w:tcPr>
            <w:tcW w:w="100" w:type="dxa"/>
            <w:vAlign w:val="bottom"/>
          </w:tcPr>
          <w:p>
            <w:pPr>
              <w:spacing w:after="0"/>
              <w:rPr>
                <w:sz w:val="18"/>
                <w:szCs w:val="18"/>
                <w:color w:val="auto"/>
              </w:rPr>
            </w:pPr>
          </w:p>
        </w:tc>
      </w:tr>
      <w:tr>
        <w:trPr>
          <w:trHeight w:val="216"/>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2023</w:t>
            </w: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B pre-funded warrants</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296,703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606,044</w:t>
            </w:r>
          </w:p>
        </w:tc>
        <w:tc>
          <w:tcPr>
            <w:tcW w:w="100" w:type="dxa"/>
            <w:vAlign w:val="bottom"/>
          </w:tcPr>
          <w:p>
            <w:pPr>
              <w:spacing w:after="0"/>
              <w:rPr>
                <w:sz w:val="18"/>
                <w:szCs w:val="18"/>
                <w:color w:val="auto"/>
              </w:rPr>
            </w:pPr>
          </w:p>
        </w:tc>
      </w:tr>
      <w:tr>
        <w:trPr>
          <w:trHeight w:val="249"/>
        </w:trPr>
        <w:tc>
          <w:tcPr>
            <w:tcW w:w="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50,483,281</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38,631,565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48,342,928</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37,419,968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-865505</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-847725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-865505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-847725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-865505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-847725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50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5360" w:type="dxa"/>
            <w:vAlign w:val="bottom"/>
          </w:tcPr>
          <w:p>
            <w:pPr>
              <w:spacing w:after="0"/>
              <w:rPr>
                <w:sz w:val="12"/>
                <w:szCs w:val="12"/>
                <w:color w:val="auto"/>
              </w:rPr>
            </w:pPr>
          </w:p>
        </w:tc>
        <w:tc>
          <w:tcPr>
            <w:tcW w:w="1120" w:type="dxa"/>
            <w:vAlign w:val="bottom"/>
            <w:tcBorders>
              <w:top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Borders>
              <w:top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5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1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FF0FC"/>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516,265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1,483,743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May 2023 Tranche B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3,468,278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3,305,259</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468,457</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256,030</w:t>
            </w:r>
          </w:p>
        </w:tc>
        <w:tc>
          <w:tcPr>
            <w:tcW w:w="8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4,453,000</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10,827,936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Reporting</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operating and reporting segment focused on the development and commercialization of its lead therapeutic product, VYKAT XR. The Company’s chief operating decision maker (CODM) is the chief executive officer who reviews product revenue, net, and cash operating expenses on a consolidated basis to make decisions about allocating resources and assessing performance for the entire Company. The CODM does not review assets at a level or category different than the amounts disclosed in the condensed consolidated balance sheet.</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six months ended June 30, 2025 and 2024 (in thousands):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(48,481)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total other income, net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(52,268)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non-cash expenses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(9,698)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-1010920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-1010920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June 30, 2025 through the date these condensed consolidated financial statements were issued and has determined that there are no subsequent events disclosure required, with the exception of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Public Offering of Common Stock</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July 2025 the Company closed an underwritten public offering of 2,705,882 shares of its common stock at an offering price of $85.00 per share, which included the exercise in full by the underwriters of their option to purchase additional shares of its common stock. The gross proceeds of the public offering were $230.0 million, before deducting the underwriter discount and other offering expenses, totaling approximately $14.3 million.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any projections of financial information; any statements about the commercialization of VYKAT XR, any statements about historical results that may suggest trends for our business; any statements of the plans, strategies, and objectives of management for future operations; any statements of expectation or belief regarding future events, our products, product sales, expenses, liquidity, cash flow, market growth rates or enforceability of our intellectual property rights and related litigation expenses; and any statements of assumptions underlying any of the foregoing. We have based these forward-looking statements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known and unknown risks, uncertainties, and other factors described in the section titled “Risk Factors” and elsewhere in this Quarterly Report on Form 10-Q.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All forward-looking statements are based on information and estimates available to us at the time of filing this Quarterly Report on Form 10-Q and are not guarantees of future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2024, and the related Management’s Discussion and Analysis of Financial Condition and Results of Operations, contained in our Annual Report on Form 10-K for the year ended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 w:firstLine="666"/>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On March 26, 2025, we announced that our lead product candidate, VYKAT XR (diazoxide choline) extended-release tablets, formerly known as DCCR, had been approved by the U.S. Food and Drug Administration (FDA). VYKAT XR is indicated to treat hyperphagia in adults and pediatric patients four years of age and older with Prader-Willi syndrome (PWS).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began commercial marketing and sales and recognizing revenue during the three months ended June 30, 2025. The transaction price that we recognize as revenue for VYKAT XR sales includes an estimate of variable consideration, which includes rebates, discounts, returns, and copay assistance that are offered within our contract with our specialty pharmacy. Refer to Note 3 of the notes to the unaudited condensed consolidated financial statements included in this Quarterly Report on Form 10-Q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After FDA approval of VYKAT XR in March 2025, we began commercial marketing and made our first product sales in the three months ended June 30, 2025.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requires us to make estimates of variable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consideration, included in contracts with customers, to be included in the transaction price. The transaction price that is recognized as revenue for products upon delivery and transfer of title to the customer includes an estimate of variable consideration for reserves, which result from rebates, discounts, returns, and co-pay assistance that are offered within contracts between us and our customer.</w:t>
      </w:r>
    </w:p>
    <w:p>
      <w:pPr>
        <w:spacing w:after="0" w:line="6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We are subject to discount obligations under several government programs, including Medicaid programs, Medicare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TRICARE in the United States. We estimate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spacing w:after="0" w:line="183"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We provide discounts on VYKAT XR sales to our customer for prompt payment. This discount is recorded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in the period the related product revenue is recognized. In addition, we receive and pay for various distribution services from our customer in the distribution channel.</w:t>
      </w:r>
    </w:p>
    <w:p>
      <w:pPr>
        <w:spacing w:after="0" w:line="17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Our customer has limited return rights related to unexpected instances in which the product is found to be damaged or defective.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estimate the amount of product sales that may be returned and records the estimate as a reduction of revenue and a refund liability in the period in which the related product revenue is recognized. Based on the distribution model for VYKAT XR, we believe there will be minimal returns as such returns have not been material to date.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we provide to patients with commercial insurance that have coverage and reside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Variable consideration is estimated and reduces the transaction price to reflect our best estimate of the amount of consideration to which we are entitled based on the terms of the contracts and are recorded in the same period the related product revenues is recognized.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in the period these variances become known.</w:t>
      </w:r>
    </w:p>
    <w:p>
      <w:pPr>
        <w:spacing w:after="0" w:line="187"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Aside from revenue recognition as noted above, there have been no significant changes during the three and six months ended June 30, 2025 compared to those previously disclosed in “Critical Accounting Policies and Estimates” in “Management’s Discussion and Analysis of Financial Condition and Results of Operations” included in our Annual Report on Form 10-K for the year ended December 31, 2024. Our significant accounting policies are more fully described in Note 3 of our most recent Annual Report on Form 10-K.</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4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4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(21,854)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-873760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-873760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-316230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-316230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$32.7 million for the three months ended June 30, 2025, due to sales of VYKAT XR after FDA approval was obtained in March 2025, compared to zero for the three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was $0.7 million for the three months ended June 30, 2025, due to sales of VYKAT XR after FDA approval was obtained in March 2025, compared to zero for the three months ended June 30, 2024. Prior to receiving FDA approval for VYKAT XR in March 2025, costs associated with the manufacturing of VYKAT XR were expensed as research and development expense. As such, a portion of the cost of inventory sold during the period was expensed prior to FDA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was $9.1 million, which includes $2.4 million of non-cash stock-based compensation, for the three months ended June 30, 2025, compared to $12.3 million, which includes $2.7 million of non-cash stock-based compensation, in the same period of 2024. Costs in support of our June 2024 New Drug Application (NDA) submission, supply chain activities, and clinical activities decreased $2.6 million, $0.3 million, and $0.5 million, respectively, between comparable periods. We incurred $0.6 million in the three months ended June 30, 2025 towards our Marketing Authorization Application (MAA) submission in Europe, which was submitted in the second quarter of 2025. The cadence of our research and development expenditures will fluctuate depending upon the state of our clinical programs, the timing of manufacturing and other projects necessary to support the submission of our regulatory filings and activities for commercial launch. Of the non-cash stock-based compensation recognized in the three months ended June 30, 2025, $0.2 million was due to performance-based RSU grants which vested upon approval of our NDA for VYKAT XR by the FDA in March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was $28.2 million, which includes $7.3 million of non-cash stock-based compensation, for the three months ended June 30, 2025, compared to $10.9 million, which includes $4.5 million of non-cash stock-based compensation, in the same period of 2024. Personnel and associated costs increased $7.6 million as we hired additional employees for commercial launch and in support of our increased business activities. New program costs associated with commercial launch, including disease state education, analytics, other marketing programs, medical affairs activities and patient advocacy activities increased by $6.8 million. We expect selling, general and administrative expenses to continue to increase as we have begun commercialization of VYKAT XR. Of the non-cash stock-based compensation recognized in the three months ended June 30, 2025, $0.4 million was due to performance-based RSU grants which vested upon approval of our NDA for VYKAT XR by the FDA in March 2025.</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are obligated to make cash payments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cumulative revenue in future years was estimated to be $18.9 million as of June 30, 2025, a $1.1 million increase from the estimate as of March 31, 2025, primarily due to the approval of our NDA for VYKAT XR by the FDA in March 2025 and recording product revenue from sales of VYKAT XR subsequent to the approval. During the three months ended June 30, 2024, the estimate increased by $1.6 million from the $12.0 million estimate as of March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had other income (expense), net of approximately $1.8 million in the three months ended June 30, 2025, compared to approximately $3.0 million during the three months ended June 30, 2024. The decrease was primarily due to interest expense associated with the long-term debt, partially offset by an increase in interest income driven by higher cash and cash equivalents and marketable securities during the three months ended June 30, 2025, compared to the three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4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(2,737)</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(43,252)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(5,229)</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-873760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-873760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-316865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-316865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$32.7 million for the six months ended June 30, 2025, due to sales of VYKAT XR after FDA approval was obtained in March 2025, compared to zero for the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was $0.7 million for the six months ended June 30, 2025, due to sales of VYKAT XR after FDA approval was obtained in March 2025, compared to zero for the six months ended June 30, 2024. Prior to receiving FDA approval for VYKAT XR in March 2025, costs associated with the manufacturing of VYKAT XR were expensed as research and development expense. As such, a portion of the cost of inventory sold during the period was expensed prior to FDA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$22.7 million, which includes $6.7 million of non-cash stock-based compensation, for the six months ended June 30, 2025, compared to $26.9 million, which includes $5.2 million of non-cash stock-based compensation, in the same period of 2024. Personnel and other associated costs increased $1.8 million as we hired additional employees in support of our research and development activities while costs in support of our June 2024 NDA submission decreased $3.9 million. Supply chain activities and clinical activities decreased $1.5 million and $3.6 million, respectively, between comparable periods. We incurred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right="240"/>
        <w:spacing w:after="0" w:line="258" w:lineRule="auto"/>
        <w:rPr>
          <w:sz w:val="20"/>
          <w:szCs w:val="20"/>
          <w:color w:val="auto"/>
        </w:rPr>
      </w:pPr>
      <w:r>
        <w:rPr>
          <w:rFonts w:ascii="Times New Roman" w:cs="Times New Roman" w:eastAsia="Times New Roman" w:hAnsi="Times New Roman"/>
          <w:sz w:val="18"/>
          <w:szCs w:val="18"/>
          <w:color w:val="auto"/>
        </w:rPr>
        <w:t>$1.3 million in the six months ended June 30, 2025 towards our MAA submission in Europe, which was submitted in the second quarter of 2025. The cadence of our research and development expenditures will fluctuate depending upon the state of our clinical programs, the timing of manufacturing and other projects necessary to support the submission of our regulatory filings and activities for commercial launch. Of the non-cash stock-based compensation recognized in the six months ended June 30, 2025, $2.6 million was due to performance-based RSU grants which vested upon approval of our NDA for VYKAT XR by the FDA in March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was $57.5 million, which includes $17.7 million of non-cash stock-based compensation, for the six months ended June 30, 2025, compared to $19.4 million, which includes $8.4 million of non-cash stock-based compensation, in the same period of 2024. Personnel and associated costs increased $15.3 million as we hired additional employees for commercial launch and in support of our increased business activities. New program costs associated with commercial launch, including disease state education, analytics, other marketing programs, medical affairs activities and patient advocacy activities increased by $12.6 million. We expect selling, general and administrative expenses to continue to increase as we have begun commercialization of VYKAT XR. Of the non-cash stock-based compensation recognized in the six months ended June 30, 2025, $5.1 million was due to performance-based RSU grants which vested upon approval of our NDA for VYKAT XR by the FDA in March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are obligated to make cash payments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cumulative revenue in future years was estimated to be $18.9 million as of June 30, 2025, a $4.1 million increase from the estimate as of December 31, 2024, primarily due to the approval of our NDA for VYKAT XR by the FDA in March 2025 and recording product revenue from sales of VYKAT XR subsequent to the approval. During the six months ended June 30, 2024, the estimate increased by $2.0 million from the $11.6 million estimate as of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had other income (expense), net of approximately $3.8 million in the six months ended June 30, 2025, compared to approximately $5.1 million during the six months ended June 30, 2024. The decrease was primarily due to interest expense associated with the long-term debt, partially offset by an increase in interest income driven by higher cash and cash equivalents and marketable securities during the six months ended June 30, 2025, compared to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We used $45.4 million of cash in operating activities and had a net loss of $48.5 million during the six months ended June 30, 2025. We had an accumulated deficit of $500.7 million at June 30, 2025 as a result of having incurred losses since our inception. We had $76.5 million in cash and cash equivalents, $217.3 million of marketable securities and $295.8 million of working capital on June 30, 2025 and we had a lease obligation totaling $2.9 million to be paid through August 2029, consisting of one operating lease for office space in Redwood City, California. Our ability to achieve operating profitability is dependent upon the successful commercialization of VYKAT XR.</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June 30, 2025, we had $50.0 million outstanding under our loan and security agreement with Oxford. Under the terms of the loan agreement with Oxford, following FDA approval of VYKAT XR, an additional $50 million is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w:t>
      </w:r>
    </w:p>
    <w:p>
      <w:pPr>
        <w:spacing w:after="0" w:line="87" w:lineRule="exact"/>
        <w:rPr>
          <w:sz w:val="20"/>
          <w:szCs w:val="20"/>
          <w:color w:val="auto"/>
        </w:rPr>
      </w:pPr>
    </w:p>
    <w:p>
      <w:pPr>
        <w:ind w:right="80" w:firstLine="509"/>
        <w:spacing w:after="0" w:line="227" w:lineRule="auto"/>
        <w:rPr>
          <w:sz w:val="20"/>
          <w:szCs w:val="20"/>
          <w:color w:val="auto"/>
        </w:rPr>
      </w:pPr>
      <w:r>
        <w:rPr>
          <w:rFonts w:ascii="Times New Roman" w:cs="Times New Roman" w:eastAsia="Times New Roman" w:hAnsi="Times New Roman"/>
          <w:sz w:val="18"/>
          <w:szCs w:val="18"/>
          <w:color w:val="auto"/>
        </w:rPr>
        <w:t>In July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as sales agent (Jefferies), pursuant to which we may offer and sell, from time to time, through Jefferies, shares of our common stock having an aggregate offering price of up to $150 million.</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2025, we closed an underwritten public offering of 2,705,882 shares of our common stock at a public offering price of $85.00 per share, which included the exercise in full by the underwriters of their option to purchase additional shares of our common stock. The gross proceeds of the public offering were $230.0 million, before deducting the underwriter discount and other offering expenses, totaling approximately $14.3 million.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be sufficient to meet the company's working capital needs for the next twelve months. Our long-term capital requirements will depend on several factors, most notably the timing and degree of success of our commercialization of VYKAT XR. We believe that we will continue to have access to capital resources through possible public or private equity offerings, debt financings, corporate collaborations or other means, but the access to such capital resources is uncertain and is not assured.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(45,360)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(30,179)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(236,165)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(112,657)</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operating activities used net cash of $45.4 million, which was primarily due to the net loss of $48.5 million, less non-cash expense of $24.4 million for stock-based compensation, $1.0 million for depreciation and amortization, $0.4 million for non-cash lease expense, $4.1 million related to the change in fair value of contingent consideration, and $2.0 million added back for accretion of premium/discount on marketable securities. Additionally, cash used during the six months ended June 30, 2025 decreased by $24.8 million due to changes in operating assets and liabilities.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net cash of $30.2 million, which was primarily due to the net loss of $43.3 million, less non-cash expense of $13.6 million for stock-based compensation, $1.0 million for depreciation and amortization, $0.1 million for non-cash lease expense, and $2.0 million related to the change in fair value of contingent consideration, and $1.6 million added back for the accretion of premium/discount on marketable securities. Additionally, cash used during the six months ended June 30, 2024 decreased by $2.0 million due to changes in operating assets and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used $104.8 million for purchases of marketable securities. We received proceeds of $119.8 million from maturities of marketable securities.</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used $261.1 million for purchases of marketable securities and $19 thousand for purchases of property and equipment. We received proceeds of $25.0 million from maturities of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received $5.2 million from the exercise of common stock warrants. We also received $14.0 million from the exercise of stock options. We paid $0.1 million of debt issuance costs.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received $149.0 million from the sale of common stock, net of issuance costs, and $3.5 million from the exercise of common stock and pre-funded stock warrants. Additionally, we received $0.6 million from the exercise of common stock warrants prior to June 30, 2024, with the issuance of common shares occurring after June 30, 2024. We also received $0.6 million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See “Recent Adopted Accounting Pronouncements” described in Note 3, Basis of Presentation and Summary of Significant Accounting Policies within Notes to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into law. In accordance with U.S. GAAP, we will account for the tax effects of changes in tax law in the period of enactment, which is expected to be the period of the three months ended September 30, 2025. We are currently in the process of analyzing the tax impacts of the law change, but we do not expect a material impact on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six months ended June 30, 2025. For additional information regarding market risk, refer to Part II, Item </w:t>
      </w:r>
      <w:r>
        <w:rPr>
          <w:rFonts w:ascii="Times New Roman" w:cs="Times New Roman" w:eastAsia="Times New Roman" w:hAnsi="Times New Roman"/>
          <w:sz w:val="18"/>
          <w:szCs w:val="18"/>
          <w:i w:val="1"/>
          <w:iCs w:val="1"/>
          <w:color w:val="auto"/>
        </w:rPr>
        <w:t>7A Qualitative and Quantitative Disclosures About Market Risk</w:t>
      </w:r>
      <w:r>
        <w:rPr>
          <w:rFonts w:ascii="Times New Roman" w:cs="Times New Roman" w:eastAsia="Times New Roman" w:hAnsi="Times New Roman"/>
          <w:sz w:val="18"/>
          <w:szCs w:val="18"/>
          <w:color w:val="auto"/>
        </w:rPr>
        <w:t xml:space="preserve"> in our Annual Report on Form 10-K for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were not effective at the reasonable assurance level due to the material weakness described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Material Weakness in Internal Control</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2024, we identified a material weakness in internal control related to ineffective design and operation of controls over certain information technology general controls (ITGCs), including segregation of incompatible duties, program change management, and user access controls. As a result, the related business process controls (IT application controls and IT-dependent manual controls) that are dependent on the ineffective ITGCs, or that use data produced from the system impacted by the ineffective ITGCs, were also ineffective.</w:t>
      </w:r>
    </w:p>
    <w:p>
      <w:pPr>
        <w:spacing w:after="0" w:line="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(GAAP).</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color w:val="auto"/>
        </w:rPr>
        <w:t>(c) Remediation of Material Weakness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Management is taking comprehensive actions to remediate the material weakness in internal control over financial reporting, which include the following:</w:t>
      </w:r>
    </w:p>
    <w:p>
      <w:pPr>
        <w:spacing w:after="0" w:line="270" w:lineRule="exact"/>
        <w:rPr>
          <w:sz w:val="20"/>
          <w:szCs w:val="20"/>
          <w:color w:val="auto"/>
        </w:rPr>
      </w:pPr>
    </w:p>
    <w:p>
      <w:pPr>
        <w:ind w:left="1260" w:right="180" w:hanging="368"/>
        <w:spacing w:after="0" w:line="266"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 the accounting and financial reporting function that would allow for appropriate segregation of duties, both systematically and operationally. We will continue to reassess staffing and add additional resources, as required, with the requisite experience and training, to support our system of internal control;</w:t>
      </w:r>
    </w:p>
    <w:p>
      <w:pPr>
        <w:spacing w:after="0" w:line="283" w:lineRule="exact"/>
        <w:rPr>
          <w:rFonts w:ascii="Times New Roman" w:cs="Times New Roman" w:eastAsia="Times New Roman" w:hAnsi="Times New Roman"/>
          <w:sz w:val="18"/>
          <w:szCs w:val="18"/>
          <w:color w:val="auto"/>
        </w:rPr>
      </w:pPr>
    </w:p>
    <w:p>
      <w:pPr>
        <w:ind w:left="1260" w:hanging="368"/>
        <w:spacing w:after="0" w:line="261"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training program for all personnel responsible for internal controls over financial reporting, including educating control owners regarding the requirements of each control. For control owners with IT responsibilities, develop and implement additional training and awareness programs addressing ITGC policy and requirements, with a specific focus on user access and change management processes and controls;</w:t>
      </w:r>
    </w:p>
    <w:p>
      <w:pPr>
        <w:spacing w:after="0" w:line="287" w:lineRule="exact"/>
        <w:rPr>
          <w:rFonts w:ascii="Times New Roman" w:cs="Times New Roman" w:eastAsia="Times New Roman" w:hAnsi="Times New Roman"/>
          <w:sz w:val="18"/>
          <w:szCs w:val="18"/>
          <w:color w:val="auto"/>
        </w:rPr>
      </w:pPr>
    </w:p>
    <w:p>
      <w:pPr>
        <w:ind w:left="1260" w:right="60" w:hanging="368"/>
        <w:spacing w:after="0" w:line="261"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standardize and monitor the ongoing improvements in design and operating effectiveness of our controls and the adherence of our personnel to any enhancements in controls, policies, and procedures. Moreover, within our IT environment, increase the extent of oversight and verification checks included in the operation of user access and program change management controls and processes; and</w:t>
      </w:r>
    </w:p>
    <w:p>
      <w:pPr>
        <w:spacing w:after="0" w:line="287" w:lineRule="exact"/>
        <w:rPr>
          <w:rFonts w:ascii="Times New Roman" w:cs="Times New Roman" w:eastAsia="Times New Roman" w:hAnsi="Times New Roman"/>
          <w:sz w:val="18"/>
          <w:szCs w:val="18"/>
          <w:color w:val="auto"/>
        </w:rPr>
      </w:pPr>
    </w:p>
    <w:p>
      <w:pPr>
        <w:ind w:left="1260" w:right="180" w:hanging="368"/>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report regularly to the audit committee of our board of directors on the progress and results of the remediation plan, including the identification, status and resolution of internal control deficiencies.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foregoing efforts will effectively remediate the identified material weakness in internal controls over financial reporting. Because the reliability of the internal control process requires repeatable execution, the successful remediation will require review and evidence of effectiveness prior to management concluding that our internal controls over financial reporting are effective. We may also conclude that the additional measures may be required to remediate the material weakness which may necessitate additional implementation and evaluation time. We will continue to assess the effectiveness of our internal control over financial reporting and take steps to remediate the material weakness expeditiously.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began to implement certain internal controls in connection with remediation efforts related to the material weakness identified in our Annual Report on Form 10-K for the year ended December 31, 2024.</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changes to our internal control over financial reporting that occurred during the six months ended June 30, 2025, that have materially affected, or are reasonably likely to materially affect, our internal control over financial reporting.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5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commercialization history as a company and have incurred significant losses since our inception;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success of VYKAT XR, our sole FDA-approved product;</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VYKAT XR may fail to achieve the degree of market acceptance by physicians, patients, caregivers, healthcare payers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expand our development, regulatory and sales and marketing capabilities,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may prove to be an inadequate barrier to competition;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increased costs as a result of operating as a public company, and our management has devoted and will be required to continue to devote substantial time to new compliance initiatives;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commercialization history as a company and have incurred significant losses since our inception.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historically been a clinical-stage company with no approved therapeutic products or revenues from the sale of therapeutic products. Following FDA approval on March 26, 2025, we have begun to commercialize our first product, VYKAT XR, to treat hyperphagia in patients four years and older who have Prader-Willi syndrome (PWS). Evaluating our performance, viability or future success will be more difficult than if we had a longer operating history or prior approved products for sale on the market. Even following approval of VYKAT XR, we will continue to incur significant research and development and selling, general and administrative expenses and will incur substantial commercial expenses related to our operations.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immediate future financial results will depend primarily on our success in launching, selling and supporting VYKAT XR.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success of VYKAT XR, our sole FDA-approved product.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9" w:name="page30"/>
    <w:bookmarkEnd w:id="29"/>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in the development of VYKAT XR for the treatment of PWS, a rare complex genetic neurobehavioral/metabolic disease. Our ability to generate product revenues will depend primarily on the successful commercialization of VYKAT XR.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the success of VYKAT XR will depend on a number of factors, including the following: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infrastructure capable of supporting product sales, marketing, and distribution of VYKAT XR in the U.S. and territories where we pursue commercialization directly;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 manufacturing arrangements with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distribution agreements with third party distributors in geographies outside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VYKAT XR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VYKAT XR by patients, the medical community, and third-party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any post-marketing requirements or post-approval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commercially viable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in the European Union (E.U.) and other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any potential challenges to patent listings in the U.S “Approved Drug Products with Therapeutic Equivalence Evaluations” or the “Orange Book”.</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VYKAT XR, which would materially harm our business.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in the early stages of commercializing VYKAT XR, our current sole novel therapeutic product, and accordingly, through June 30, 2025, have just begun to generate revenue from operations. We had a net loss of $175.9 million during the year ended December 31, 2024 (including non-cash stock-based compensation of $100.0 million) and $4.7 million during the three months ended June 30, 2025 (including non-cash stock-based compensation of $10.0 million) and an accumulated deficit of $500.7 million at June 30, 2025 as a result of having incurred losses since our inception. We had $76.5 million in cash and cash equivalents and $217.3 million in marketable securities at June 30, 2025, used $69.1 million and $12.6 million of cash in operating activities during the year ended December 31, 2024 and three months ended June 30, 2025, respectively.</w:t>
      </w:r>
    </w:p>
    <w:p>
      <w:pPr>
        <w:spacing w:after="0" w:line="7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either through debt or equity financings to achieve our business plan objectives, including ongoing expenses related to our ongoing regulatory activities and scaling of a sales and marketing organization to support the launch of VYKAT XR.</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product development and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ind w:right="20"/>
        <w:spacing w:after="0" w:line="256" w:lineRule="auto"/>
        <w:rPr>
          <w:sz w:val="20"/>
          <w:szCs w:val="20"/>
          <w:color w:val="auto"/>
        </w:rPr>
      </w:pPr>
      <w:r>
        <w:rPr>
          <w:rFonts w:ascii="Times New Roman" w:cs="Times New Roman" w:eastAsia="Times New Roman" w:hAnsi="Times New Roman"/>
          <w:sz w:val="18"/>
          <w:szCs w:val="18"/>
          <w:color w:val="auto"/>
        </w:rPr>
        <w:t>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just begun to generate product revenue and may not become profitable in the near term or maintain profitability once achieved.</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began to generate revenue from the commercialization of VYKAT XR in the three months ended June 30, 2025.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VYKAT XR also depends on a number of additional factors, including our ability to:</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VYKAT XR;</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reliable third parties, and ensure adequate and legally compliant manufacturing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payers, including government and private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VYKAT XR in other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development activities successfully and on a timely basis;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31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maintain and enforce our intellectual property rights and avoid third-party patent interference, intellectual property challenges, including any potential challenges to our Orange Book patent listings in the U.S., or intellectual property infringement claims;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June 30, 2025, we had $50.0 million outstanding under our loan and security agreement with Oxford Financing LLC and its affiliates (collectively, Oxford). Under the terms of the loan agreement with Oxford, following FDA approval of VYKAT XR, an additional $50 million is available through September 30, 2025 and $25 million will become available during the period October 1, 2025 to September 30, 2026. One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with Oxford, as well as in any future financing agreements into which we may enter, may restrict our ability to finance our operations and engage in, expand or otherwise pursue our business activities and strategies. Our ability to comply with these covenants may be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spacing w:after="0" w:line="258" w:lineRule="auto"/>
        <w:rPr>
          <w:sz w:val="20"/>
          <w:szCs w:val="20"/>
          <w:color w:val="auto"/>
        </w:rPr>
      </w:pPr>
      <w:r>
        <w:rPr>
          <w:rFonts w:ascii="Times New Roman" w:cs="Times New Roman" w:eastAsia="Times New Roman" w:hAnsi="Times New Roman"/>
          <w:sz w:val="18"/>
          <w:szCs w:val="18"/>
          <w:color w:val="auto"/>
        </w:rPr>
        <w:t>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initiating sales and marketing activities;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may vary depending on FDA and other regulatory requirements,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planned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of our industry, including consolidation among our competitors or potential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future products, if approved, and existing and potential future drugs that compete with our planned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offerings that compete with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inside and outside of the U.S., either independently or working with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timing and outcomes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in the U.S. or globally, of any of our planned products;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planned products, which will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ind w:right="480"/>
        <w:spacing w:after="0" w:line="258" w:lineRule="auto"/>
        <w:rPr>
          <w:sz w:val="20"/>
          <w:szCs w:val="20"/>
          <w:color w:val="auto"/>
        </w:rPr>
      </w:pPr>
      <w:r>
        <w:rPr>
          <w:rFonts w:ascii="Times New Roman" w:cs="Times New Roman" w:eastAsia="Times New Roman" w:hAnsi="Times New Roman"/>
          <w:sz w:val="18"/>
          <w:szCs w:val="18"/>
          <w:color w:val="auto"/>
        </w:rPr>
        <w:t>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133"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7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and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payment of milestones or royalties;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expenditures, including additional research, development and sales and marketing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18"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VYKAT XR</w:t>
      </w:r>
    </w:p>
    <w:p>
      <w:pPr>
        <w:spacing w:after="0" w:line="1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VYKAT XR may fail to achieve the degree of market acceptance by physicians, patients, caregivers, healthcare payers and others in the medical community necessary for commercial success.</w:t>
      </w:r>
    </w:p>
    <w:p>
      <w:pPr>
        <w:spacing w:after="0" w:line="5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VYKAT XR may fail to gain sufficient market acceptance by physicians, hospital administrators, patients, healthcare payers and others in the medical community. The degree of market acceptance of VYKAT XR will depend on a number of factors, including the following:</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3" w:name="page34"/>
    <w:bookmarkEnd w:id="33"/>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effectiveness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charge for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change their current treatment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or caregivers' perception of the efficacy of VYKAT XR and interest in remaining on-drug long-term;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or effectiveness of marketing and distribution support of partners;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or reimbursement.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opportunity for VYKAT XR is smaller than we believe it is, then our revenues may be adversely affected, and our business may suffer.</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PWS is a rare disease, and as such, our projections of both the number of people who have this disease, as well as the subset of people with PWS who could be prescribed VYKAT XR, are estimates based on data analysis of the reported patient population. If our estimates of the prevalence of PWS, the number of patients who may benefit from treatment with VYKAT XR, or the number of patients willing to stay on treatment indefinitely prove to be incorrect, the market opportunity for VYKAT XR may be smaller than we believe it is, our prospects for generating revenue may be adversely affected and our business may suffer.</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execute our sales and marketing strategy for VYKAT XR or are unable to gain acceptance in the market, we may be unable to generate sufficient revenue to sustain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believe that VYKAT XR represents a promising commercial opportunity, VYKAT XR may never gain significant acceptance in the marketplace and therefore may never generate substantial revenue or profits for us. We will need to establish a market for VYKAT XR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VYKAT XR, and word-of-mouth between physicians. The process of publication in leading medical journals is subject to a peer review process and peer reviewers may not consider the results of our studies sufficiently novel or worthy of publication. Failure to have our trials published in peer-reviewed journals may limit the adoption of our products. Our ability to successfully market our products will depend on numerous factors, including:</w:t>
      </w:r>
    </w:p>
    <w:p>
      <w:pPr>
        <w:spacing w:after="0" w:line="81" w:lineRule="exact"/>
        <w:rPr>
          <w:sz w:val="20"/>
          <w:szCs w:val="20"/>
          <w:color w:val="auto"/>
        </w:rPr>
      </w:pPr>
    </w:p>
    <w:p>
      <w:pPr>
        <w:ind w:left="1020" w:right="6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clinical utility trials of such products in collaboration with key thought leaders to demonstrate our products’ value in informing important medical decisions such as treatment selection;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healthcare providers believe VYKAT XR provides clinical utility;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 insurers, government health programs and other payers will cover and pay for VYKAT XR and, if so, whether they will adequately reimburse us.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may rely on third parties, who we do not control, to distribute and sell VYKAT XR. If these distributors are not committed to VYKAT XR or otherwise run into their own financial or other difficulties, it may result in failure to achieve widespread market acceptance of VYKAT XR, and would materially harm our business, financial condition and results of operations.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our sales, marketing, distribution, training and support strategies or enter into agreements with third parties to perform these functions, we will not be able to effectively commercialize VYKAT XR and may not reach profitability.</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achieve commercial success for VYKAT XR, we will need to establish a robust sales and marketing organization. We have built a targeted sales, marketing, training and support infrastructure to market VYKAT XR in the U.S. and to establish relationships with collaborations to market, distribute and support VYKAT XR outside of the U.S. There are risks involved with establishing our own sales, marketing, distribution, training and support capabilities. For example, recruiting and training sales and marketing personnel is expensive and time-consuming and could impact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VYKAT XR on our own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VYKAT XR or any future products;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our competitors to commercialize products at or about the time when our product candidates would be coming to market.</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VYKAT XR ourselves. In addition, we may not be successful in entering into arrangements with third parties to sell, market and distribute VYKAT XR or may be unable to do so on terms that are favorable to us. We likely will have little control over such third parties, and any of them may fail to devote the necessary resources and attention to commercialize VYKAT XR effectively. If we do not establish sales, marketing, distribution, training and support capabilities successfully, either on our own or in collaboration with third parties, we will not be successful in commercializing VYKAT XR and achieving profitability, and our business would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physicians decide not to prescribe VYKAT XR, we may be unable to generate sufficient revenue to sustain our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generate demand for VYKAT XR,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our products justifies payment for VYKAT XR at adequate pricing levels. We will need to hire additional commercial, scientific, technical and other personnel to support this process.</w:t>
      </w:r>
    </w:p>
    <w:p>
      <w:pPr>
        <w:spacing w:after="0" w:line="1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partnerships with respect to VYKAT XR, but we may not be able to do so, which may cause us to alter our development and commercialization plans and may cause us to terminate any such programs.</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agreements with third parties that we believe will more effectively provide resources to develop and commercialize VYKAT XR.</w:t>
      </w:r>
    </w:p>
    <w:p>
      <w:pPr>
        <w:spacing w:after="0" w:line="5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or commercialize VYKAT XR could negatively impact the development or commercialization of our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VYKAT XR may cause serious adverse side effects or have other properties that could limit the commercial desirability or result in significant negative consequences following commercialization.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Undesirable side effects caused by VYKAT XR could result in a number of potentially significant negative consequences could result,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VYKAT XR and suspend the marketing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VYKAT XR;</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VYKAT XR;</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bodies may issue safety alerts, Dear Healthcare Provider letters, press releases or other communications containing warnings about VYKAT XR;</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5" w:name="page36"/>
    <w:bookmarkEnd w:id="35"/>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of Risk Evaluation Mitigation Strategy or a comparable foreign regulatory authority may require a similar strategy that may, for instance, restrict distribution of our products and impose burdensome implementation requirements on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VYKAT XR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VYKAT XR. 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which may result in others discovering, developing or commercializing products more successfully than we do.</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Alternatives product candidates are being developed by our competitors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has recently been increased activity in the development of drugs to treat the symptoms of PWS. We are aware of at least nine other current or proposed clinical trials evaluating PWS therapies, including with glucagon-like peptide-1 (GLP-1) receptors in patients with PWS.</w:t>
      </w:r>
    </w:p>
    <w:p>
      <w:pPr>
        <w:spacing w:after="0" w:line="10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engage partners in commercializing VYKAT XR, they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our products.</w:t>
      </w:r>
    </w:p>
    <w:p>
      <w:pPr>
        <w:spacing w:after="0" w:line="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8"/>
          <w:szCs w:val="18"/>
          <w:color w:val="auto"/>
        </w:rPr>
        <w:t>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longer than twelve months after the receipt of regulatory marketing approval for a product in many cases.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strategy contemplates international expansion, including partnering with distributors, and introducing VYKAT XR and other planned products outside the U.S. In May 2025, we announced that our E.U. marketing authorization application (MAA) for obtaining regulatory approval of diazoxide choline prolonged-release tablets (which we market in the U.S. as VYKAT XR) for the treatment of adults and children four years and older with PWS who have hyperphagia had been validated by the European Medicines Agency (EMA). If we are successful in obtaining E.U. marketing authorization, the expansion of our commercial activities in the E.U. will increase our compliance costs and exposure to potential liabilities under E.U. laws. Additionally, doing business internationally involves a number of risks, including:</w:t>
      </w:r>
    </w:p>
    <w:p>
      <w:pPr>
        <w:spacing w:after="0" w:line="79" w:lineRule="exact"/>
        <w:rPr>
          <w:sz w:val="20"/>
          <w:szCs w:val="20"/>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tariffs,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by us or our distributors to obtain regulatory approvals for the sale or use of our current products and our planned future products in various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 including hiring and maintaining a foreign employee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payer systems, multiple payer-reimbursement regimes or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products, including infrastructure conditions and transportation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our distributors do not execute successfully;</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or lack of them in certain jurisdictions, forcing more reliance on our trade secrets, if available;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including the outbreak of hostilities in the Ukraine and the Middle East, outbreak of disease, boycotts, curtailment of trade and other business restrictions;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development, regulatory and sales and marketing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2025, we had 133 employees, up from 92 and 33 full-time employees as of December 31, 2024 and December 31, 2023, respectively. We have experienced significant growth in the number of our employees and the scope of our operations, particularly in the areas of sales and marketing, quality assurance, product development, regulatory affairs and drug development.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auto"/>
        </w:rPr>
        <w:t>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 with the expertise and experience we will require;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contractors and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additional relationships with various strategic partners, suppliers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reporting systems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 which we anticipate being conducted at numerous clinical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executive management team could adversely affect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executive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development or commercialization agreements we may enter into for our products may place the development or distribution of these products outside our control, may require us to relinquish important rights, or may otherwise be on terms unfavorable to us.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any such collaborations;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efforts based on clinical trial results, changes in their strategic focus for a variety of reasons, potentially including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ind w:left="1020"/>
        <w:spacing w:after="0"/>
        <w:rPr>
          <w:sz w:val="20"/>
          <w:szCs w:val="20"/>
          <w:color w:val="auto"/>
        </w:rPr>
      </w:pPr>
      <w:r>
        <w:rPr>
          <w:rFonts w:ascii="Times New Roman" w:cs="Times New Roman" w:eastAsia="Times New Roman" w:hAnsi="Times New Roman"/>
          <w:sz w:val="18"/>
          <w:szCs w:val="18"/>
          <w:color w:val="auto"/>
        </w:rPr>
        <w:t>acquisition of competitive products, availability of funding, and mergers or acquisitions that divert resources or create competing priorities;</w:t>
      </w:r>
    </w:p>
    <w:p>
      <w:pPr>
        <w:spacing w:after="0" w:line="117" w:lineRule="exact"/>
        <w:rPr>
          <w:sz w:val="20"/>
          <w:szCs w:val="20"/>
          <w:color w:val="auto"/>
        </w:rPr>
      </w:pPr>
    </w:p>
    <w:p>
      <w:pPr>
        <w:ind w:left="1020" w:right="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product, repeat or conduct new clinical trials or require a new engineering iteration of a product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intend to do business outside the U.S., we will be subject to additional risks.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wars, trade barriers, trade restrictions, export or import sanctions,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outbreak of hostilities in the Ukraine, the Middle East, outbreaks of disease, or natural disasters including earthquakes, typhoons, floods and fires.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VYKAT XR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ind w:right="140"/>
        <w:spacing w:after="0" w:line="282" w:lineRule="auto"/>
        <w:rPr>
          <w:sz w:val="20"/>
          <w:szCs w:val="20"/>
          <w:color w:val="auto"/>
        </w:rPr>
      </w:pPr>
      <w:r>
        <w:rPr>
          <w:rFonts w:ascii="Times New Roman" w:cs="Times New Roman" w:eastAsia="Times New Roman" w:hAnsi="Times New Roman"/>
          <w:sz w:val="18"/>
          <w:szCs w:val="18"/>
          <w:color w:val="auto"/>
        </w:rPr>
        <w:t>service providers or become unable to export or sell our products to any of our customers or service providers, our business, liquidity, financial condition, and results of operations would be materially and adversely affected.</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3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qualify as a smaller reporting company and the reduced compliance requirements to smaller reporting companies no longer apply to us. As such, our auditor was required to attest to the effectiveness of our internal control over financial reporting beginning with our annual report on Form 10-K for the year ended December 31, 2024.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0" w:name="page41"/>
    <w:bookmarkEnd w:id="40"/>
    <w:p>
      <w:pPr>
        <w:ind w:right="40"/>
        <w:spacing w:after="0" w:line="253" w:lineRule="auto"/>
        <w:rPr>
          <w:sz w:val="20"/>
          <w:szCs w:val="20"/>
          <w:color w:val="auto"/>
        </w:rPr>
      </w:pPr>
      <w:r>
        <w:rPr>
          <w:rFonts w:ascii="Times New Roman" w:cs="Times New Roman" w:eastAsia="Times New Roman" w:hAnsi="Times New Roman"/>
          <w:sz w:val="18"/>
          <w:szCs w:val="18"/>
          <w:color w:val="auto"/>
        </w:rPr>
        <w:t>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Ineffective internal controls could also cause investors to lose confidence in our reported financial information, which could have a negative effect on the trading price of our common stock. To achieve compliance with Section 404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identify additional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discussed in Item 4 of this Quarterly Report on Form 10-Q, in preparing our consolidated financial statements as of and for the year ended December 31, 2024, our management concluded that our disclosure controls and procedures and our internal control over financial reporting were not effective at the reasonable assurance level. To address this material weakness, we plan to take actions designed to improve our internal control over financial reporting and remediate the control deficiencies that led to the material weakness.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an interruption in supply from a material sole source supplier, our business may be harmed.</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or distribute VYKAT XR. We are currently dependent on sole source suppliers to produce raw materials, active pharmaceutical ingredients (APIs), the finished drug product and the associated packaging for VYKAT XR. If there is an interruption in supply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1" w:name="page42"/>
    <w:bookmarkEnd w:id="41"/>
    <w:p>
      <w:pPr>
        <w:ind w:right="240"/>
        <w:spacing w:after="0" w:line="282" w:lineRule="auto"/>
        <w:rPr>
          <w:sz w:val="20"/>
          <w:szCs w:val="20"/>
          <w:color w:val="auto"/>
        </w:rPr>
      </w:pPr>
      <w:r>
        <w:rPr>
          <w:rFonts w:ascii="Times New Roman" w:cs="Times New Roman" w:eastAsia="Times New Roman" w:hAnsi="Times New Roman"/>
          <w:sz w:val="18"/>
          <w:szCs w:val="18"/>
          <w:color w:val="auto"/>
        </w:rPr>
        <w:t>our sole source suppliers could have a negative impact on our contract manufacturer's ability to manufacture VYKAT XR, which in turn could adversely affect the commercialization of VYKAT XR.</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VYKAT XR,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VYKAT XR. Further the qualification process for a new vendor could take months or years, and any such delay in qualification could significantly harm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intend to rely on one or more specialty pharmacies to dispense VYKAT XR, deliver customer support, and provide us with related services, and our business could be harmed and we could be subject to liabilities if these services are performed inadequately or in a manner that does not comply with applicable laws and regulations.</w:t>
      </w:r>
    </w:p>
    <w:p>
      <w:pPr>
        <w:spacing w:after="0" w:line="6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VYKAT XR sales in the United States will initially be through a single specialty pharmacy and therefore our sales of VYKAT XR will be highly dependent on the performance of this specialty pharmacy.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spacing w:after="0" w:line="18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effectively dispense or support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properly administer copay mitigation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us with accurate or timely information regarding their inventories or the number of patients who are using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timely and accurate information regarding product adverse events or product complaints;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devote the resources necessary to dispense VYKAT XR in a manner that meets patient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satisfy financial obligations to us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loses the required licenses to distribute VYKAT XR;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operations.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If a specialty pharmacy partner does not fulfill its contractual obligations to us or fails to adequately dispense VYKAT XR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components of our clinical trials, and those third parties may not perform satisfactorily, including failing to meet deadlines for the completion of such studies.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contract research organizations,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requires us and third parties involved in the set-up, conduct, 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biological and hazardous materials in a manner that causes injury, we could be liable for damages.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VYKAT XR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w:t>
      </w:r>
    </w:p>
    <w:p>
      <w:pPr>
        <w:spacing w:after="0" w:line="8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for treatment related to the use or manufacture of VYKAT XR. Because patent applications can take many years to issue, there may be currently pending patent applications which may later result in issued patents that our product may infringe.</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products infringes upon these rights. If any third-party patents were held by a court of competent jurisdiction to cover the manufacturing process of VYKAT XR, any molecules formed during the manufacturing process or any final product itself, the holders of any such patents may be able to block our ability to commercialize VYKAT XR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43" w:name="page44"/>
    <w:bookmarkEnd w:id="43"/>
    <w:p>
      <w:pPr>
        <w:ind w:right="120"/>
        <w:spacing w:after="0" w:line="255" w:lineRule="auto"/>
        <w:rPr>
          <w:sz w:val="20"/>
          <w:szCs w:val="20"/>
          <w:color w:val="auto"/>
        </w:rPr>
      </w:pPr>
      <w:r>
        <w:rPr>
          <w:rFonts w:ascii="Times New Roman" w:cs="Times New Roman" w:eastAsia="Times New Roman" w:hAnsi="Times New Roman"/>
          <w:sz w:val="18"/>
          <w:szCs w:val="18"/>
          <w:color w:val="auto"/>
        </w:rPr>
        <w:t>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3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p>
    <w:p>
      <w:pPr>
        <w:spacing w:after="0" w:line="5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U.S. and in other countries with respect to our proprietary products.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spacing w:after="0" w:line="8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VYKAT XR.</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VYKAT XR, we may be open to competition from generic versions of VYKAT XR.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scope, validity, enforceability, and commercial value of trademark rights are also uncertain. Pending and future trademark applications may not be successful.</w:t>
      </w:r>
    </w:p>
    <w:p>
      <w:pPr>
        <w:spacing w:after="0" w:line="1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4" w:name="page45"/>
    <w:bookmarkEnd w:id="44"/>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and there can be no assurance that such efforts will be successful. Our ability to enforce our patents and other intellectual property rights also depends on the laws of individual countries and each country’s practices regarding the enforcement of intellectual property rights and may also be impacted by regulatory actions taken by governmental authorities that affect our ability to use and maintain our intellectual property rights. The loss of patent protection or regulatory exclusivity on VYKAT XR or future products, including potential challenges to our Orange Book patent listings in the U.S., could materially impact our business, results of operations, financial condition and prospects.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8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the U.S. Congress and certain state legislatures in the U.S. have also passed, or have proposed passing, legislation that could adversely impact our ability to settle patent litigations. For example, the State of California has enacted legislation that creates a presumption, with certain exceptions and safe harbors, that various types of patent litigation settlements are anti-competitive, and imposes substantial monetary penalties on companies and individuals who do not comply. The enforcement of this law has been preliminarily enjoined on constitutional grounds, but such legislation still creates a risk of significant potential exposure for settling patent litigations and, in turn, makes it more difficult to settle in the first place, which could have a material adverse effect on our business. VYKAT XR is listed in the Orange Book and can be cited by potential generic competitors in support of approval of an abbreviated new drug application (ANDA). An ANDA provides for the marketing of a drug product that has the same active ingredients in the same strengths and dosage form as the listed drug and has been shown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jc w:val="both"/>
        <w:ind w:right="20" w:firstLine="8"/>
        <w:spacing w:after="0" w:line="261"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ANDA applicant does not challenge the listed patents, the ANDA application will not be approved until all the listed patents claiming the referenced product have expired.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receive a Paragraph IV certification asserting that the new product will not infringe our listed patents for VYKAT XR, or that such patents are invalid. Upon receipt of such a Paragraph IV certification, we would have 45 days from the receipt of such a certification to initiate a patent infringement lawsuit.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such as Orphan Exclusivity, listed in the Orange Book for the referenced product has expired.</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including potential challenges to our Orange Book patent listings in the U.S.,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51"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throughout the world.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planned products, but that are not covered by claims in our patents;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filers of our patents that we developed or purchased might not have been the first to make the inventions covered by the claims contained in such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may not lead to issued patents;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may not provide us with any competitive advantages, or may be held invalid, unenforceable or not properly listable in the Orange Book in the U.S.,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6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significantly impacted European patents, including those granted before the introduction of such a system. Under the unitary patent system, European applications have the option, upon grant of a patent, of becoming a Unitary Patent which will be subject to the jurisdiction of the Unitary Patent Court (UPC).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7" w:name="page48"/>
    <w:bookmarkEnd w:id="47"/>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we may not be successful in obtaining approvals for our planned products.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our products are subject to extensive regulation by the FDA in the U.S. and other regulatory authorities in other countries, and these regulations differ from country to country. We are not permitted to market our planned products until we have received the requisite approval or clearance from the appropriate authorities. In March 2025, we announced that the FDA has approved VYKAT XR in the U.S. for the treatment of hyperphagia in adults and pediatric patients 4 years of age and older with PWS. In May 2025, we announced that our MAA for obtaining regulatory approval of diazoxide choline prolonged-release tablets (which we market in the U.S. as VYKAT XR) for the treatment of adults and children four years and older with PWS who have hyperphagia had been validated by the EMA. Obtaining approvals from regulatory authorities can be a lengthy, expensive and uncertain process. In addition, failure to comply with FDA and other applicable U.S. and foreign regulatory requirements may subject us to administrative or judicially imposed sanctions, including the following:</w:t>
      </w:r>
    </w:p>
    <w:p>
      <w:pPr>
        <w:spacing w:after="0" w:line="8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 or biologics or supplements to approved applications filed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our products or import bans.</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w:t>
      </w:r>
    </w:p>
    <w:p>
      <w:pPr>
        <w:spacing w:after="0" w:line="8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 xml:space="preserve">Regulatory approval from the FDA or a comparable foreign regulatory authority is not guaranteed, and the approval process is expensive and may take several years. The FDA and comparable regulatory authorities also have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or approval from </w:t>
      </w:r>
      <w:r>
        <w:rPr>
          <w:rFonts w:ascii="Times New Roman" w:cs="Times New Roman" w:eastAsia="Times New Roman" w:hAnsi="Times New Roman"/>
          <w:sz w:val="18"/>
          <w:szCs w:val="18"/>
          <w:u w:val="single" w:color="auto"/>
          <w:color w:val="auto"/>
        </w:rPr>
        <w:t>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xml:space="preserve"> varies depending on the planned product, the disease or condition that the planned product is designed to address and the regulations applicable to any particular planned product. The FDA and </w:t>
      </w:r>
      <w:r>
        <w:rPr>
          <w:rFonts w:ascii="Times New Roman" w:cs="Times New Roman" w:eastAsia="Times New Roman" w:hAnsi="Times New Roman"/>
          <w:sz w:val="18"/>
          <w:szCs w:val="18"/>
          <w:u w:val="single" w:color="auto"/>
          <w:color w:val="auto"/>
        </w:rPr>
        <w:t>comparable regulatory authorities</w:t>
      </w:r>
      <w:r>
        <w:rPr>
          <w:rFonts w:ascii="Times New Roman" w:cs="Times New Roman" w:eastAsia="Times New Roman" w:hAnsi="Times New Roman"/>
          <w:sz w:val="18"/>
          <w:szCs w:val="18"/>
          <w:color w:val="auto"/>
        </w:rPr>
        <w:t xml:space="preserve"> can delay, limit or deny approval of a planned product for many reasons, including, but not limited to, the following:</w:t>
      </w:r>
    </w:p>
    <w:p>
      <w:pPr>
        <w:spacing w:after="0" w:line="7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planned product may not be deemed safe or effective;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officials may not find the data from preclinical studies and clinical trials sufficient;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might not approve our or our third-party manufacturer’s processes or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any planned products fail to demonstrate safety and effectiveness in clinical trials or do not gain regulatory approval, our business and results of operations will be materially and adversely harmed.</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reject some or all of our data from clinical trials due to concerns related to bias, unblinding before statistical analysis plan is finalized, and/or reliability of data when the analysis is considered exploratory and not planned prospectively;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not accept data pooled from different studies, especially if the studies features are not sufficiently similar;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finds that our data are not adequate to support the safety and efficacy of our product candidate for the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disagree with our statistical analysis plans;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disagree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not meet the statutory standard for substantial evidence of effectiveness or may fail to demonstrate statistical significance on the primary endpoint;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priorities, reduction in staffing, large staff turnover or inadequate funding for the regulatory authorities could hinder those agencies from performing normal business functions and increase the time necessary for regulatory submissions to be reviewed and approved, or decrease the likelihood of an approval;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regulatory authorities may significantly change in a manner rendering our clinical data insufficient for approval or resulting in delays in our regulatory approval.</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even if we obtain approval of a product candidate, regulatory authorities may approve a product candidate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a product candidate, may grant approval contingent on the performance of costly post-marketing clinical trials or other post-marketing studies, or may approve a product candidate with a label that does not include the labeling claims necessary or desirable for the successful commercialization of a product candidate. Any of the foregoing scenarios could seriously harm our business.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under the current administration and new leadership at the Department of Health and Human Services (HHS) and the FDA, executive orders and layoffs due to the reduction in force initiative and other measures implemented by the Department of Government Efficiency may impact the normal operations of the FDA as well as other federal agencies. The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new Commissioner’s National Priority Voucher program for companies supporting certain U.S. national health priorities and interests. To the extent our competitors are selected for this new voucher pilot program and obtain faster approvals, our competitive position may be harmed. It is unclear how our industry and our clinical programs and operations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new policies and other agency changes lead to disruptions in the FDA’s operations, our correspondence and regulatory review processes with the FDA may be materially delayed.</w:t>
      </w:r>
    </w:p>
    <w:p>
      <w:pPr>
        <w:spacing w:after="0" w:line="1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Furthermore, regulatory agencies may not accept or agree with our assumptions, estimates, calculations, conclusions or analyses or may interpret or weigh the importance of data differently, which could impact the value of the particular program, the approvability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t>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Once marketing approval has been obtained, the approved product and its manufacturer are subject to continual review by the FDA or non-U.S. regulatory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 and may not be the same in all geographies, which may cause confusion.</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Future approvals may contain requirements for potentially costly post-marketing follow-up studies to monitor the safety and effectiveness of the approved product. In addition, we are subject to extensive and ongoing regulatory requirements by the FDA, EMA and other regulatory authorities with regard to the labeling, packaging, adverse event reporting, storage, advertising, promotion and recordkeeping for our products.</w:t>
      </w:r>
    </w:p>
    <w:p>
      <w:pPr>
        <w:spacing w:after="0" w:line="68"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In addition, we are required to comply with cGMP and foreign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EMA and other regulatory authorities for compliance with cGMP and foreign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 In addition, in June 2024, the U.S. Supreme Court in Loper Bright Enterprises v. Raimondo reversed its longstanding approach under the Chevron 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future marketing applications.</w:t>
      </w:r>
    </w:p>
    <w:p>
      <w:pPr>
        <w:spacing w:after="0" w:line="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example, drugs that are developed for rare diseases can be designated as Orphan Drugs. In the U.S., the disease or condition has an incidence of less than 200,000 persons and in the E.U. the prevalence of the condition must be not more than 5 in 10,000</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ind w:right="20"/>
        <w:spacing w:after="0" w:line="253" w:lineRule="auto"/>
        <w:rPr>
          <w:sz w:val="20"/>
          <w:szCs w:val="20"/>
          <w:color w:val="auto"/>
        </w:rPr>
      </w:pPr>
      <w:r>
        <w:rPr>
          <w:rFonts w:ascii="Times New Roman" w:cs="Times New Roman" w:eastAsia="Times New Roman" w:hAnsi="Times New Roman"/>
          <w:sz w:val="18"/>
          <w:szCs w:val="18"/>
          <w:color w:val="auto"/>
        </w:rPr>
        <w:t>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and potentially benefit from 10 years of market exclusivity (which period of market exclusivity may be extended by two years for orphan medicinal products that have also complied with an agreed pediatric investigation plan), during which time the EMA is generally precluded from accepting a MAA for a similar medicinal product. Applicants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It is important to note that the regulatory protection afforded to medicinal products such as data exclusivity, marketing protection, market exclusivity for orphan indications and pediatric extension are currently under review at the E.U. level. The protection currently afforded in the E.U. could be reduced in the future.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While the Catalyst Pharms., Inc. v. Becerra, 14 F.4th 1299 (11th Cir. 2021) decision created uncertainty in the application of the orphan drug exclusivity, on January 24,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orphan exclusivity in the U.S. and other jurisdictions may be lost if the FDA or comparable foreign regulatory authorities later determines that the request for designation was materially defective or if we are unable to ensure that we will be able to manufacture sufficient quantities of the product to meet the needs of patients with the rare disease or condition. In the U.S. and other jurisdictions, orphan drug exclusivity may not effectively protect an approved product from competition because different drugs with different active moieties may be approved for the same condition. Even after an orphan drug is approved, the regulatory authorities can subsequently approve the same drug with the same active moiety for the same condition if the applicable regulatory authorities conclude that the later drug is clinically superior in that it is shown to be safer, more effective or makes a major contribution to patient care or the manufacturer of the product with orphan exclusivity is unable to maintain sufficient product quantity.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approvals in foreign jurisdictions will prevent us from marketing our products internationally.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seek distribution and marketing partners for our current products outside the U.S. and may market planned products in international markets. In May 2025, we announced that our MMA for obtaining regulatory approval of diazoxide choline prolonged-release tablets (which we market in the U.S. as VYKAT XR) for the treatment of adults and children four years and older with PWS who have hyperphagia had been validated by the EMA. If we obtain E.U. marketing authorization, the expansion of our commercial activities in the E.U. will increase our compliance costs and exposure to potential liabilities under E.U. laws.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including in the E.U. In the E.U., there is a centralized approval procedure that allows for authorization of marketing of a product by the EMA in all 27 Member States of the E.U. (which includes most major countries in the E.U.) and is mandatory for medicinal products for rare disease. After receiving regulatory approval through any of the E.U. registration procedures, separate pricing and reimbursement approvals are also required in most countries. During the time of MAA assessment and following approval of an MAA by the EMA, the applicant is subject to oversight and inspection in pharmacovigilance (Good Vigilance Practice - GVP), clinical trials (Good Clinical Practice - GCP), manufacturing and distribution (Good Manufacturing and Good Distribution Practices- GMP &amp; GDP) and as a Marketing Authorisation Holder.</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commercial success.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result in the imposition of 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how any additional legislative changes or changes in presidential administrations will affect our business.</w:t>
      </w:r>
    </w:p>
    <w:p>
      <w:pPr>
        <w:spacing w:after="0" w:line="80"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current administration has issued executive orders focused on decreasing prescription drug prices, including directing the Secretary of HHS to establish a mechanism through which American patients can buy drugs directly from</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t>manufacturers who sell at a most-favored-nation price and directing the U.S. Trade Representative and Secretary of Commerce to take action to ensure foreign countries are not engaged in practices that purposefully and unfairly undercut market prices and drive price hikes in the U.S. If HHS begins to set most-favored-nation pricing targets for prescription drugs, including the use of international pricing reference to set drug prices in the U.S.,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U.S. Such cost containment policies and executive orders could substantially and negatively impact the prices we may charge for any approved products, which could harm our valuation, ability to generate revenue and achieve and sustain profitability. In addition, the One Big Beautiful Bill Act (OBBBA), which was signed into law in July 2025,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or prevent us from being able to generate revenue, attain profitability, or commercialize our product candidates if approved.</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products or product candidates.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2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4" w:name="page55"/>
    <w:bookmarkEnd w:id="54"/>
    <w:p>
      <w:pPr>
        <w:ind w:left="10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54"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2"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2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other customers, and third-party payers are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Now that we have begun commercializing VYKAT XR, we are subject to additional healthcare statutory and regulatory requirements and enforcement by the federal government and the states and foreign governments in which we conduct our business. Healthcare providers, physicians, and third-party payers play a primary role in the recommendation and prescription of VYKAT XR. Our arrangements with third-party payors and customers may expose us to broadly applicable fraud and abuse and other healthcare laws and regulations that may constrain the business or financial arrangements and relationships through which we market, sell, and distribute VYKAT XR. Restrictions under applicable federal and state healthcare laws and regulations include, but are not limited to, the Anti-Kickback Statute, the False Claims Act, HIPAA and the HITECH Act.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do business is found not to be in compliance with applicable laws, they may be subject to criminal, civil or administrative sanctions, including exclusions from government funded healthcare programs.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5" w:name="page56"/>
    <w:bookmarkEnd w:id="5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laws regarding privacy, data protection, and data security that could entail substantial compliance costs, while the failure to comply could subject us to significant liability.</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Our activities in the European Economic Area (EEA), for example, are governed by the E.U. General Data Protection Regulation (GDPR).</w:t>
      </w:r>
    </w:p>
    <w:p>
      <w:pPr>
        <w:spacing w:after="0" w:line="8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securities could incur substantial losses.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realize significant revenues from sales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other clinical trials of our products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trials,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6" w:name="page57"/>
    <w:bookmarkEnd w:id="56"/>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products or planned products;</w:t>
      </w:r>
    </w:p>
    <w:p>
      <w:pPr>
        <w:spacing w:after="0" w:line="11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ability to bring our manufacturing processes to scale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due to inflation;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this “Risk Factors” section.</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will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2017 through December 31, 2023 and determined that a change in ownership has occurred on March 7, 2017, December 21, 2018, June 30, 2020 and September 26, 2023. As a result, the net operating loss carryforwards and tax credit carryforwards maybe subject to annual limitations before being applied to reduce future income tax liabilities. For years ended after December 31, 2023, the utilization of net operating losses and tax credit carryforwards are subject to further limitation in the event an additional ownership change were to occur for tax purposes. In addition, we raised capital in May 2024 and July 2025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81" w:lineRule="exact"/>
        <w:rPr>
          <w:sz w:val="20"/>
          <w:szCs w:val="20"/>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staggered three-year terms which may delay or prevent a change of our management or a change in control;</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our certificate of incorporation and bylaws require the approval of 66 2/3% of our outstanding voting securities;</w:t>
      </w:r>
    </w:p>
    <w:p>
      <w:pPr>
        <w:spacing w:after="0" w:line="117" w:lineRule="exact"/>
        <w:rPr>
          <w:rFonts w:ascii="Times New Roman" w:cs="Times New Roman" w:eastAsia="Times New Roman" w:hAnsi="Times New Roman"/>
          <w:sz w:val="18"/>
          <w:szCs w:val="18"/>
          <w:color w:val="auto"/>
        </w:rPr>
      </w:pPr>
    </w:p>
    <w:p>
      <w:pPr>
        <w:jc w:val="both"/>
        <w:ind w:left="1020" w:right="100" w:hanging="503"/>
        <w:spacing w:after="0" w:line="289"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49" w:lineRule="exact"/>
        <w:rPr>
          <w:rFonts w:ascii="Times New Roman" w:cs="Times New Roman" w:eastAsia="Times New Roman" w:hAnsi="Times New Roman"/>
          <w:sz w:val="17"/>
          <w:szCs w:val="17"/>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54"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are parties to employment agreements that contain change in control and severance provisions providing for aggregate cash payments for severance and other benefits and acceleration of equity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5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have never paid dividends and do not anticipate paying dividends in the foreseeable future. The payment of dividends will depend on our earnings, capital requirements, financial condition, prospects and other factors our Board may deem relevant. If we do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right="520"/>
        <w:spacing w:after="0" w:line="282" w:lineRule="auto"/>
        <w:rPr>
          <w:sz w:val="20"/>
          <w:szCs w:val="20"/>
          <w:color w:val="auto"/>
        </w:rPr>
      </w:pPr>
      <w:r>
        <w:rPr>
          <w:rFonts w:ascii="Times New Roman" w:cs="Times New Roman" w:eastAsia="Times New Roman" w:hAnsi="Times New Roman"/>
          <w:sz w:val="18"/>
          <w:szCs w:val="18"/>
          <w:color w:val="auto"/>
        </w:rPr>
        <w:t>not pay dividends, our stock may be less valuable because a return on your investment will only occur if our stock price appreciates and you sell our common stock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fail or experience security breaches and incidents that could adversely impact our business and operations and subject us to liability.</w:t>
      </w:r>
    </w:p>
    <w:p>
      <w:pPr>
        <w:spacing w:after="0" w:line="51" w:lineRule="exact"/>
        <w:rPr>
          <w:sz w:val="20"/>
          <w:szCs w:val="20"/>
          <w:color w:val="auto"/>
        </w:rPr>
      </w:pPr>
    </w:p>
    <w:p>
      <w:pPr>
        <w:jc w:val="both"/>
        <w:ind w:right="620" w:firstLine="509"/>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do not accurately predict and identify our information technology systems requirements and failures and timely enhance our information technology systems, or if our remediation efforts are not successful, it could result in a material disruption of our business operations, including the loss or unauthorized disclosure of our trade secrets, individuals’ personal information, or other proprietary or sensitive data.</w:t>
      </w:r>
    </w:p>
    <w:p>
      <w:pPr>
        <w:spacing w:after="0" w:line="6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our risk factor “</w:t>
      </w:r>
      <w:r>
        <w:rPr>
          <w:rFonts w:ascii="Times New Roman" w:cs="Times New Roman" w:eastAsia="Times New Roman" w:hAnsi="Times New Roman"/>
          <w:sz w:val="18"/>
          <w:szCs w:val="18"/>
          <w:i w:val="1"/>
          <w:iCs w:val="1"/>
          <w:color w:val="auto"/>
        </w:rPr>
        <w:t>We are subject to U.S. and foreign laws regarding privacy, data protection, and data security that could entail substantial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while the failure to comply could subject us to significant liability</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9" w:name="page60"/>
    <w:bookmarkEnd w:id="59"/>
    <w:p>
      <w:pPr>
        <w:ind w:firstLine="509"/>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products could be interrupted.</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social media posts at X (formerly Twitter)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spacing w:after="0" w:line="122"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21" w:lineRule="exact"/>
        <w:rPr>
          <w:sz w:val="20"/>
          <w:szCs w:val="20"/>
          <w:color w:val="auto"/>
        </w:rPr>
      </w:pPr>
    </w:p>
    <w:p>
      <w:pPr>
        <w:jc w:val="both"/>
        <w:ind w:right="40" w:firstLine="56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did not adopt, modify or terminate and no directors or officers, as defined in Rule 16a-1(f), adopted, modified or terminated a “Rule 10b5-1 trading arrangement” or a “non-Rule 10b5-1 trading arrangement,” each as defined in Regulation S-K Item 408.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00" w:type="dxa"/>
            <w:vAlign w:val="bottom"/>
          </w:tcPr>
          <w:p>
            <w:pPr>
              <w:spacing w:after="0"/>
              <w:rPr>
                <w:sz w:val="10"/>
                <w:szCs w:val="10"/>
                <w:color w:val="auto"/>
              </w:rPr>
            </w:pPr>
          </w:p>
        </w:tc>
        <w:tc>
          <w:tcPr>
            <w:tcW w:w="168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800" w:type="dxa"/>
            <w:vAlign w:val="bottom"/>
            <w:tcBorders>
              <w:bottom w:val="single" w:sz="8" w:color="0000FF"/>
            </w:tcBorders>
            <w:gridSpan w:val="4"/>
          </w:tcPr>
          <w:p>
            <w:pPr>
              <w:ind w:left="80"/>
              <w:spacing w:after="0"/>
              <w:rPr>
                <w:sz w:val="20"/>
                <w:szCs w:val="20"/>
                <w:color w:val="auto"/>
              </w:rPr>
            </w:pPr>
            <w:r>
              <w:rPr>
                <w:rFonts w:ascii="Times New Roman" w:cs="Times New Roman" w:eastAsia="Times New Roman" w:hAnsi="Times New Roman"/>
                <w:sz w:val="18"/>
                <w:szCs w:val="18"/>
                <w:color w:val="0000FF"/>
              </w:rPr>
              <w:t>Required</w:t>
            </w:r>
          </w:p>
        </w:tc>
        <w:tc>
          <w:tcPr>
            <w:tcW w:w="15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Rule 13a-14(a) and 15d-14(a) of the Securities and</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17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13a-14(a) and 15d-14(a) of</w:t>
            </w:r>
          </w:p>
        </w:tc>
        <w:tc>
          <w:tcPr>
            <w:tcW w:w="13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the Securities and Exchange Act of 1934, as amended</w:t>
            </w:r>
          </w:p>
        </w:tc>
        <w:tc>
          <w:tcPr>
            <w:tcW w:w="15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w:t>
            </w:r>
          </w:p>
        </w:tc>
        <w:tc>
          <w:tcPr>
            <w:tcW w:w="160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Under Rule 13a-14(b) of the Securities and Exchange Act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17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13a-14(b) of the Securities</w:t>
            </w:r>
          </w:p>
        </w:tc>
        <w:tc>
          <w:tcPr>
            <w:tcW w:w="13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and Exchange Act of 1934, as amended, and 18 U.S.C.</w:t>
            </w:r>
          </w:p>
        </w:tc>
        <w:tc>
          <w:tcPr>
            <w:tcW w:w="14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60" w:type="dxa"/>
            <w:vAlign w:val="bottom"/>
            <w:gridSpan w:val="4"/>
          </w:tcPr>
          <w:p>
            <w:pPr>
              <w:ind w:left="160"/>
              <w:spacing w:after="0" w:line="196" w:lineRule="exact"/>
              <w:rPr>
                <w:sz w:val="20"/>
                <w:szCs w:val="20"/>
                <w:color w:val="auto"/>
              </w:rPr>
            </w:pPr>
            <w:r>
              <w:rPr>
                <w:rFonts w:ascii="Times New Roman" w:cs="Times New Roman" w:eastAsia="Times New Roman" w:hAnsi="Times New Roman"/>
                <w:sz w:val="18"/>
                <w:szCs w:val="18"/>
                <w:color w:val="0000FF"/>
              </w:rPr>
              <w:t>§1350</w:t>
            </w: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8"/>
        <w:spacing w:after="0" w:line="241" w:lineRule="auto"/>
        <w:tabs>
          <w:tab w:leader="none" w:pos="11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2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2025,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right="740" w:hanging="513"/>
        <w:spacing w:after="0" w:line="282"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2025,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right="740" w:hanging="513"/>
        <w:spacing w:after="0" w:line="282"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Roman"/>
      <w:start w:val="4"/>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2025-08-06T16:26:03Z</dcterms:created>
  <dcterms:modified xsi:type="dcterms:W3CDTF">2025-08-06T16:26:03Z</dcterms:modified>
</cp:coreProperties>
</file>