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6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4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5"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980" w:type="dxa"/>
            <w:vAlign w:val="bottom"/>
          </w:tcPr>
          <w:p>
            <w:pPr>
              <w:jc w:val="center"/>
              <w:ind w:left="1584"/>
              <w:spacing w:after="0"/>
              <w:rPr>
                <w:sz w:val="20"/>
                <w:szCs w:val="20"/>
                <w:color w:val="auto"/>
              </w:rPr>
            </w:pPr>
            <w:r>
              <w:rPr>
                <w:rFonts w:ascii="Arial" w:cs="Arial" w:eastAsia="Arial" w:hAnsi="Arial"/>
                <w:sz w:val="17"/>
                <w:szCs w:val="17"/>
                <w:b w:val="1"/>
                <w:bCs w:val="1"/>
                <w:color w:val="auto"/>
                <w:w w:val="91"/>
              </w:rPr>
              <w:t>Delaware</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00" w:type="dxa"/>
            <w:vAlign w:val="bottom"/>
          </w:tcPr>
          <w:p>
            <w:pPr>
              <w:jc w:val="center"/>
              <w:ind w:right="1684"/>
              <w:spacing w:after="0"/>
              <w:rPr>
                <w:sz w:val="20"/>
                <w:szCs w:val="20"/>
                <w:color w:val="auto"/>
              </w:rPr>
            </w:pPr>
            <w:r>
              <w:rPr>
                <w:rFonts w:ascii="Arial" w:cs="Arial" w:eastAsia="Arial" w:hAnsi="Arial"/>
                <w:sz w:val="17"/>
                <w:szCs w:val="17"/>
                <w:b w:val="1"/>
                <w:bCs w:val="1"/>
                <w:color w:val="auto"/>
                <w:w w:val="90"/>
              </w:rPr>
              <w:t>77-0523891</w:t>
            </w:r>
          </w:p>
        </w:tc>
        <w:tc>
          <w:tcPr>
            <w:tcW w:w="0" w:type="dxa"/>
            <w:vAlign w:val="bottom"/>
          </w:tcPr>
          <w:p>
            <w:pPr>
              <w:spacing w:after="0"/>
              <w:rPr>
                <w:sz w:val="1"/>
                <w:szCs w:val="1"/>
                <w:color w:val="auto"/>
              </w:rPr>
            </w:pPr>
          </w:p>
        </w:tc>
      </w:tr>
      <w:tr>
        <w:trPr>
          <w:trHeight w:val="148"/>
        </w:trPr>
        <w:tc>
          <w:tcPr>
            <w:tcW w:w="3980" w:type="dxa"/>
            <w:vAlign w:val="bottom"/>
          </w:tcPr>
          <w:p>
            <w:pPr>
              <w:jc w:val="center"/>
              <w:ind w:left="158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Pr>
          <w:p>
            <w:pPr>
              <w:jc w:val="center"/>
              <w:ind w:right="166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980" w:type="dxa"/>
            <w:vAlign w:val="bottom"/>
          </w:tcPr>
          <w:p>
            <w:pPr>
              <w:jc w:val="center"/>
              <w:ind w:left="1584"/>
              <w:spacing w:after="0"/>
              <w:rPr>
                <w:sz w:val="20"/>
                <w:szCs w:val="20"/>
                <w:color w:val="auto"/>
              </w:rPr>
            </w:pPr>
            <w:r>
              <w:rPr>
                <w:rFonts w:ascii="Arial" w:cs="Arial" w:eastAsia="Arial" w:hAnsi="Arial"/>
                <w:sz w:val="14"/>
                <w:szCs w:val="14"/>
                <w:b w:val="1"/>
                <w:bCs w:val="1"/>
                <w:color w:val="auto"/>
                <w:w w:val="94"/>
              </w:rPr>
              <w:t>incorporation or organization)</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00" w:type="dxa"/>
            <w:vAlign w:val="bottom"/>
          </w:tcPr>
          <w:p>
            <w:pPr>
              <w:jc w:val="center"/>
              <w:ind w:right="168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7"/>
        </w:trPr>
        <w:tc>
          <w:tcPr>
            <w:tcW w:w="3980" w:type="dxa"/>
            <w:vAlign w:val="bottom"/>
          </w:tcPr>
          <w:p>
            <w:pPr>
              <w:spacing w:after="0"/>
              <w:rPr>
                <w:sz w:val="21"/>
                <w:szCs w:val="21"/>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89"/>
              </w:rPr>
              <w:t>203 Redwood Shores Parkway, Suite 500</w:t>
            </w: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60" w:type="dxa"/>
            <w:vAlign w:val="bottom"/>
            <w:gridSpan w:val="4"/>
          </w:tcPr>
          <w:p>
            <w:pPr>
              <w:jc w:val="center"/>
              <w:ind w:right="600"/>
              <w:spacing w:after="0"/>
              <w:rPr>
                <w:sz w:val="20"/>
                <w:szCs w:val="20"/>
                <w:color w:val="auto"/>
              </w:rPr>
            </w:pPr>
            <w:r>
              <w:rPr>
                <w:rFonts w:ascii="Arial" w:cs="Arial" w:eastAsia="Arial" w:hAnsi="Arial"/>
                <w:sz w:val="17"/>
                <w:szCs w:val="17"/>
                <w:b w:val="1"/>
                <w:bCs w:val="1"/>
                <w:color w:val="auto"/>
                <w:w w:val="92"/>
              </w:rPr>
              <w:t>Redwood City, California</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80" w:type="dxa"/>
            <w:vAlign w:val="bottom"/>
          </w:tcPr>
          <w:p>
            <w:pPr>
              <w:spacing w:after="0"/>
              <w:rPr>
                <w:sz w:val="20"/>
                <w:szCs w:val="20"/>
                <w:color w:val="auto"/>
              </w:rPr>
            </w:pPr>
          </w:p>
        </w:tc>
        <w:tc>
          <w:tcPr>
            <w:tcW w:w="2560" w:type="dxa"/>
            <w:vAlign w:val="bottom"/>
            <w:gridSpan w:val="3"/>
          </w:tcPr>
          <w:p>
            <w:pPr>
              <w:jc w:val="right"/>
              <w:ind w:right="625"/>
              <w:spacing w:after="0"/>
              <w:rPr>
                <w:sz w:val="20"/>
                <w:szCs w:val="20"/>
                <w:color w:val="auto"/>
              </w:rPr>
            </w:pPr>
            <w:r>
              <w:rPr>
                <w:rFonts w:ascii="Arial" w:cs="Arial" w:eastAsia="Arial" w:hAnsi="Arial"/>
                <w:sz w:val="17"/>
                <w:szCs w:val="17"/>
                <w:b w:val="1"/>
                <w:bCs w:val="1"/>
                <w:color w:val="auto"/>
              </w:rPr>
              <w:t>94065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3"/>
          </w:tcPr>
          <w:p>
            <w:pPr>
              <w:jc w:val="center"/>
              <w:ind w:right="1080"/>
              <w:spacing w:after="0"/>
              <w:rPr>
                <w:sz w:val="20"/>
                <w:szCs w:val="20"/>
                <w:color w:val="auto"/>
              </w:rPr>
            </w:pPr>
            <w:r>
              <w:rPr>
                <w:rFonts w:ascii="Arial" w:cs="Arial" w:eastAsia="Arial" w:hAnsi="Arial"/>
                <w:sz w:val="14"/>
                <w:szCs w:val="14"/>
                <w:b w:val="1"/>
                <w:bCs w:val="1"/>
                <w:color w:val="auto"/>
                <w:w w:val="95"/>
              </w:rPr>
              <w:t>(Zip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980" w:type="dxa"/>
            <w:vAlign w:val="bottom"/>
          </w:tcPr>
          <w:p>
            <w:pPr>
              <w:spacing w:after="0"/>
              <w:rPr>
                <w:sz w:val="21"/>
                <w:szCs w:val="21"/>
                <w:color w:val="auto"/>
              </w:rPr>
            </w:pPr>
          </w:p>
        </w:tc>
        <w:tc>
          <w:tcPr>
            <w:tcW w:w="2560" w:type="dxa"/>
            <w:vAlign w:val="bottom"/>
            <w:gridSpan w:val="3"/>
          </w:tcPr>
          <w:p>
            <w:pPr>
              <w:jc w:val="right"/>
              <w:ind w:right="305"/>
              <w:spacing w:after="0"/>
              <w:rPr>
                <w:sz w:val="20"/>
                <w:szCs w:val="20"/>
                <w:color w:val="auto"/>
              </w:rPr>
            </w:pPr>
            <w:r>
              <w:rPr>
                <w:rFonts w:ascii="Arial" w:cs="Arial" w:eastAsia="Arial" w:hAnsi="Arial"/>
                <w:sz w:val="17"/>
                <w:szCs w:val="17"/>
                <w:b w:val="1"/>
                <w:bCs w:val="1"/>
                <w:color w:val="auto"/>
              </w:rPr>
              <w:t>(650) 213-8444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3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980" w:type="dxa"/>
            <w:vAlign w:val="bottom"/>
            <w:vMerge w:val="restart"/>
          </w:tcPr>
          <w:p>
            <w:pPr>
              <w:ind w:left="440"/>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5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3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b w:val="1"/>
                <w:bCs w:val="1"/>
                <w:color w:val="auto"/>
                <w:w w:val="88"/>
              </w:rPr>
              <w:t>Title of each class</w:t>
            </w:r>
          </w:p>
        </w:tc>
        <w:tc>
          <w:tcPr>
            <w:tcW w:w="52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jc w:val="center"/>
              <w:ind w:right="744"/>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210"/>
        </w:trPr>
        <w:tc>
          <w:tcPr>
            <w:tcW w:w="3980" w:type="dxa"/>
            <w:vAlign w:val="bottom"/>
            <w:tcBorders>
              <w:left w:val="single" w:sz="8" w:color="auto"/>
              <w:bottom w:val="single" w:sz="8" w:color="auto"/>
            </w:tcBorders>
          </w:tcPr>
          <w:p>
            <w:pPr>
              <w:jc w:val="center"/>
              <w:ind w:left="924"/>
              <w:spacing w:after="0"/>
              <w:rPr>
                <w:sz w:val="20"/>
                <w:szCs w:val="20"/>
                <w:color w:val="auto"/>
              </w:rPr>
            </w:pPr>
            <w:r>
              <w:rPr>
                <w:rFonts w:ascii="Arial" w:cs="Arial" w:eastAsia="Arial" w:hAnsi="Arial"/>
                <w:sz w:val="15"/>
                <w:szCs w:val="15"/>
                <w:color w:val="auto"/>
                <w:w w:val="92"/>
              </w:rPr>
              <w:t>Common Stock, $0.001 par value</w:t>
            </w: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SLNO</w:t>
            </w:r>
          </w:p>
        </w:tc>
        <w:tc>
          <w:tcPr>
            <w:tcW w:w="820" w:type="dxa"/>
            <w:vAlign w:val="bottom"/>
            <w:tcBorders>
              <w:bottom w:val="single" w:sz="8" w:color="auto"/>
            </w:tcBorders>
            <w:gridSpan w:val="2"/>
          </w:tcPr>
          <w:p>
            <w:pPr>
              <w:spacing w:after="0"/>
              <w:rPr>
                <w:sz w:val="18"/>
                <w:szCs w:val="18"/>
                <w:color w:val="auto"/>
              </w:rPr>
            </w:pPr>
          </w:p>
        </w:tc>
        <w:tc>
          <w:tcPr>
            <w:tcW w:w="3900" w:type="dxa"/>
            <w:vAlign w:val="bottom"/>
            <w:tcBorders>
              <w:bottom w:val="single" w:sz="8" w:color="auto"/>
              <w:right w:val="single" w:sz="8" w:color="auto"/>
            </w:tcBorders>
          </w:tcPr>
          <w:p>
            <w:pPr>
              <w:jc w:val="center"/>
              <w:ind w:right="764"/>
              <w:spacing w:after="0"/>
              <w:rPr>
                <w:sz w:val="20"/>
                <w:szCs w:val="20"/>
                <w:color w:val="auto"/>
              </w:rPr>
            </w:pPr>
            <w:r>
              <w:rPr>
                <w:rFonts w:ascii="Arial" w:cs="Arial" w:eastAsia="Arial" w:hAnsi="Arial"/>
                <w:sz w:val="15"/>
                <w:szCs w:val="15"/>
                <w:color w:val="auto"/>
                <w:w w:val="97"/>
              </w:rPr>
              <w:t>NASDAQ</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140" w:firstLine="510"/>
        <w:spacing w:after="0" w:line="19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4" w:lineRule="exact"/>
        <w:rPr>
          <w:sz w:val="24"/>
          <w:szCs w:val="24"/>
          <w:color w:val="auto"/>
        </w:rPr>
      </w:pPr>
    </w:p>
    <w:p>
      <w:pPr>
        <w:ind w:right="360" w:firstLine="51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480" w:firstLine="510"/>
        <w:spacing w:after="0" w:line="33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Arial" w:cs="Arial" w:eastAsia="Arial" w:hAnsi="Arial"/>
                <w:sz w:val="15"/>
                <w:szCs w:val="15"/>
                <w:color w:val="auto"/>
              </w:rPr>
              <w:t>Non-accelerated filer</w:t>
            </w:r>
          </w:p>
        </w:tc>
        <w:tc>
          <w:tcPr>
            <w:tcW w:w="34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00" w:type="dxa"/>
            <w:vAlign w:val="bottom"/>
          </w:tcPr>
          <w:p>
            <w:pPr>
              <w:ind w:left="3020"/>
              <w:spacing w:after="0"/>
              <w:rPr>
                <w:sz w:val="20"/>
                <w:szCs w:val="20"/>
                <w:color w:val="auto"/>
              </w:rPr>
            </w:pPr>
            <w:r>
              <w:rPr>
                <w:rFonts w:ascii="Arial" w:cs="Arial" w:eastAsia="Arial" w:hAnsi="Arial"/>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0" w:type="dxa"/>
            <w:vAlign w:val="bottom"/>
          </w:tcPr>
          <w:p>
            <w:pPr>
              <w:ind w:left="3020"/>
              <w:spacing w:after="0"/>
              <w:rPr>
                <w:sz w:val="20"/>
                <w:szCs w:val="20"/>
                <w:color w:val="auto"/>
              </w:rPr>
            </w:pPr>
            <w:r>
              <w:rPr>
                <w:rFonts w:ascii="Arial" w:cs="Arial" w:eastAsia="Arial" w:hAnsi="Arial"/>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4" w:lineRule="exact"/>
        <w:rPr>
          <w:sz w:val="24"/>
          <w:szCs w:val="24"/>
          <w:color w:val="auto"/>
        </w:rPr>
      </w:pPr>
    </w:p>
    <w:p>
      <w:pPr>
        <w:ind w:right="120" w:firstLine="51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ind w:left="520" w:right="2960"/>
        <w:spacing w:after="0" w:line="25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November 5, 2021, there were 79,806,487 shares of the registrant’s Common Stock, par value $0.001 per share, outstanding</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391160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0"/>
        </w:trPr>
        <w:tc>
          <w:tcPr>
            <w:tcW w:w="9200" w:type="dxa"/>
            <w:vAlign w:val="bottom"/>
            <w:gridSpan w:val="22"/>
            <w:vMerge w:val="continue"/>
          </w:tcPr>
          <w:p>
            <w:pPr>
              <w:spacing w:after="0"/>
              <w:rPr>
                <w:sz w:val="16"/>
                <w:szCs w:val="16"/>
                <w:color w:val="auto"/>
              </w:rPr>
            </w:pPr>
          </w:p>
        </w:tc>
        <w:tc>
          <w:tcPr>
            <w:tcW w:w="20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60" w:type="dxa"/>
            <w:vAlign w:val="bottom"/>
            <w:tcBorders>
              <w:top w:val="single" w:sz="8" w:color="0000EE"/>
            </w:tcBorders>
            <w:gridSpan w:val="4"/>
          </w:tcPr>
          <w:p>
            <w:pPr>
              <w:spacing w:after="0"/>
              <w:rPr>
                <w:sz w:val="17"/>
                <w:szCs w:val="17"/>
                <w:color w:val="auto"/>
              </w:rPr>
            </w:pPr>
          </w:p>
        </w:tc>
        <w:tc>
          <w:tcPr>
            <w:tcW w:w="6040" w:type="dxa"/>
            <w:vAlign w:val="bottom"/>
            <w:gridSpan w:val="9"/>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(unaudited)</w:t>
              </w:r>
            </w:hyperlink>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Stockholders’ Equity (unaudited)</w:t>
              </w:r>
            </w:hyperlink>
          </w:p>
        </w:tc>
        <w:tc>
          <w:tcPr>
            <w:tcW w:w="3060" w:type="dxa"/>
            <w:vAlign w:val="bottom"/>
            <w:gridSpan w:val="2"/>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(unaudited)</w:t>
              </w:r>
            </w:hyperlink>
          </w:p>
        </w:tc>
        <w:tc>
          <w:tcPr>
            <w:tcW w:w="3740" w:type="dxa"/>
            <w:vAlign w:val="bottom"/>
            <w:gridSpan w:val="4"/>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460" w:type="dxa"/>
            <w:vAlign w:val="bottom"/>
            <w:gridSpan w:val="3"/>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0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2. Management’s Discussion and Analysis of Financial Condition and Results of Operations</w:t>
              </w:r>
            </w:hyperlink>
          </w:p>
        </w:tc>
        <w:tc>
          <w:tcPr>
            <w:tcW w:w="17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Item 3. Quantitative and Qualitative Disclosures About Market Risk</w:t>
              </w:r>
            </w:hyperlink>
          </w:p>
        </w:tc>
        <w:tc>
          <w:tcPr>
            <w:tcW w:w="3800" w:type="dxa"/>
            <w:vAlign w:val="bottom"/>
            <w:gridSpan w:val="5"/>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Item 4. Controls and Procedures</w:t>
              </w:r>
            </w:hyperlink>
          </w:p>
        </w:tc>
        <w:tc>
          <w:tcPr>
            <w:tcW w:w="6420" w:type="dxa"/>
            <w:vAlign w:val="bottom"/>
            <w:gridSpan w:val="11"/>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PART II—OTHER INFORMATION</w:t>
              </w:r>
            </w:hyperlink>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 Legal Proceedings</w:t>
              </w:r>
            </w:hyperlink>
          </w:p>
        </w:tc>
        <w:tc>
          <w:tcPr>
            <w:tcW w:w="6340" w:type="dxa"/>
            <w:vAlign w:val="bottom"/>
            <w:gridSpan w:val="10"/>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1A. Risk Factors</w:t>
              </w:r>
            </w:hyperlink>
          </w:p>
        </w:tc>
        <w:tc>
          <w:tcPr>
            <w:tcW w:w="6880" w:type="dxa"/>
            <w:vAlign w:val="bottom"/>
            <w:gridSpan w:val="14"/>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Unregistered Sales of Equity Securities and Use of Proceeds</w:t>
              </w:r>
            </w:hyperlink>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 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860" w:type="dxa"/>
            <w:vAlign w:val="bottom"/>
            <w:gridSpan w:val="6"/>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4. Mine Safety Disclosures</w:t>
              </w:r>
            </w:hyperlink>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5. Other Information</w:t>
              </w:r>
            </w:hyperlink>
          </w:p>
        </w:tc>
        <w:tc>
          <w:tcPr>
            <w:tcW w:w="6440" w:type="dxa"/>
            <w:vAlign w:val="bottom"/>
            <w:gridSpan w:val="12"/>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6900" w:type="dxa"/>
            <w:vAlign w:val="bottom"/>
            <w:gridSpan w:val="15"/>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200" w:type="dxa"/>
            <w:vAlign w:val="bottom"/>
            <w:gridSpan w:val="22"/>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EXHIBIT INDEX</w:t>
              </w:r>
            </w:hyperlink>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7800" w:type="dxa"/>
            <w:vAlign w:val="bottom"/>
            <w:gridSpan w:val="18"/>
          </w:tcPr>
          <w:p>
            <w:pPr>
              <w:spacing w:after="0"/>
              <w:rPr>
                <w:sz w:val="17"/>
                <w:szCs w:val="17"/>
                <w:color w:val="auto"/>
              </w:rPr>
            </w:pPr>
          </w:p>
        </w:tc>
        <w:tc>
          <w:tcPr>
            <w:tcW w:w="2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7080" w:type="dxa"/>
            <w:vAlign w:val="bottom"/>
          </w:tcPr>
          <w:p>
            <w:pPr>
              <w:jc w:val="center"/>
              <w:ind w:left="279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 w:type="dxa"/>
            <w:vAlign w:val="bottom"/>
          </w:tcPr>
          <w:p>
            <w:pPr>
              <w:spacing w:after="0"/>
              <w:rPr>
                <w:sz w:val="24"/>
                <w:szCs w:val="24"/>
                <w:color w:val="auto"/>
              </w:rPr>
            </w:pPr>
          </w:p>
        </w:tc>
        <w:tc>
          <w:tcPr>
            <w:tcW w:w="7080" w:type="dxa"/>
            <w:vAlign w:val="bottom"/>
          </w:tcPr>
          <w:p>
            <w:pPr>
              <w:jc w:val="center"/>
              <w:ind w:left="2790"/>
              <w:spacing w:after="0"/>
              <w:rPr>
                <w:sz w:val="20"/>
                <w:szCs w:val="20"/>
                <w:color w:val="auto"/>
              </w:rPr>
            </w:pPr>
            <w:r>
              <w:rPr>
                <w:rFonts w:ascii="Arial" w:cs="Arial" w:eastAsia="Arial" w:hAnsi="Arial"/>
                <w:sz w:val="18"/>
                <w:szCs w:val="18"/>
                <w:b w:val="1"/>
                <w:bCs w:val="1"/>
                <w:color w:val="auto"/>
                <w:w w:val="89"/>
              </w:rPr>
              <w:t>Soleno Therapeutics, Inc.</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7080" w:type="dxa"/>
            <w:vAlign w:val="bottom"/>
          </w:tcPr>
          <w:p>
            <w:pPr>
              <w:jc w:val="center"/>
              <w:ind w:left="28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7080" w:type="dxa"/>
            <w:vAlign w:val="bottom"/>
          </w:tcPr>
          <w:p>
            <w:pPr>
              <w:jc w:val="center"/>
              <w:ind w:left="279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7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2"/>
                <w:szCs w:val="22"/>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40" w:type="dxa"/>
            <w:vAlign w:val="bottom"/>
            <w:tcBorders>
              <w:bottom w:val="single" w:sz="8" w:color="CFF0FC"/>
            </w:tcBorders>
          </w:tcPr>
          <w:p>
            <w:pPr>
              <w:spacing w:after="0"/>
              <w:rPr>
                <w:sz w:val="14"/>
                <w:szCs w:val="14"/>
                <w:color w:val="auto"/>
              </w:rPr>
            </w:pPr>
          </w:p>
        </w:tc>
        <w:tc>
          <w:tcPr>
            <w:tcW w:w="70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center"/>
              <w:ind w:right="111"/>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28,887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shd w:val="clear" w:color="auto" w:fill="CFF0FC"/>
          </w:tcPr>
          <w:p>
            <w:pPr>
              <w:spacing w:after="0"/>
              <w:rPr>
                <w:sz w:val="19"/>
                <w:szCs w:val="19"/>
                <w:color w:val="auto"/>
              </w:rPr>
            </w:pPr>
          </w:p>
        </w:tc>
        <w:tc>
          <w:tcPr>
            <w:tcW w:w="70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3,858</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Accrued clinical trial site costs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2018 PIPE Warrant liability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Contingent liability for Essentialis purchase price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 liabilities, net of current</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tcPr>
          <w:p>
            <w:pPr>
              <w:spacing w:after="0"/>
              <w:rPr>
                <w:sz w:val="19"/>
                <w:szCs w:val="19"/>
                <w:color w:val="auto"/>
              </w:rPr>
            </w:pPr>
          </w:p>
        </w:tc>
        <w:tc>
          <w:tcPr>
            <w:tcW w:w="70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$0.001 par value, 250,000,000 shares authorized,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79,806,487 and 79,615,692 shares issued and outstanding at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September 30, 2021 and December 31, 2020, respectively.</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230,650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(210,527)</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(182,445)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20,203</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42,565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6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4,968</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17,719</w:t>
            </w:r>
          </w:p>
        </w:tc>
        <w:tc>
          <w:tcPr>
            <w:tcW w:w="26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28,527</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(28,527)</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(689)</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(28,082)</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4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2"/>
              </w:rPr>
              <w:t>Weighted-average common shares outstanding used to calculate basic and</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loss per common share</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79,791,075</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79,583,254</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79,744,807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56,916,137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000" w:type="dxa"/>
            <w:vAlign w:val="bottom"/>
            <w:gridSpan w:val="4"/>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14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79,615,692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(182,445)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167,060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Tax withholding payments for net share-settled equity awards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(59,072)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(8,954)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(8,954)</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March 31,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79,723,680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(191,399)</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35,545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(10,988)</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June 30,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79,759,225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(202,387)</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47,262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(8,140)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(8,140)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September 30, 2021</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79,806,487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(210,527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5200" w:type="dxa"/>
            <w:vAlign w:val="bottom"/>
          </w:tcPr>
          <w:p>
            <w:pPr>
              <w:spacing w:after="0"/>
              <w:rPr>
                <w:sz w:val="24"/>
                <w:szCs w:val="24"/>
                <w:color w:val="auto"/>
              </w:rPr>
            </w:pPr>
          </w:p>
        </w:tc>
        <w:tc>
          <w:tcPr>
            <w:tcW w:w="2000" w:type="dxa"/>
            <w:vAlign w:val="bottom"/>
            <w:gridSpan w:val="4"/>
            <w:vMerge w:val="restart"/>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14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10"/>
              <w:spacing w:after="0" w:line="155" w:lineRule="exact"/>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44,658,054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172,708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(157,806)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28,757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(5,858)</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(5,858)</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at March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44,686,811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(163,664)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60"/>
              <w:spacing w:after="0"/>
              <w:rPr>
                <w:sz w:val="20"/>
                <w:szCs w:val="20"/>
                <w:color w:val="auto"/>
              </w:rPr>
            </w:pPr>
            <w:r>
              <w:rPr>
                <w:rFonts w:ascii="Arial" w:cs="Arial" w:eastAsia="Arial" w:hAnsi="Arial"/>
                <w:sz w:val="18"/>
                <w:szCs w:val="18"/>
                <w:color w:val="auto"/>
                <w:w w:val="99"/>
              </w:rPr>
              <w:t>Sale of common stock in public offering, net of costs of $3,778</w:t>
            </w:r>
          </w:p>
        </w:tc>
        <w:tc>
          <w:tcPr>
            <w:tcW w:w="1000" w:type="dxa"/>
            <w:vAlign w:val="bottom"/>
          </w:tcPr>
          <w:p>
            <w:pPr>
              <w:jc w:val="right"/>
              <w:spacing w:after="0"/>
              <w:rPr>
                <w:sz w:val="20"/>
                <w:szCs w:val="20"/>
                <w:color w:val="auto"/>
              </w:rPr>
            </w:pPr>
            <w:r>
              <w:rPr>
                <w:rFonts w:ascii="Arial" w:cs="Arial" w:eastAsia="Arial" w:hAnsi="Arial"/>
                <w:sz w:val="18"/>
                <w:szCs w:val="18"/>
                <w:color w:val="auto"/>
              </w:rPr>
              <w:t>34,848,484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(7,384)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June 30,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79,560,274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(171,048)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260"/>
              <w:spacing w:after="0"/>
              <w:rPr>
                <w:sz w:val="20"/>
                <w:szCs w:val="20"/>
                <w:color w:val="auto"/>
              </w:rPr>
            </w:pPr>
            <w:r>
              <w:rPr>
                <w:rFonts w:ascii="Arial" w:cs="Arial" w:eastAsia="Arial" w:hAnsi="Arial"/>
                <w:sz w:val="18"/>
                <w:szCs w:val="18"/>
                <w:color w:val="auto"/>
                <w:w w:val="95"/>
              </w:rPr>
              <w:t>Issuance of common stock under equity incentive plan, net of tax</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withholdings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33,347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(8,545)</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(8,545)</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Balances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79,593,621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(179,593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(28,082)</w:t>
            </w: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(21,787)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1,471</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compensation</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clinical trial site costs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(156)</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(20,907)</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(18,357)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sale of common stock, net of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 payments for net share-settled equity awards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(120)</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Principal paid on finance lease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(21,039)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49,224</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28,185</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Purchase of property and equipment in accounts payable</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Deferred financing costs included in accounts payable</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Soleno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September 30, 2021</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w:t>
      </w:r>
    </w:p>
    <w:p>
      <w:pPr>
        <w:spacing w:after="0" w:line="229" w:lineRule="exact"/>
        <w:rPr>
          <w:sz w:val="20"/>
          <w:szCs w:val="20"/>
          <w:color w:val="auto"/>
        </w:rPr>
      </w:pPr>
    </w:p>
    <w:p>
      <w:pPr>
        <w:jc w:val="both"/>
        <w:ind w:right="200" w:firstLine="667"/>
        <w:spacing w:after="0" w:line="311" w:lineRule="auto"/>
        <w:rPr>
          <w:sz w:val="20"/>
          <w:szCs w:val="20"/>
          <w:color w:val="auto"/>
        </w:rPr>
      </w:pPr>
      <w:r>
        <w:rPr>
          <w:rFonts w:ascii="Arial" w:cs="Arial" w:eastAsia="Arial" w:hAnsi="Arial"/>
          <w:sz w:val="16"/>
          <w:szCs w:val="16"/>
          <w:color w:val="auto"/>
        </w:rPr>
        <w:t>Soleno Therapeutics, Inc. (the Company or Soleno) is focused on the development and commercialization of novel therapeutics for the treatment of rare diseases. Its lead candidate is Diazoxide Choline Extended Release tablets (DCCR), a once-daily oral tablet for the treatment of Prader-Willi Syndrome (PWS). DCCR has received orphan designation for the treatment of PWS in the United States (U.S.) as well as in the European Union (E.U.).</w:t>
      </w:r>
    </w:p>
    <w:p>
      <w:pPr>
        <w:spacing w:after="0" w:line="149" w:lineRule="exact"/>
        <w:rPr>
          <w:sz w:val="20"/>
          <w:szCs w:val="20"/>
          <w:color w:val="auto"/>
        </w:rPr>
      </w:pPr>
    </w:p>
    <w:p>
      <w:pPr>
        <w:ind w:right="20" w:firstLine="667"/>
        <w:spacing w:after="0" w:line="272" w:lineRule="auto"/>
        <w:rPr>
          <w:sz w:val="20"/>
          <w:szCs w:val="20"/>
          <w:color w:val="auto"/>
        </w:rPr>
      </w:pPr>
      <w:r>
        <w:rPr>
          <w:rFonts w:ascii="Arial" w:cs="Arial" w:eastAsia="Arial" w:hAnsi="Arial"/>
          <w:sz w:val="17"/>
          <w:szCs w:val="17"/>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Going Concern and Management’s Plans</w:t>
      </w:r>
    </w:p>
    <w:p>
      <w:pPr>
        <w:spacing w:after="0" w:line="121" w:lineRule="exact"/>
        <w:rPr>
          <w:sz w:val="20"/>
          <w:szCs w:val="20"/>
          <w:color w:val="auto"/>
        </w:rPr>
      </w:pPr>
    </w:p>
    <w:p>
      <w:pPr>
        <w:ind w:right="60" w:firstLine="510"/>
        <w:spacing w:after="0" w:line="329" w:lineRule="auto"/>
        <w:rPr>
          <w:sz w:val="20"/>
          <w:szCs w:val="20"/>
          <w:color w:val="auto"/>
        </w:rPr>
      </w:pPr>
      <w:r>
        <w:rPr>
          <w:rFonts w:ascii="Arial" w:cs="Arial" w:eastAsia="Arial" w:hAnsi="Arial"/>
          <w:sz w:val="16"/>
          <w:szCs w:val="16"/>
          <w:color w:val="auto"/>
        </w:rPr>
        <w:t>The Company had a net loss of $28.1 million during the nine months ended September 30, 2021 and has an accumulated deficit of $210.5 million at September 30, 2021 resulting from having incurred losses since its inception. The Company had $28.2 million of cash and cash equivalents on hand at September 30, 2021 and used $20.9 million of cash in its operating activities during the nine months ended September 30, 2021.</w:t>
      </w:r>
    </w:p>
    <w:p>
      <w:pPr>
        <w:spacing w:after="0" w:line="2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63"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Company expects to continue incurring losses for the foreseeable future and will be required to raise additional capital to complete its clinical trials, pursue product development initiatives, obtain regulatory approval and penetrate markets for the sale of its products. Management believes that the Company will continue to have access to capital resources through possible public or private equity offerings, debt financings, corporate collaborations or other means, but the Company’s access to such capital resources is uncertain and is not assured. For example, in July 2021, the Company entered into a Controlled Equity Offering Sales Agreement with Cantor Fitzgerald &amp; Co. (Cantor) pursuant to which the Company may offer and sell, from time to time, shares of its common stock through Cantor up to an aggregate purchase price of $25.0 million (the ATM Offering).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are critical to the realization of its business plan and the future operations of the Company.</w:t>
      </w:r>
    </w:p>
    <w:p>
      <w:pPr>
        <w:spacing w:after="0" w:line="7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the Company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through at least the next twelve months from the date of this filing.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There have been no material changes to the significant accounting policies during the nine months ended September 30, 2021 as compared to the significant accounting policies described in Note 3 of the “Notes to Consolidated Financial Statements” in the Company’s Annual Report on Form 10-K for the year ended December 31, 2020. Below are those policies with current period updates.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on a going concern basis in accordance with accounting principles generally accepted in the United States of America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nine months ended September 30, 2021, are not necessarily indicative of the results that may be expected for any other interim period or for the fiscal year ending December 31, 2021. For further information, refer to the financial statements and footnotes included in the Company’s annual financial statements for the fiscal year ended December 31, 2020, which are included in the Company’s annual report on Form 10-K filed with the SEC on March 3,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value and life of acquired intangibles, and the valuation of contingent liabilities for the purchase price of assets obtained through acquisition. The contingent liability represents the fair value of the contingent consideration arising from the Company’s acquisition of Essentialis in 2017. As part of the purchase price, the Company is obligated to make cash earn out payments to Essentialis stockholders up to a maximum of $30 million upon the achievement of certain commercial milestones.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70"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During the three and nine months ended September 30, 2021, there have been no recently adopted accounting standards and no new, or existing recently issued, accounting pronouncements that are of significance, or potential significance, that impact the Company’s condensed consolidated interim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value of the Company’s cash, cash equivalents and accounts payable, approximate fair value due to the short-term nature of these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211"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 — Unadjusted quoted prices in active markets for identical assets or liabilities;</w:t>
      </w:r>
    </w:p>
    <w:p>
      <w:pPr>
        <w:spacing w:after="0" w:line="144" w:lineRule="exact"/>
        <w:rPr>
          <w:rFonts w:ascii="Arial" w:cs="Arial" w:eastAsia="Arial" w:hAnsi="Arial"/>
          <w:sz w:val="18"/>
          <w:szCs w:val="18"/>
          <w:color w:val="auto"/>
        </w:rPr>
      </w:pPr>
    </w:p>
    <w:p>
      <w:pPr>
        <w:ind w:left="880" w:right="60" w:hanging="373"/>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75"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III — Unobservable inputs that are supported by little or no market activity for the related assets or liabilities.</w:t>
      </w:r>
    </w:p>
    <w:p>
      <w:pPr>
        <w:spacing w:after="0" w:line="25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8" w:name="page9"/>
    <w:bookmarkEnd w:id="8"/>
    <w:p>
      <w:pPr>
        <w:ind w:right="420" w:firstLine="510"/>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Fair Value Measurements at September 30, 2021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120" w:type="dxa"/>
            <w:vAlign w:val="bottom"/>
            <w:shd w:val="clear" w:color="auto" w:fill="CFF0FC"/>
          </w:tcPr>
          <w:p>
            <w:pPr>
              <w:spacing w:after="0"/>
              <w:rPr>
                <w:sz w:val="19"/>
                <w:szCs w:val="19"/>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13,046</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13,046</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jc w:val="right"/>
              <w:ind w:right="80"/>
              <w:spacing w:after="0"/>
              <w:rPr>
                <w:sz w:val="20"/>
                <w:szCs w:val="20"/>
                <w:color w:val="auto"/>
              </w:rPr>
            </w:pPr>
            <w:r>
              <w:rPr>
                <w:rFonts w:ascii="Arial" w:cs="Arial" w:eastAsia="Arial" w:hAnsi="Arial"/>
                <w:sz w:val="14"/>
                <w:szCs w:val="14"/>
                <w:b w:val="1"/>
                <w:bCs w:val="1"/>
                <w:color w:val="auto"/>
              </w:rPr>
              <w:t>Fair Value Measurements at December 31, 2020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7"/>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215"/>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2018 PIPE warrant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539</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Essentialis purchase price contingency liability</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shd w:val="clear" w:color="auto" w:fill="CFF0FC"/>
          </w:tcPr>
          <w:p>
            <w:pPr>
              <w:spacing w:after="0"/>
              <w:rPr>
                <w:sz w:val="19"/>
                <w:szCs w:val="19"/>
                <w:color w:val="auto"/>
              </w:rPr>
            </w:pPr>
          </w:p>
        </w:tc>
      </w:tr>
      <w:tr>
        <w:trPr>
          <w:trHeight w:val="209"/>
        </w:trPr>
        <w:tc>
          <w:tcPr>
            <w:tcW w:w="5240" w:type="dxa"/>
            <w:vAlign w:val="bottom"/>
          </w:tcPr>
          <w:p>
            <w:pPr>
              <w:ind w:left="240"/>
              <w:spacing w:after="0"/>
              <w:rPr>
                <w:sz w:val="20"/>
                <w:szCs w:val="20"/>
                <w:color w:val="auto"/>
              </w:rPr>
            </w:pPr>
            <w:r>
              <w:rPr>
                <w:rFonts w:ascii="Arial" w:cs="Arial" w:eastAsia="Arial" w:hAnsi="Arial"/>
                <w:sz w:val="18"/>
                <w:szCs w:val="18"/>
                <w:color w:val="auto"/>
              </w:rPr>
              <w:t>Total common stock warrant and contingent</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240" w:type="dxa"/>
            <w:vAlign w:val="bottom"/>
          </w:tcPr>
          <w:p>
            <w:pPr>
              <w:ind w:left="380"/>
              <w:spacing w:after="0"/>
              <w:rPr>
                <w:sz w:val="20"/>
                <w:szCs w:val="20"/>
                <w:color w:val="auto"/>
              </w:rPr>
            </w:pPr>
            <w:r>
              <w:rPr>
                <w:rFonts w:ascii="Arial" w:cs="Arial" w:eastAsia="Arial" w:hAnsi="Arial"/>
                <w:sz w:val="18"/>
                <w:szCs w:val="18"/>
                <w:color w:val="auto"/>
              </w:rPr>
              <w:t>consideration liability</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10,817</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10,817</w:t>
            </w:r>
          </w:p>
        </w:tc>
        <w:tc>
          <w:tcPr>
            <w:tcW w:w="12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estimated fair value of the 2018 PIPE Warrants was calculated using a Black-Scholes pricing model. The Black-Scholes pricing model requires the input of highly subjective assumptions including the expected stock price volatility, the expected term, the expected dividend yield and the risk-free interest rate. The difference in valuation as a result of using the Black-Scholes pricing model compared to the Monte Carlo simulation model is not significant.</w:t>
      </w:r>
    </w:p>
    <w:p>
      <w:pPr>
        <w:spacing w:after="0" w:line="25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fair value of the Essentialis purchase price contingent liability is estimated using scenario-based methods based upon the Company’s analysis of the likelihood of obtaining specified approvals from the FDA as well as reaching cumulative sales milestones. The Level 3 estimates are based, in part, on subjective assumptions. During the periods presented, the Company has not changed the manner in which it values its Essentialis purchase price contingent liability.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levels within the hierarchy during the periods presented.</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3 liabilities for the nine months ended September 30, 2021 and 2020 (dollars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208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rPr>
              <w:t>2018 PIPE Warrants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Purchase Price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0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Contingent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00" w:type="dxa"/>
            <w:vAlign w:val="bottom"/>
            <w:vMerge w:val="restart"/>
          </w:tcPr>
          <w:p>
            <w:pPr>
              <w:spacing w:after="0"/>
              <w:rPr>
                <w:sz w:val="20"/>
                <w:szCs w:val="20"/>
                <w:color w:val="auto"/>
              </w:rPr>
            </w:pPr>
            <w:r>
              <w:rPr>
                <w:rFonts w:ascii="Arial" w:cs="Arial" w:eastAsia="Arial" w:hAnsi="Arial"/>
                <w:sz w:val="18"/>
                <w:szCs w:val="18"/>
                <w:color w:val="auto"/>
              </w:rPr>
              <w:t>Balance at January 1, 2021</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Warrants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200" w:type="dxa"/>
            <w:vAlign w:val="bottom"/>
            <w:vMerge w:val="continue"/>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99"/>
              </w:rPr>
              <w:t>Change in value of 2018 PIPE Warrants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Change in value of contingent liability</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00" w:type="dxa"/>
            <w:vAlign w:val="bottom"/>
          </w:tcPr>
          <w:p>
            <w:pPr>
              <w:spacing w:after="0"/>
              <w:rPr>
                <w:sz w:val="24"/>
                <w:szCs w:val="24"/>
                <w:color w:val="auto"/>
              </w:rPr>
            </w:pPr>
          </w:p>
        </w:tc>
        <w:tc>
          <w:tcPr>
            <w:tcW w:w="208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4"/>
                <w:szCs w:val="14"/>
                <w:b w:val="1"/>
                <w:bCs w:val="1"/>
                <w:color w:val="auto"/>
              </w:rPr>
              <w:t>Series C Warrants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333"/>
              <w:spacing w:after="0"/>
              <w:rPr>
                <w:sz w:val="20"/>
                <w:szCs w:val="20"/>
                <w:color w:val="auto"/>
              </w:rPr>
            </w:pPr>
            <w:r>
              <w:rPr>
                <w:rFonts w:ascii="Arial" w:cs="Arial" w:eastAsia="Arial" w:hAnsi="Arial"/>
                <w:sz w:val="14"/>
                <w:szCs w:val="14"/>
                <w:b w:val="1"/>
                <w:bCs w:val="1"/>
                <w:color w:val="auto"/>
              </w:rPr>
              <w:t>2017 PIPE Warrants</w:t>
            </w:r>
          </w:p>
        </w:tc>
        <w:tc>
          <w:tcPr>
            <w:tcW w:w="220" w:type="dxa"/>
            <w:vAlign w:val="bottom"/>
          </w:tcPr>
          <w:p>
            <w:pPr>
              <w:spacing w:after="0"/>
              <w:rPr>
                <w:sz w:val="24"/>
                <w:szCs w:val="24"/>
                <w:color w:val="auto"/>
              </w:rPr>
            </w:pPr>
          </w:p>
        </w:tc>
        <w:tc>
          <w:tcPr>
            <w:tcW w:w="21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2018 PIPE Warrants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0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Liability</w:t>
            </w:r>
          </w:p>
        </w:tc>
        <w:tc>
          <w:tcPr>
            <w:tcW w:w="94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Contingent</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Warrants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23"/>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6,024,425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Expiration of Series C Warrants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(118,083)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99"/>
              </w:rPr>
              <w:t>Change in value of 2017 PIPE Warrants</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(6,045)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w w:val="99"/>
              </w:rPr>
              <w:t>Change in value of 2018 PIPE Warrants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value of contingent liability</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6,024,425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4,777</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513,617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69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Warrant Liabilities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 xml:space="preserve">The Company has issued multiple warrant series, of which the Series C Warrants, the 2017 PIPE Warrants and the 2018 PIPE Warrants (Warrants) were determined to be liabilities pursuant to the guidance established by </w:t>
      </w:r>
      <w:r>
        <w:rPr>
          <w:rFonts w:ascii="Arial" w:cs="Arial" w:eastAsia="Arial" w:hAnsi="Arial"/>
          <w:sz w:val="18"/>
          <w:szCs w:val="18"/>
          <w:i w:val="1"/>
          <w:iCs w:val="1"/>
          <w:color w:val="auto"/>
        </w:rPr>
        <w:t>ASC 815 Derivatives and Hedging.</w:t>
      </w:r>
      <w:r>
        <w:rPr>
          <w:rFonts w:ascii="Arial" w:cs="Arial" w:eastAsia="Arial" w:hAnsi="Arial"/>
          <w:sz w:val="18"/>
          <w:szCs w:val="18"/>
          <w:color w:val="auto"/>
        </w:rPr>
        <w:t xml:space="preserve"> Only the 2018 PIPE Warrants remain outstanding at September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 xml:space="preserve">The Company accounts for Warrants in accordance with the guidance in </w:t>
      </w:r>
      <w:r>
        <w:rPr>
          <w:rFonts w:ascii="Arial" w:cs="Arial" w:eastAsia="Arial" w:hAnsi="Arial"/>
          <w:sz w:val="18"/>
          <w:szCs w:val="18"/>
          <w:i w:val="1"/>
          <w:iCs w:val="1"/>
          <w:color w:val="auto"/>
        </w:rPr>
        <w:t>ASC 815</w:t>
      </w:r>
      <w:r>
        <w:rPr>
          <w:rFonts w:ascii="Arial" w:cs="Arial" w:eastAsia="Arial" w:hAnsi="Arial"/>
          <w:sz w:val="18"/>
          <w:szCs w:val="18"/>
          <w:color w:val="auto"/>
        </w:rPr>
        <w:t>. As indicated below, the Company may be obligated to settle Warrants in cash. The Company classified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Series C Warrants expired in March 2020. The Company calculated the fair value of the Series C Warrants as of January 1, 2020 using a Black-Scholes pricing model.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2017 PIPE Offering</w:t>
      </w:r>
    </w:p>
    <w:p>
      <w:pPr>
        <w:spacing w:after="0" w:line="225"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2017 PIPE Warrants expired on December 15, 2020. The Company calculated the fair value of the 2017 PIPE Warrants for periods ended prior to December 15, 2020 using a Monte Carlo simulation of a geometric Brownian motion model. The increase in the fair value of the liability for the 2017 PIPE Warrants of $0.5 million during the three months ended September 30, 2020 and the decrease in the fair value of $6.0 million during the nine months ended September 30, 2020 were recorded as other income (expense) in the condensed consolidated statements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as Part of the Units in the 2018 PIPE Offering</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2018 PIPE Warrants were issued on December 19, 2018 in a private offering of common stock and warrants (2018 PIPE Offering), pursuant to a Warrant Agreement with each of the investors in the 2018 PIPE Offering, and entitle the holders to purchase 513,617 shares of the Company’s common stock at an exercise price equal to $2.00 per share, subject to adjustment as discussed below, at any time commencing upon issuance of the 2018 PIPE Warrants and terminating on December 21, 2023.</w:t>
      </w:r>
    </w:p>
    <w:p>
      <w:pPr>
        <w:spacing w:after="0" w:line="18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84"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As of September 30, 2021, the fair value of the 2018 PIPE Warrants was estimated at $0.2 million. The $0.1 million decrease in the fair value of the liability for the 2018 PIPE Warrants during the three and nine months ended September 30, 2021 was recorded as other income (expense) in the condensed consolidated statements of operations.</w:t>
      </w:r>
    </w:p>
    <w:p>
      <w:pPr>
        <w:spacing w:after="0" w:line="184"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The Company has calculated the fair value of the 2018 PIPE Warrants as of September 30, 2021 and December 31, 2020 using a Black-Scholes pricing model which requires the input of highly subjective assumptions including the expected stock price volatility. The following summarizes certain key assumptions used in estimating the fair values.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2800" w:type="dxa"/>
            <w:vAlign w:val="bottom"/>
            <w:tcBorders>
              <w:bottom w:val="single" w:sz="8" w:color="CFF0FC"/>
            </w:tcBorders>
          </w:tcPr>
          <w:p>
            <w:pPr>
              <w:spacing w:after="0"/>
              <w:rPr>
                <w:sz w:val="14"/>
                <w:szCs w:val="14"/>
                <w:color w:val="auto"/>
              </w:rPr>
            </w:pPr>
          </w:p>
        </w:tc>
        <w:tc>
          <w:tcPr>
            <w:tcW w:w="244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68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4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88%</w:t>
            </w: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Contractual term (years)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4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Risk-free rate</w:t>
            </w:r>
          </w:p>
        </w:tc>
        <w:tc>
          <w:tcPr>
            <w:tcW w:w="3820" w:type="dxa"/>
            <w:vAlign w:val="bottom"/>
            <w:gridSpan w:val="3"/>
          </w:tcPr>
          <w:p>
            <w:pPr>
              <w:jc w:val="right"/>
              <w:ind w:right="160"/>
              <w:spacing w:after="0"/>
              <w:rPr>
                <w:sz w:val="20"/>
                <w:szCs w:val="20"/>
                <w:color w:val="auto"/>
              </w:rPr>
            </w:pPr>
            <w:r>
              <w:rPr>
                <w:rFonts w:ascii="Arial" w:cs="Arial" w:eastAsia="Arial" w:hAnsi="Arial"/>
                <w:sz w:val="18"/>
                <w:szCs w:val="18"/>
                <w:color w:val="auto"/>
              </w:rPr>
              <w:t>0.34%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c>
          <w:tcPr>
            <w:tcW w:w="1680" w:type="dxa"/>
            <w:vAlign w:val="bottom"/>
          </w:tcPr>
          <w:p>
            <w:pPr>
              <w:spacing w:after="0"/>
              <w:rPr>
                <w:sz w:val="20"/>
                <w:szCs w:val="20"/>
                <w:color w:val="auto"/>
              </w:rPr>
            </w:pPr>
          </w:p>
        </w:tc>
      </w:tr>
      <w:tr>
        <w:trPr>
          <w:trHeight w:val="647"/>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40" w:type="dxa"/>
            <w:vAlign w:val="bottom"/>
          </w:tcPr>
          <w:p>
            <w:pPr>
              <w:jc w:val="right"/>
              <w:ind w:right="1130"/>
              <w:spacing w:after="0"/>
              <w:rPr>
                <w:sz w:val="20"/>
                <w:szCs w:val="20"/>
                <w:color w:val="auto"/>
              </w:rPr>
            </w:pPr>
            <w:r>
              <w:rPr>
                <w:rFonts w:ascii="Arial" w:cs="Arial" w:eastAsia="Arial" w:hAnsi="Arial"/>
                <w:sz w:val="18"/>
                <w:szCs w:val="18"/>
                <w:color w:val="auto"/>
              </w:rPr>
              <w:t>10</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 w:name="page11"/>
    <w:bookmarkEnd w:id="10"/>
    <w:p>
      <w:pPr>
        <w:ind w:right="740" w:firstLine="510"/>
        <w:spacing w:after="0" w:line="277" w:lineRule="auto"/>
        <w:rPr>
          <w:sz w:val="20"/>
          <w:szCs w:val="20"/>
          <w:color w:val="auto"/>
        </w:rPr>
      </w:pPr>
      <w:r>
        <w:rPr>
          <w:rFonts w:ascii="Arial" w:cs="Arial" w:eastAsia="Arial" w:hAnsi="Arial"/>
          <w:sz w:val="18"/>
          <w:szCs w:val="18"/>
          <w:color w:val="auto"/>
        </w:rPr>
        <w:t>The Black-Scholes 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Company calculates the estimated volatility rate based its historical volatility over the expected life of the warrants.</w:t>
      </w:r>
    </w:p>
    <w:p>
      <w:pPr>
        <w:spacing w:after="0" w:line="144"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Contractual term: </w:t>
      </w:r>
      <w:r>
        <w:rPr>
          <w:rFonts w:ascii="Arial" w:cs="Arial" w:eastAsia="Arial" w:hAnsi="Arial"/>
          <w:sz w:val="18"/>
          <w:szCs w:val="18"/>
          <w:color w:val="auto"/>
        </w:rPr>
        <w:t>The expected life of the warrants, which is based on the contractual term of the warrants.</w:t>
      </w:r>
    </w:p>
    <w:p>
      <w:pPr>
        <w:spacing w:after="0" w:line="144"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does not currently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U.S. Treasury rate for similar periods as those of expected volatility.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360" w:firstLine="188"/>
        <w:spacing w:after="0" w:line="263" w:lineRule="auto"/>
        <w:rPr>
          <w:sz w:val="20"/>
          <w:szCs w:val="20"/>
          <w:color w:val="auto"/>
        </w:rPr>
      </w:pPr>
      <w:r>
        <w:rPr>
          <w:rFonts w:ascii="Arial" w:cs="Arial" w:eastAsia="Arial" w:hAnsi="Arial"/>
          <w:sz w:val="18"/>
          <w:szCs w:val="18"/>
          <w:color w:val="auto"/>
        </w:rPr>
        <w:t>The Company’s operating lease for its headquarters facility office space in Redwood City, California, terminated in May 2021. In April 2021, the Company executed a non-cancellable operating lease agreement for the same 6,368 square feet of space, which began in June 2021 and expires in May 2023.</w:t>
      </w:r>
    </w:p>
    <w:p>
      <w:pPr>
        <w:spacing w:after="0" w:line="76" w:lineRule="exact"/>
        <w:rPr>
          <w:sz w:val="20"/>
          <w:szCs w:val="20"/>
          <w:color w:val="auto"/>
        </w:rPr>
      </w:pPr>
    </w:p>
    <w:p>
      <w:pPr>
        <w:jc w:val="both"/>
        <w:ind w:right="60" w:firstLine="188"/>
        <w:spacing w:after="0" w:line="257" w:lineRule="auto"/>
        <w:rPr>
          <w:sz w:val="20"/>
          <w:szCs w:val="20"/>
          <w:color w:val="auto"/>
        </w:rPr>
      </w:pPr>
      <w:r>
        <w:rPr>
          <w:rFonts w:ascii="Arial" w:cs="Arial" w:eastAsia="Arial" w:hAnsi="Arial"/>
          <w:sz w:val="18"/>
          <w:szCs w:val="18"/>
          <w:color w:val="auto"/>
        </w:rPr>
        <w:t>The lease was accounted at inception with a right-of-use asset equal to $0.6 million and a liability for $0.5 million. As of September 30, 2021, the short-term liability is equal to $0.3 million and the long-term liability is equal to $0.3 million. The weighted average discount rate was 9% over a remaining term of 20 months. The discount rate was determined based on the estimate of the interest to be paid on a loan collateralized by such contract according to small business bank loans comparable rates. The Company has elected to utilize the available practical expedient to not separate lease and non-lease components for the office lease.</w:t>
      </w:r>
    </w:p>
    <w:p>
      <w:pPr>
        <w:spacing w:after="0" w:line="80" w:lineRule="exact"/>
        <w:rPr>
          <w:sz w:val="20"/>
          <w:szCs w:val="20"/>
          <w:color w:val="auto"/>
        </w:rPr>
      </w:pPr>
    </w:p>
    <w:p>
      <w:pPr>
        <w:ind w:right="540" w:firstLine="188"/>
        <w:spacing w:after="0" w:line="277" w:lineRule="auto"/>
        <w:rPr>
          <w:sz w:val="20"/>
          <w:szCs w:val="20"/>
          <w:color w:val="auto"/>
        </w:rPr>
      </w:pPr>
      <w:r>
        <w:rPr>
          <w:rFonts w:ascii="Arial" w:cs="Arial" w:eastAsia="Arial" w:hAnsi="Arial"/>
          <w:sz w:val="18"/>
          <w:szCs w:val="18"/>
          <w:color w:val="auto"/>
        </w:rPr>
        <w:t>The following table presents a reconciliation of the undiscounted future minimum lease payments remaining under the operating lease reported as operating lease liability on the condensed consolidated balance sheet as of September 30,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Undiscounted future minimum lease payments:</w:t>
            </w:r>
          </w:p>
        </w:tc>
        <w:tc>
          <w:tcPr>
            <w:tcW w:w="28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2021 (remainder of the year)</w:t>
            </w:r>
          </w:p>
        </w:tc>
        <w:tc>
          <w:tcPr>
            <w:tcW w:w="2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100,296</w:t>
            </w: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334,320</w:t>
            </w:r>
          </w:p>
        </w:tc>
        <w:tc>
          <w:tcPr>
            <w:tcW w:w="100" w:type="dxa"/>
            <w:vAlign w:val="bottom"/>
            <w:shd w:val="clear" w:color="auto" w:fill="CFF0FC"/>
          </w:tcPr>
          <w:p>
            <w:pPr>
              <w:spacing w:after="0"/>
              <w:rPr>
                <w:sz w:val="19"/>
                <w:szCs w:val="19"/>
                <w:color w:val="auto"/>
              </w:rPr>
            </w:pPr>
          </w:p>
        </w:tc>
      </w:tr>
      <w:tr>
        <w:trPr>
          <w:trHeight w:val="230"/>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880" w:type="dxa"/>
            <w:vAlign w:val="bottom"/>
            <w:tcBorders>
              <w:bottom w:val="single" w:sz="8" w:color="CFF0FC"/>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179,100</w:t>
            </w:r>
          </w:p>
        </w:tc>
        <w:tc>
          <w:tcPr>
            <w:tcW w:w="100" w:type="dxa"/>
            <w:vAlign w:val="bottom"/>
            <w:tcBorders>
              <w:bottom w:val="single" w:sz="8" w:color="CFF0FC"/>
            </w:tcBorders>
          </w:tcPr>
          <w:p>
            <w:pPr>
              <w:spacing w:after="0"/>
              <w:rPr>
                <w:sz w:val="19"/>
                <w:szCs w:val="19"/>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future minimum lease payments</w:t>
            </w:r>
          </w:p>
        </w:tc>
        <w:tc>
          <w:tcPr>
            <w:tcW w:w="28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613,716</w:t>
            </w:r>
          </w:p>
        </w:tc>
        <w:tc>
          <w:tcPr>
            <w:tcW w:w="100" w:type="dxa"/>
            <w:vAlign w:val="bottom"/>
            <w:shd w:val="clear" w:color="auto" w:fill="CFF0FC"/>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Less: amount representing imputed interest</w:t>
            </w:r>
          </w:p>
        </w:tc>
        <w:tc>
          <w:tcPr>
            <w:tcW w:w="288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(49,592)</w:t>
            </w:r>
          </w:p>
        </w:tc>
      </w:tr>
      <w:tr>
        <w:trPr>
          <w:trHeight w:val="223"/>
        </w:trPr>
        <w:tc>
          <w:tcPr>
            <w:tcW w:w="63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88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564,124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components of lease expense during the three and nine months ended September 30, 2021 and 2020 were as follows (in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420" w:type="dxa"/>
            <w:vAlign w:val="bottom"/>
            <w:gridSpan w:val="4"/>
          </w:tcPr>
          <w:p>
            <w:pPr>
              <w:jc w:val="right"/>
              <w:ind w:right="327"/>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840" w:type="dxa"/>
            <w:vAlign w:val="bottom"/>
          </w:tcPr>
          <w:p>
            <w:pPr>
              <w:jc w:val="right"/>
              <w:ind w:right="17"/>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122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840" w:type="dxa"/>
            <w:vAlign w:val="bottom"/>
            <w:tcBorders>
              <w:top w:val="single" w:sz="8" w:color="auto"/>
              <w:bottom w:val="single" w:sz="8" w:color="auto"/>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Finance lease cost:</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840" w:type="dxa"/>
            <w:vAlign w:val="bottom"/>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70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on lease liabilities</w:t>
            </w: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finance lease cost</w:t>
            </w:r>
          </w:p>
        </w:tc>
        <w:tc>
          <w:tcPr>
            <w:tcW w:w="840" w:type="dxa"/>
            <w:vAlign w:val="bottom"/>
            <w:tcBorders>
              <w:bottom w:val="single" w:sz="8" w:color="auto"/>
            </w:tcBorders>
            <w:shd w:val="clear" w:color="auto" w:fill="CFF0FC"/>
          </w:tcPr>
          <w:p>
            <w:pPr>
              <w:jc w:val="right"/>
              <w:ind w:right="657"/>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 the Market Offering</w:t>
      </w:r>
    </w:p>
    <w:p>
      <w:pPr>
        <w:spacing w:after="0" w:line="333" w:lineRule="exact"/>
        <w:rPr>
          <w:sz w:val="20"/>
          <w:szCs w:val="20"/>
          <w:color w:val="auto"/>
        </w:rPr>
      </w:pPr>
    </w:p>
    <w:p>
      <w:pPr>
        <w:jc w:val="both"/>
        <w:ind w:right="60" w:firstLine="749"/>
        <w:spacing w:after="0" w:line="259" w:lineRule="auto"/>
        <w:rPr>
          <w:sz w:val="20"/>
          <w:szCs w:val="20"/>
          <w:color w:val="auto"/>
        </w:rPr>
      </w:pPr>
      <w:r>
        <w:rPr>
          <w:rFonts w:ascii="Arial" w:cs="Arial" w:eastAsia="Arial" w:hAnsi="Arial"/>
          <w:sz w:val="18"/>
          <w:szCs w:val="18"/>
          <w:color w:val="auto"/>
        </w:rPr>
        <w:t>In July 2021, the Company entered into a Controlled Equity Offering Sales Agreement under which the Company may sell shares of its common stock having an aggregate offering price of up to $25.0 million from time to time in any method permitted by law deemed to be an “at the market” offering as defined in Rule 415 under the Securities Act of 1933, as amended. During the three months ended September 2021, no shares were sold under the at the market program.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Plan</w:t>
      </w:r>
    </w:p>
    <w:p>
      <w:pPr>
        <w:spacing w:after="0" w:line="12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 has adopted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8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for service-based stock options is normally monthly over a period of 4 years from the vesting date.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September 30, 2021, a total of 1,255,927 shares are available for future grant under the 2014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Inducement Plan</w:t>
      </w:r>
    </w:p>
    <w:p>
      <w:pPr>
        <w:spacing w:after="0" w:line="121"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On September 28, 2020, the Company adopted the 2020 Inducement Equity Incentive Plan (the Inducement Plan) and, subject to the adjustment provisions of the Inducement Plan, reserved 1,500,000 shares of the Company’s common stock for issuance pursuant to equity awards granted under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15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There have been no awards granted under the Inducement Plan as of September 30, 2021. As of September 30, 2021, a total of 1,500,000 shares are available for future grant under the Inducement Plan.</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statements of operations for stock-based compensation arrangements during any of the periods presented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was recognized in the condensed consolidated statements of operations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34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Nine Months Ended September 30,</w:t>
            </w:r>
          </w:p>
        </w:tc>
        <w:tc>
          <w:tcPr>
            <w:tcW w:w="168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308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6"/>
              </w:rPr>
              <w:t>222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684</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6"/>
              </w:rPr>
              <w:t>906</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Company granted options to purchase 0 and 47,500 shares of the Company’s common stock during the three months ended September 30, 2021 and 2020, respectively, and granted options to purchase 3,387,810 and 500,150 of the Company’s common stock during the nine months ended September 30, 2021 and 2020, respectively. Of the total options granted during the nine months ended September 30, 2021, 708,750 were performance-based options. The fair value of each award granted during the three and nine months ended September 30, 2021 and 2020 was estimated on the date of grant using the Black-Scholes option pricing model with the following assumptions.</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60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274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8"/>
                <w:szCs w:val="18"/>
                <w:color w:val="auto"/>
              </w:rPr>
            </w:pPr>
          </w:p>
        </w:tc>
      </w:tr>
      <w:tr>
        <w:trPr>
          <w:trHeight w:val="223"/>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Expected life (years)</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6.0</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5.5-6.0</w:t>
            </w:r>
          </w:p>
        </w:tc>
        <w:tc>
          <w:tcPr>
            <w:tcW w:w="80" w:type="dxa"/>
            <w:vAlign w:val="bottom"/>
            <w:shd w:val="clear" w:color="auto" w:fill="CFF0FC"/>
          </w:tcPr>
          <w:p>
            <w:pPr>
              <w:spacing w:after="0"/>
              <w:rPr>
                <w:sz w:val="19"/>
                <w:szCs w:val="19"/>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0.6%-1.0%</w:t>
            </w:r>
          </w:p>
        </w:tc>
        <w:tc>
          <w:tcPr>
            <w:tcW w:w="2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0.4%-0.5%</w:t>
            </w:r>
          </w:p>
        </w:tc>
        <w:tc>
          <w:tcPr>
            <w:tcW w:w="8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84%</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91%-108%</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64%-84%</w:t>
            </w:r>
          </w:p>
        </w:tc>
        <w:tc>
          <w:tcPr>
            <w:tcW w:w="80" w:type="dxa"/>
            <w:vAlign w:val="bottom"/>
            <w:shd w:val="clear" w:color="auto" w:fill="CFF0FC"/>
          </w:tcPr>
          <w:p>
            <w:pPr>
              <w:spacing w:after="0"/>
              <w:rPr>
                <w:sz w:val="19"/>
                <w:szCs w:val="19"/>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Dividend rate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rPr>
              <w:t>— %</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rPr>
              <w:t>— %</w:t>
            </w:r>
          </w:p>
        </w:tc>
      </w:tr>
    </w:tbl>
    <w:p>
      <w:pPr>
        <w:spacing w:after="0" w:line="22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 the following estimates:</w:t>
      </w:r>
    </w:p>
    <w:p>
      <w:pPr>
        <w:spacing w:after="0" w:line="62" w:lineRule="exact"/>
        <w:rPr>
          <w:sz w:val="20"/>
          <w:szCs w:val="20"/>
          <w:color w:val="auto"/>
        </w:rPr>
      </w:pPr>
    </w:p>
    <w:p>
      <w:pPr>
        <w:ind w:left="880" w:hanging="373"/>
        <w:spacing w:after="0" w:line="275" w:lineRule="auto"/>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Expected life: </w:t>
      </w:r>
      <w:r>
        <w:rPr>
          <w:rFonts w:ascii="Arial" w:cs="Arial" w:eastAsia="Arial" w:hAnsi="Arial"/>
          <w:sz w:val="17"/>
          <w:szCs w:val="17"/>
          <w:color w:val="auto"/>
        </w:rPr>
        <w:t>The expected life of stock options represents the period of time that the options are expected to be outstanding. Due to the lack of</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exercise history, the expected term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68" w:lineRule="exact"/>
        <w:rPr>
          <w:rFonts w:ascii="Arial" w:cs="Arial" w:eastAsia="Arial" w:hAnsi="Arial"/>
          <w:sz w:val="17"/>
          <w:szCs w:val="17"/>
          <w:color w:val="auto"/>
        </w:rPr>
      </w:pPr>
    </w:p>
    <w:p>
      <w:pPr>
        <w:ind w:left="880" w:right="16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 time</w:t>
      </w:r>
      <w:r>
        <w:rPr>
          <w:rFonts w:ascii="Arial" w:cs="Arial" w:eastAsia="Arial" w:hAnsi="Arial"/>
          <w:sz w:val="18"/>
          <w:szCs w:val="18"/>
          <w:i w:val="1"/>
          <w:iCs w:val="1"/>
          <w:color w:val="auto"/>
        </w:rPr>
        <w:t xml:space="preserve"> </w:t>
      </w:r>
      <w:r>
        <w:rPr>
          <w:rFonts w:ascii="Arial" w:cs="Arial" w:eastAsia="Arial" w:hAnsi="Arial"/>
          <w:sz w:val="18"/>
          <w:szCs w:val="18"/>
          <w:color w:val="auto"/>
        </w:rPr>
        <w:t>to liquidity.</w:t>
      </w:r>
    </w:p>
    <w:p>
      <w:pPr>
        <w:spacing w:after="0" w:line="62" w:lineRule="exact"/>
        <w:rPr>
          <w:rFonts w:ascii="Arial" w:cs="Arial" w:eastAsia="Arial" w:hAnsi="Arial"/>
          <w:sz w:val="18"/>
          <w:szCs w:val="18"/>
          <w:color w:val="auto"/>
        </w:rPr>
      </w:pPr>
    </w:p>
    <w:p>
      <w:pPr>
        <w:ind w:left="880" w:right="8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The estimated volatility rate is based on the volatilities of the Company’s common stock for a historical period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stock options.</w:t>
      </w:r>
    </w:p>
    <w:p>
      <w:pPr>
        <w:spacing w:after="0" w:line="62" w:lineRule="exact"/>
        <w:rPr>
          <w:rFonts w:ascii="Arial" w:cs="Arial" w:eastAsia="Arial" w:hAnsi="Arial"/>
          <w:sz w:val="18"/>
          <w:szCs w:val="18"/>
          <w:color w:val="auto"/>
        </w:rPr>
      </w:pPr>
    </w:p>
    <w:p>
      <w:pPr>
        <w:ind w:left="880" w:right="820" w:hanging="373"/>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The Company has never declared or paid any cash dividends and does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stock option transactions for the nine months ended September 30, 2021 as issued under the 2014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 per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2,837,739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3,387,810</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Options canceled/forfeited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(140,626)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6,084,923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vested at September 30, 2021</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2,529,332</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Borders>
              <w:bottom w:val="single" w:sz="8" w:color="CFF0FC"/>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at September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6,084,923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 weighted-average grant date fair value of options granted was $1.73 and $1.89 per share for the nine months ended September 30, 2021 and 2020, respectively. At September 30, 2021 total unrecognized employee stock-based compensation related to stock options that are likely to vest was $5.3 million, which is expected to be recognized over the weighted-average remaining vesting period of 3.7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There were 52,472 and 23,347 restricted stock units granted by the Company during the three months ended September 30, 2021 and 2020, respectively, and 113,745 and 727,065 restricted stock units granted during the nine months ended September 30, 2021 and 2020, respectively, to employees and directors. The shares granted to directors were 100% vested on the grant date and represent compensation for past Board services. The shares granted to employees typically vest annually over a period of four years. The shares were valued based on the Company’s common stock price on the grant date.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restricted stock unit transactions for the nine months ended September 30, 2021 as issued under the 2014 Plan: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62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Units</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60"/>
              <w:spacing w:after="0"/>
              <w:rPr>
                <w:sz w:val="20"/>
                <w:szCs w:val="20"/>
                <w:color w:val="auto"/>
              </w:rPr>
            </w:pPr>
            <w:r>
              <w:rPr>
                <w:rFonts w:ascii="Arial" w:cs="Arial" w:eastAsia="Arial" w:hAnsi="Arial"/>
                <w:sz w:val="18"/>
                <w:szCs w:val="18"/>
                <w:color w:val="auto"/>
              </w:rPr>
              <w:t>Restricted stock units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113,745</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stock units vested</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(258,995)</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20" w:type="dxa"/>
            <w:vAlign w:val="bottom"/>
          </w:tcPr>
          <w:p>
            <w:pPr>
              <w:spacing w:after="0"/>
              <w:rPr>
                <w:sz w:val="20"/>
                <w:szCs w:val="20"/>
                <w:color w:val="auto"/>
              </w:rPr>
            </w:pPr>
            <w:r>
              <w:rPr>
                <w:rFonts w:ascii="Arial" w:cs="Arial" w:eastAsia="Arial" w:hAnsi="Arial"/>
                <w:sz w:val="18"/>
                <w:szCs w:val="18"/>
                <w:color w:val="auto"/>
              </w:rPr>
              <w:t>Outstanding at September 30,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435,750</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The weighted-average grant-date fair value of all restricted stock units granted during the nine months ended September 30, 2021 and 2020 was $1.22 and $3.74, respectively. The fair value of all restricted stock units vested during the nine months ended September 30, 2021 and 2020 was $0.8 million and approximately $0.2 million, respectively. At September 30, 2021, total unrecognized employee stock-based compensation related to restricted stock units was $1.3 million, which is expected to be recognized over the weighted-average remaining vesting period of 2.3 years.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The Company’s Board and stockholders have adopted the 2014 Employee Stock Purchase Plan (ESPP). The ESPP has become effective, and the Board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authorizes commencement, equal to the least of:</w:t>
      </w:r>
    </w:p>
    <w:p>
      <w:pPr>
        <w:spacing w:after="0" w:line="42"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21"/>
          <w:szCs w:val="21"/>
          <w:color w:val="auto"/>
        </w:rPr>
        <w:t>of the outstanding shares of the Company’s common stock on the first day of such year;</w:t>
      </w:r>
    </w:p>
    <w:p>
      <w:pPr>
        <w:spacing w:after="0" w:line="109"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55,936 </w:t>
      </w:r>
      <w:r>
        <w:rPr>
          <w:rFonts w:ascii="Arial" w:cs="Arial" w:eastAsia="Arial" w:hAnsi="Arial"/>
          <w:sz w:val="21"/>
          <w:szCs w:val="21"/>
          <w:color w:val="auto"/>
        </w:rPr>
        <w:t>shares; or</w:t>
      </w:r>
    </w:p>
    <w:p>
      <w:pPr>
        <w:spacing w:after="0" w:line="116"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amount as determined by the Board.</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there were no purchases by employees under this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As of September 30, 2021, the Company had 102,070 common stock warrants outstanding that are related to convertible notes issued in 2010 and 2012,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Net loss per share</w:t>
      </w:r>
    </w:p>
    <w:p>
      <w:pPr>
        <w:spacing w:after="0" w:line="121" w:lineRule="exact"/>
        <w:rPr>
          <w:sz w:val="20"/>
          <w:szCs w:val="20"/>
          <w:color w:val="auto"/>
        </w:rPr>
      </w:pPr>
    </w:p>
    <w:p>
      <w:pPr>
        <w:jc w:val="both"/>
        <w:ind w:right="40" w:firstLine="510"/>
        <w:spacing w:after="0" w:line="279" w:lineRule="auto"/>
        <w:rPr>
          <w:sz w:val="20"/>
          <w:szCs w:val="20"/>
          <w:color w:val="auto"/>
        </w:rPr>
      </w:pPr>
      <w:r>
        <w:rPr>
          <w:rFonts w:ascii="Arial" w:cs="Arial" w:eastAsia="Arial" w:hAnsi="Arial"/>
          <w:sz w:val="17"/>
          <w:szCs w:val="17"/>
          <w:color w:val="auto"/>
        </w:rPr>
        <w:t>Basic and diluted net loss per share is computed by dividing net loss by the weighted-average number of common stock actually outstanding during the period. For the three and nine months ended September 30, 2021 and 2020, the effect of issuing potential common stock upon the exercise or vesting of common stock awards and exercise of common stock warrants is anti-dilutive due to the net losses in those periods and therefore the number of shares used to compute basic and diluted net loss per share are the same in each of those periods.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right="60" w:firstLine="510"/>
        <w:spacing w:after="0" w:line="342" w:lineRule="auto"/>
        <w:rPr>
          <w:sz w:val="20"/>
          <w:szCs w:val="20"/>
          <w:color w:val="auto"/>
        </w:rPr>
      </w:pPr>
      <w:r>
        <w:rPr>
          <w:rFonts w:ascii="Arial" w:cs="Arial" w:eastAsia="Arial" w:hAnsi="Arial"/>
          <w:sz w:val="16"/>
          <w:szCs w:val="16"/>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33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20" w:type="dxa"/>
            <w:vAlign w:val="bottom"/>
            <w:gridSpan w:val="4"/>
          </w:tcPr>
          <w:p>
            <w:pPr>
              <w:ind w:left="560"/>
              <w:spacing w:after="0"/>
              <w:rPr>
                <w:sz w:val="20"/>
                <w:szCs w:val="20"/>
                <w:color w:val="auto"/>
              </w:rPr>
            </w:pPr>
            <w:r>
              <w:rPr>
                <w:rFonts w:ascii="Arial" w:cs="Arial" w:eastAsia="Arial" w:hAnsi="Arial"/>
                <w:sz w:val="14"/>
                <w:szCs w:val="14"/>
                <w:b w:val="1"/>
                <w:bCs w:val="1"/>
                <w:color w:val="auto"/>
              </w:rPr>
              <w:t>As of September 30,</w:t>
            </w:r>
          </w:p>
        </w:tc>
      </w:tr>
      <w:tr>
        <w:trPr>
          <w:trHeight w:val="156"/>
        </w:trPr>
        <w:tc>
          <w:tcPr>
            <w:tcW w:w="544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2010/2012 convertible note</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102,070</w:t>
            </w:r>
          </w:p>
        </w:tc>
        <w:tc>
          <w:tcPr>
            <w:tcW w:w="80" w:type="dxa"/>
            <w:vAlign w:val="bottom"/>
            <w:shd w:val="clear" w:color="auto" w:fill="CFF0FC"/>
          </w:tcPr>
          <w:p>
            <w:pPr>
              <w:spacing w:after="0"/>
              <w:rPr>
                <w:sz w:val="20"/>
                <w:szCs w:val="20"/>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6,084,923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2,513,739</w:t>
            </w:r>
          </w:p>
        </w:tc>
        <w:tc>
          <w:tcPr>
            <w:tcW w:w="8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435,750</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581,000</w:t>
            </w:r>
          </w:p>
        </w:tc>
        <w:tc>
          <w:tcPr>
            <w:tcW w:w="8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Series D warrants to purchase common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540,540</w:t>
            </w:r>
          </w:p>
        </w:tc>
        <w:tc>
          <w:tcPr>
            <w:tcW w:w="8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2017 PIPE warrants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6,024,425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2018 PIPE 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1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513,617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7,152,860</w:t>
            </w:r>
          </w:p>
        </w:tc>
        <w:tc>
          <w:tcPr>
            <w:tcW w:w="1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10,291,891</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has evaluated its subsequent events from September 30, 2021 through the date these condensed consolidated financial statements were issued and has determined that there are no subsequent events requiring disclosure in these condensed consolidated financial statements other than the item noted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5" w:name="page16"/>
    <w:bookmarkEnd w:id="15"/>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interim consolidated financial statements included in this Quarterly Report on Form 10-Q and this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should be read in conjunction with the financial statements and notes thereto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December 31, 2020, and the related Management’s Discussion and Analysis of Financial Condition and Results of Operations, contained in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 10-K for the year ended December 31, 2020. In addition to historical information, this discussion and analysis contains forward-looking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within the meaning of Section 27A of the Securities Act of 1933, as amended (the “Securities Act”), and Section 21E of the Securities Exchange Act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1934, as amended (the “Exchange Act”). These forward-looking statements are subject to risks and uncertainties, including those set forth in Part II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Information, Item 1A. Risk Factors below and elsewhere in this report that could cause actual results to differ materially from historical results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anticipated 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are focused on the development and commercialization of novel therapeutics for the treatment of rare diseases. Our lead candidate is Diazoxide Choline Extended Release tablets (DCCR), a once-daily oral tablet for the treatment of Prader-Willi Syndrome (PWS). DCCR has orphan designation for the treatment of PWS in the United States (U.S.) as well as in the European Union (E.U.).</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DCCR has been evaluated in a Phase 3 study (C601 or DESTINY PWS), a 3-month randomized, double-blind placebo-controlled study, which completed enrollment in January 2020, with 127 patients at 29 sites in the U.S. and U.K. Patients who complete treatment in DESTINY PWS are eligible to receive DCCR for up to 36 months in C602, an open-label extension study. Top line results from DESTINY PWS were announced in June 2020. Although the trial did not meet its primary endpoint of change from baseline in hyperphagia, significant improvements were observed in two of three key secondary endpoints. In February 2021, we announced analysis limited to data collected before the onset of the COVID-19 pandemic. The analysis of the data through March 1, 2020 showed statistical significance in the primary, all key secondary and several other efficacy endpoints. In March 2021, the FDA informed us that an additional clinical trial would be necessary to support a New Drug Approval submission. In July 2021, we announced that we had received official meeting minutes from a Type B meeting with the FDA on June 11, 2021. Included in the meeting was the “patient voice” represented by the PWS advocacy organizations, as well as the family of a DCCR trial participant. The FDA continued to assert that an additional clinical trial is necessary for the submission of a New Drug Application (NDA). However, the FDA strongly encouraged us to submit the available data and clinical study reports for ours C601 and C602 studies to allow it to assess if these studies may provide adequate evidence of safety and efficacy to support the submission of an NDA. In September 2021, we announced top line results from C602 showing statistically significant reduction in hyperphagia and all other PWS behavioral parameters and statistically significant improvements compared to natural history of PWS from the PATH for PWS Study (PfPWS) over a one year treatment period. The PfPWS study is an ongoing study sponsored by the Foundation for Prader-Willi Research (FPWR) to advance the understanding of the natural history in individuals with PWS. We have submitted the data and are in communication with the regulatory authorities to determine next steps.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spread of the COVID-19 virus during 2020 has caused an economic downturn on a global scale, as well as significant volatility in the financial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markets. We have not experienced a significant financial impact directly related to the COVID-19 pandemic. In June 2020, subsequent to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announcement of top line results from DESTINY PWS, we completed a public offering of shares of our common stock and raised $53.7 million in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proceeds. As of September 30, 2021, we have cash and cash equivalents of $28.2 million. As of September 30, 2021, we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$210.5 million, primarily as a result of research and development and general and administrative expenses. We may never be successful in commercializing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novel therapeutic-lead candidate DCCR. Accordingly, we expect to incur significant losses from operations for the foreseeable future, and there can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assurance that we will ever generate significant revenue or profits.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jc w:val="center"/>
              <w:ind w:left="575"/>
              <w:spacing w:after="0" w:line="155" w:lineRule="exact"/>
              <w:rPr>
                <w:sz w:val="20"/>
                <w:szCs w:val="20"/>
                <w:color w:val="auto"/>
              </w:rPr>
            </w:pPr>
            <w:r>
              <w:rPr>
                <w:rFonts w:ascii="Arial" w:cs="Arial" w:eastAsia="Arial" w:hAnsi="Arial"/>
                <w:sz w:val="14"/>
                <w:szCs w:val="14"/>
                <w:color w:val="auto"/>
                <w:w w:val="92"/>
              </w:rPr>
              <w:t>(in thousands)</w:t>
            </w: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4,827</w:t>
            </w:r>
          </w:p>
        </w:tc>
        <w:tc>
          <w:tcPr>
            <w:tcW w:w="14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(8,286)</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(7,857)</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740"/>
              <w:spacing w:after="0"/>
              <w:rPr>
                <w:sz w:val="20"/>
                <w:szCs w:val="20"/>
                <w:color w:val="auto"/>
              </w:rPr>
            </w:pPr>
            <w:r>
              <w:rPr>
                <w:rFonts w:ascii="Arial" w:cs="Arial" w:eastAsia="Arial" w:hAnsi="Arial"/>
                <w:sz w:val="18"/>
                <w:szCs w:val="18"/>
                <w:color w:val="auto"/>
              </w:rPr>
              <w:t>Total other income (expense)</w:t>
            </w: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(8,140)</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(8,545)</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September 30, 2021, have generated no revenue from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Research and development expense of $5.0 million for the three months ended September 30, 2021 increased by $0.1 million over the three months ended September 30, 2020. The cadence of our research and development expenditures will fluctuate depending upon the state of our clinical programs and the timing of CMC projects necessary to support the submission of an NDA.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General and administrative expense of $2.8 million for the three months ended September 30, 2021 increased $0.5 million over the three months ended September 30, 2020. The increase was primarily related to increased compensation costs due to headcount growth and increased stock-based compensation expense, partly offset by a decline in the costs for corporate expenses, including consulting, intellectual property and legal costs.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are obligated to make cash payments of up to a maximum of $30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$12.9 million as of September 30, 2021, a $0.6 million increase from the estimate as of June 30, 2021. During the three months ended September 30, 2020, the estimate increased $0.8 million from the $9.3 million estimated at June 30,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We had other income of $0.1 million in the three months ended September 30, 2021, compared to other expense of $0.7 million during the three months ended September 30, 2020. The increase of $0.8 million was primarily due to a decrease in the fair value of our outstanding warrants during the three months ended September 30, 2021 compared to the three months ended September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ectPr>
          <w:pgSz w:w="11900" w:h="16838" w:orient="portrait"/>
          <w:cols w:equalWidth="0" w:num="1">
            <w:col w:w="11240"/>
          </w:cols>
          <w:pgMar w:left="320" w:top="665" w:right="339" w:bottom="1440" w:gutter="0" w:footer="0" w:header="0"/>
        </w:sectPr>
      </w:pPr>
    </w:p>
    <w:p>
      <w:pPr>
        <w:spacing w:after="0" w:line="311"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13970</wp:posOffset>
            </wp:positionV>
            <wp:extent cx="1594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16" w:lineRule="exact"/>
        <w:rPr>
          <w:sz w:val="20"/>
          <w:szCs w:val="20"/>
          <w:color w:val="auto"/>
        </w:rPr>
      </w:pPr>
    </w:p>
    <w:p>
      <w:pPr>
        <w:ind w:left="6220"/>
        <w:spacing w:after="0"/>
        <w:tabs>
          <w:tab w:leader="none" w:pos="75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6350</wp:posOffset>
            </wp:positionV>
            <wp:extent cx="1594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5"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b w:val="1"/>
          <w:bCs w:val="1"/>
          <w:color w:val="auto"/>
        </w:rPr>
        <w:t>Amount</w:t>
      </w:r>
      <w:r>
        <w:rPr>
          <w:sz w:val="20"/>
          <w:szCs w:val="20"/>
          <w:color w:val="auto"/>
        </w:rPr>
        <w:tab/>
      </w:r>
      <w:r>
        <w:rPr>
          <w:rFonts w:ascii="Arial" w:cs="Arial" w:eastAsia="Arial" w:hAnsi="Arial"/>
          <w:sz w:val="12"/>
          <w:szCs w:val="12"/>
          <w:b w:val="1"/>
          <w:bCs w:val="1"/>
          <w:color w:val="auto"/>
        </w:rPr>
        <w:t>Percentage</w:t>
      </w:r>
    </w:p>
    <w:p>
      <w:pPr>
        <w:spacing w:after="0" w:line="23" w:lineRule="exact"/>
        <w:rPr>
          <w:sz w:val="20"/>
          <w:szCs w:val="20"/>
          <w:color w:val="auto"/>
        </w:rPr>
      </w:pPr>
    </w:p>
    <w:p>
      <w:pPr>
        <w:sectPr>
          <w:pgSz w:w="11900" w:h="16838" w:orient="portrait"/>
          <w:cols w:equalWidth="0" w:num="2">
            <w:col w:w="8140" w:space="720"/>
            <w:col w:w="2380"/>
          </w:cols>
          <w:pgMar w:left="320" w:top="665"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right"/>
              <w:ind w:right="67"/>
              <w:spacing w:after="0" w:line="155" w:lineRule="exact"/>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17,719</w:t>
            </w:r>
          </w:p>
        </w:tc>
        <w:tc>
          <w:tcPr>
            <w:tcW w:w="140" w:type="dxa"/>
            <w:vAlign w:val="bottom"/>
          </w:tcPr>
          <w:p>
            <w:pPr>
              <w:spacing w:after="0"/>
              <w:rPr>
                <w:sz w:val="19"/>
                <w:szCs w:val="19"/>
                <w:color w:val="auto"/>
              </w:rPr>
            </w:pP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17,625</w:t>
            </w:r>
          </w:p>
        </w:tc>
        <w:tc>
          <w:tcPr>
            <w:tcW w:w="140" w:type="dxa"/>
            <w:vAlign w:val="bottom"/>
          </w:tcPr>
          <w:p>
            <w:pPr>
              <w:spacing w:after="0"/>
              <w:rPr>
                <w:sz w:val="19"/>
                <w:szCs w:val="19"/>
                <w:color w:val="auto"/>
              </w:rPr>
            </w:pPr>
          </w:p>
        </w:tc>
        <w:tc>
          <w:tcPr>
            <w:tcW w:w="4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(1,602)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(28,527)</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(28,332)</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Change in fair value of warrants liabilities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(6,163)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740"/>
              <w:spacing w:after="0"/>
              <w:rPr>
                <w:sz w:val="20"/>
                <w:szCs w:val="20"/>
                <w:color w:val="auto"/>
              </w:rPr>
            </w:pPr>
            <w:r>
              <w:rPr>
                <w:rFonts w:ascii="Arial" w:cs="Arial" w:eastAsia="Arial" w:hAnsi="Arial"/>
                <w:sz w:val="18"/>
                <w:szCs w:val="18"/>
                <w:color w:val="auto"/>
              </w:rPr>
              <w:t>Total other income</w:t>
            </w:r>
          </w:p>
        </w:tc>
        <w:tc>
          <w:tcPr>
            <w:tcW w:w="1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(6,100)</w:t>
            </w:r>
          </w:p>
        </w:tc>
        <w:tc>
          <w:tcPr>
            <w:tcW w:w="260" w:type="dxa"/>
            <w:vAlign w:val="bottom"/>
            <w:vMerge w:val="continue"/>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(28,082)</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(21,787)</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(6,295)</w:t>
            </w:r>
          </w:p>
        </w:tc>
        <w:tc>
          <w:tcPr>
            <w:tcW w:w="26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0" w:firstLine="510"/>
        <w:spacing w:after="0" w:line="277" w:lineRule="auto"/>
        <w:rPr>
          <w:sz w:val="20"/>
          <w:szCs w:val="20"/>
          <w:color w:val="auto"/>
        </w:rPr>
      </w:pPr>
      <w:r>
        <w:rPr>
          <w:rFonts w:ascii="Arial" w:cs="Arial" w:eastAsia="Arial" w:hAnsi="Arial"/>
          <w:sz w:val="18"/>
          <w:szCs w:val="18"/>
          <w:color w:val="auto"/>
        </w:rPr>
        <w:t>We have yet not commenced commercialization of DCCR, our current sole novel therapeutic product, and accordingly, through September 30, 2021, have generated no revenue from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Research and development expense of $17.8 million for the nine months ended September 30, 2021 remained constant with the nine months ended September 30, 2020. The cadence of our research and development expenditures will fluctuate depending upon the state of our clinical programs and the timing of CMC projects necessary to support the submission of an NDA.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jc w:val="both"/>
        <w:ind w:right="400" w:firstLine="510"/>
        <w:spacing w:after="0" w:line="263" w:lineRule="auto"/>
        <w:rPr>
          <w:sz w:val="20"/>
          <w:szCs w:val="20"/>
          <w:color w:val="auto"/>
        </w:rPr>
      </w:pPr>
      <w:r>
        <w:rPr>
          <w:rFonts w:ascii="Arial" w:cs="Arial" w:eastAsia="Arial" w:hAnsi="Arial"/>
          <w:sz w:val="18"/>
          <w:szCs w:val="18"/>
          <w:color w:val="auto"/>
        </w:rPr>
        <w:t>General and administrative expense of $8.2 million for the nine months ended September 30, 2021 increased $1.7 million over the nine months ended September 30, 2020. The increase was primarily related to increased compensation costs due to increased headcount and increased stock-based compensation expense.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We are obligated to make cash payments of up to a maximum of $30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revenue, respectively, in future years was estimated to be $12.9 million as of September 30, 2021, a $2.6 million increase from the estimate as of December 31, 2020. During the nine months ended September 30, 2020, the estimate increased $4.2 million from the $5.9 million estimated at December 31,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We had other income of $0.4 million in the nine months ended September 30, 2021, compared to $6.5 million during the nine months ended September 30, 2020. The decrease of $6.1 million was primarily due to a $6.2 million decrease in the fair value of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8" w:name="page19"/>
    <w:bookmarkEnd w:id="18"/>
    <w:p>
      <w:pPr>
        <w:ind w:right="440"/>
        <w:spacing w:after="0" w:line="277" w:lineRule="auto"/>
        <w:rPr>
          <w:sz w:val="20"/>
          <w:szCs w:val="20"/>
          <w:color w:val="auto"/>
        </w:rPr>
      </w:pPr>
      <w:r>
        <w:rPr>
          <w:rFonts w:ascii="Arial" w:cs="Arial" w:eastAsia="Arial" w:hAnsi="Arial"/>
          <w:sz w:val="18"/>
          <w:szCs w:val="18"/>
          <w:color w:val="auto"/>
        </w:rPr>
        <w:t>outstanding warrants during the nine months ended September 30, 2021 compared the nine months ended September 30, 2020. An increase in interest income also contributed slightly to the overall decrease in the comparative periods.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had a net loss of $28.1 million during the nine months ended September 30, 2021 and an accumulated deficit of $210.5 million at September 30, 2021 as a result of having incurred losses since our inception. We had $28.2 million in cash and cash equivalents and $19.8 million of working capital at September 30, 2021, and used $20.9 million of cash in operating activities during the nine months ended September 30, 2021. We have financed our operations principally through issuances of equity securities. In June 2020, we sold 34,848,484 shares of common stock in an underwritten public offering at a price of $1.65 per share for net proceeds of $53.8 million. In July 2021, we announced an ATM Offering for up to $25.0 million.</w:t>
      </w:r>
    </w:p>
    <w:p>
      <w:pPr>
        <w:spacing w:after="0" w:line="161"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We expect to continue incurring losses for the foreseeable future and will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are critical to the realization of our business plan and our future operations. These matters raise substantial doubt about our ability to continue as a going concern within one year from the date of this filing.</w:t>
      </w:r>
    </w:p>
    <w:p>
      <w:pPr>
        <w:spacing w:after="0" w:line="8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40" w:type="dxa"/>
            <w:vAlign w:val="bottom"/>
            <w:gridSpan w:val="3"/>
          </w:tcPr>
          <w:p>
            <w:pPr>
              <w:jc w:val="right"/>
              <w:ind w:right="616"/>
              <w:spacing w:after="0" w:line="155"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(20,907)</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(18,357)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(123)</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53,764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increase (decrease) in cash and cash equivalents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(21,039)</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35,404</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During the nine months ended September 30, 2021, operating activities used net cash of $20.9 million, which was primarily due to the net loss of $28.1 million reduced by adding back the non-cash loss of $2.2 million for the change in fair value of common stock warrants and contingent consideration, non-cash expense of $1.5 million for depreciation and amortization and $2.9 million for stock-based compensation. Additionally, the usage of cash during the nine months ended September 30, 2021 was decreased by $0.4 million due to changes in operating assets and liabilities.</w:t>
      </w:r>
    </w:p>
    <w:p>
      <w:pPr>
        <w:spacing w:after="0" w:line="63"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During the nine months ended September 30, 2020, operating activities used net cash of $18.4 million, which was primarily due to the net loss of $21.8 million increased by adding back the net non-cash income of $2.3 million for the change in the fair value of stock warrants and contingent consideration and reduced by adding back other non-cash expenses of $1.5 million for depreciation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460"/>
        <w:spacing w:after="0" w:line="277" w:lineRule="auto"/>
        <w:rPr>
          <w:sz w:val="20"/>
          <w:szCs w:val="20"/>
          <w:color w:val="auto"/>
        </w:rPr>
      </w:pPr>
      <w:r>
        <w:rPr>
          <w:rFonts w:ascii="Arial" w:cs="Arial" w:eastAsia="Arial" w:hAnsi="Arial"/>
          <w:sz w:val="18"/>
          <w:szCs w:val="18"/>
          <w:color w:val="auto"/>
        </w:rPr>
        <w:t>amortization, $1.1 million for stock-based compensation and $0.2 million for non-cash lease expense. Additionally, the usage of cash during the nine months ended September 30, 2020 was reduced by $3.0 million due to changes in operating assets and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17"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Minimal cash was used for investing activities in the nine months ended September 30, 2021 related to the costs of acquiring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nine months ended September 30, 2021, we used cash of $0.1 million to pay for the taxes of net share-settled vesting of restricted stock.</w:t>
      </w:r>
    </w:p>
    <w:p>
      <w:pPr>
        <w:spacing w:after="0" w:line="248"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In June 2020, we obtained $53.8 million of cash from the sale of shares of our common stock in a public offering, net of underwriting discounts and other offering expenses.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minimal cash was used during the nine months ended September 30, 2021 and 2020, for payments made on our finance lease.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60" w:firstLine="510"/>
        <w:spacing w:after="0" w:line="342" w:lineRule="auto"/>
        <w:rPr>
          <w:sz w:val="20"/>
          <w:szCs w:val="20"/>
          <w:color w:val="auto"/>
        </w:rPr>
      </w:pPr>
      <w:r>
        <w:rPr>
          <w:rFonts w:ascii="Arial" w:cs="Arial" w:eastAsia="Arial" w:hAnsi="Arial"/>
          <w:sz w:val="16"/>
          <w:szCs w:val="16"/>
          <w:color w:val="auto"/>
        </w:rPr>
        <w:t xml:space="preserve">There have not been any material changes to our exposure to market risk during the nine months ended September 30, 2021. For additional information regarding market risk, refer to the </w:t>
      </w:r>
      <w:r>
        <w:rPr>
          <w:rFonts w:ascii="Arial" w:cs="Arial" w:eastAsia="Arial" w:hAnsi="Arial"/>
          <w:sz w:val="16"/>
          <w:szCs w:val="16"/>
          <w:i w:val="1"/>
          <w:iCs w:val="1"/>
          <w:color w:val="auto"/>
        </w:rPr>
        <w:t>Qualitative and Quantitative Disclosures About Market Risk</w:t>
      </w:r>
      <w:r>
        <w:rPr>
          <w:rFonts w:ascii="Arial" w:cs="Arial" w:eastAsia="Arial" w:hAnsi="Arial"/>
          <w:sz w:val="16"/>
          <w:szCs w:val="16"/>
          <w:color w:val="auto"/>
        </w:rPr>
        <w:t xml:space="preserve"> section of the Form 10-K.</w:t>
      </w:r>
    </w:p>
    <w:p>
      <w:pPr>
        <w:spacing w:after="0" w:line="2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21"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6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6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2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There have been no changes to our internal control over financial reporting that occurred during the third fiscal quarter ended September 30, 2021, that have materially affected, or are reasonably likely to materially affect, our internal control over financial reporting.</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Other than as set forth below, there are no material changes from the disclosure provided in the Form 10-K with respect to the Risk Factors.</w:t>
      </w:r>
    </w:p>
    <w:p>
      <w:pPr>
        <w:spacing w:after="0" w:line="27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for DCCR is subject to uncertainty based on FDA’s recommendation that at least an additional clinical trial may be necessary to support a marketing application for the treatment of PWS.</w:t>
      </w:r>
    </w:p>
    <w:p>
      <w:pPr>
        <w:spacing w:after="0" w:line="62" w:lineRule="exact"/>
        <w:rPr>
          <w:sz w:val="20"/>
          <w:szCs w:val="20"/>
          <w:color w:val="auto"/>
        </w:rPr>
      </w:pPr>
    </w:p>
    <w:p>
      <w:pPr>
        <w:ind w:right="220" w:firstLine="562"/>
        <w:spacing w:after="0" w:line="271" w:lineRule="auto"/>
        <w:rPr>
          <w:sz w:val="20"/>
          <w:szCs w:val="20"/>
          <w:color w:val="auto"/>
        </w:rPr>
      </w:pPr>
      <w:r>
        <w:rPr>
          <w:rFonts w:ascii="Arial" w:cs="Arial" w:eastAsia="Arial" w:hAnsi="Arial"/>
          <w:sz w:val="17"/>
          <w:szCs w:val="17"/>
          <w:color w:val="auto"/>
        </w:rPr>
        <w:t>We have been in discussions with the FDA regarding the clinical data necessary to support the submission of a new drug application (NDA) seeking approval to market DCCR for the treatment of PWS, after our Phase 3 trial, DESTINY PWS (C601) trial failed to demonstrate statistical significance on the primary efficacy endpoints. As we previously disclosed, the FDA has indicated that based on the data the agency has seen to date, at least an additional clinical trial will be necessary to support our planned NDA. As part of the ongoing discussions with the FDA, we have provided the agency with the clinical study report for the DESTINY PWS Phase 3 trial and available data from our long-term, open-label extension study (C602) to allow FDA to further assess if those data may provide adequate evidence of safety and efficacy to permit us to submit a 505(b)(2) NDA for the product candidate. We cannot be certain that the FDA will agree that these additional data, once reviewed by FDA, are sufficient for the agency to determine that we have demonstrated substantial evidence that DCCR is safe and effective for the treatment of PWS.</w:t>
      </w:r>
    </w:p>
    <w:p>
      <w:pPr>
        <w:spacing w:after="0" w:line="7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Complying with any additional requests for information from the FDA, or designing and conducting a new randomized controlled clinical trial if the agency continues to assert that an additional controlled data is necessary, will be time-consuming, expensive, and delay or prevent our ability to continue to study and develop DCCR, or may result in a change in our regulatory strategy such as pursuing a narrower indication of use. If we are unable to adequately address any previous or further recommendations, concerns, requests, or objections in a manner satisfactory to the FDA, as applicable, in a timely manner, or at all, we could be delayed or prevented from seeking approval of DCCR for any intended use. Moreover, there can be no assurance that any future randomized controlled trial will be successfully enrolled or completed.</w:t>
      </w:r>
    </w:p>
    <w:p>
      <w:pPr>
        <w:spacing w:after="0" w:line="28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product candidates.</w:t>
      </w:r>
    </w:p>
    <w:p>
      <w:pPr>
        <w:spacing w:after="0" w:line="7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have yet not commenced commercialization of DCCR, our current sole novel therapeutic product, and accordingly, through September 30, 2021, have generated no revenue from operations. The accompanying condensed consolidated financial statements have been prepared on a going concern basis, which contemplates the realization of assets and the satisfaction of liabilities in the normal course of business. We had a net loss of $28.1 million during the nine months ended September 30, 2021 and an accumulated deficit of $210.5 million at September 30, 2021 as a result of having incurred losses since our inception. We had $28.2 million in cash and cash equivalents and $19.8 million of working capital at September 30, 2021, used $20.9 million of cash in operating activities during the nine months ended September 30, 2021 and expect to continue incurring losses for the foreseeable future. These matters raise substantial doubt about our ability to continue as a going concern. The condensed consolidated financial statements do not include any adjustments relating to the recoverability and classification of asset amounts or the classification of liabilities that might be necessary should we be unable to continue as a going concern within 12 months after the date the financial statements are issued.</w:t>
      </w:r>
    </w:p>
    <w:p>
      <w:pPr>
        <w:spacing w:after="0" w:line="73"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intend to raise additional capital, either through debt or equity financings to achieve our business plan objectives, including ongoing expenses related to resources being deployed to manage patients participating in our current ongoing clinical trial of DCCR and other activities necessary to support the submission of an NDA to the FDA. Because of the numerous risks and uncertainties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right="80"/>
        <w:spacing w:after="0" w:line="271" w:lineRule="auto"/>
        <w:rPr>
          <w:sz w:val="20"/>
          <w:szCs w:val="20"/>
          <w:color w:val="auto"/>
        </w:rPr>
      </w:pPr>
      <w:r>
        <w:rPr>
          <w:rFonts w:ascii="Arial" w:cs="Arial" w:eastAsia="Arial" w:hAnsi="Arial"/>
          <w:sz w:val="17"/>
          <w:szCs w:val="17"/>
          <w:color w:val="auto"/>
        </w:rPr>
        <w:t>associated with our product development and planned commercialization efforts, many of which are discussed above and in the risk factors section of our Form 10-K,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studies, our ability to obtain FDA clearance for DCCR, the condition of the capital markets and the other risks described in our risk factors. If any one of these factors is unfavorable,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 or continue as a going concern.</w:t>
      </w:r>
    </w:p>
    <w:p>
      <w:pPr>
        <w:spacing w:after="0" w:line="70" w:lineRule="exact"/>
        <w:rPr>
          <w:sz w:val="20"/>
          <w:szCs w:val="20"/>
          <w:color w:val="auto"/>
        </w:rPr>
      </w:pPr>
    </w:p>
    <w:p>
      <w:pPr>
        <w:ind w:firstLine="510"/>
        <w:spacing w:after="0" w:line="252" w:lineRule="auto"/>
        <w:rPr>
          <w:sz w:val="20"/>
          <w:szCs w:val="20"/>
          <w:color w:val="auto"/>
        </w:rPr>
      </w:pPr>
      <w:r>
        <w:rPr>
          <w:rFonts w:ascii="Arial" w:cs="Arial" w:eastAsia="Arial" w:hAnsi="Arial"/>
          <w:sz w:val="18"/>
          <w:szCs w:val="18"/>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would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30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Incorporated by Reference from</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Description of Document</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Registrant’s</w:t>
            </w:r>
          </w:p>
        </w:tc>
        <w:tc>
          <w:tcPr>
            <w:tcW w:w="1800" w:type="dxa"/>
            <w:vAlign w:val="bottom"/>
            <w:gridSpan w:val="2"/>
          </w:tcPr>
          <w:p>
            <w:pPr>
              <w:ind w:left="520"/>
              <w:spacing w:after="0" w:line="119" w:lineRule="exact"/>
              <w:rPr>
                <w:sz w:val="20"/>
                <w:szCs w:val="20"/>
                <w:color w:val="auto"/>
              </w:rPr>
            </w:pPr>
            <w:r>
              <w:rPr>
                <w:rFonts w:ascii="Arial" w:cs="Arial" w:eastAsia="Arial" w:hAnsi="Arial"/>
                <w:sz w:val="13"/>
                <w:szCs w:val="13"/>
                <w:b w:val="1"/>
                <w:bCs w:val="1"/>
                <w:color w:val="auto"/>
              </w:rPr>
              <w:t>Date Filed</w:t>
            </w:r>
          </w:p>
        </w:tc>
        <w:tc>
          <w:tcPr>
            <w:tcW w:w="12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Exhibit</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4"/>
                <w:szCs w:val="14"/>
                <w:color w:val="auto"/>
              </w:rPr>
            </w:pPr>
          </w:p>
        </w:tc>
        <w:tc>
          <w:tcPr>
            <w:tcW w:w="16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with the SEC</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1360" w:type="dxa"/>
            <w:vAlign w:val="bottom"/>
          </w:tcPr>
          <w:p>
            <w:pPr>
              <w:ind w:left="2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25">
              <w:r>
                <w:rPr>
                  <w:rFonts w:ascii="Arial" w:cs="Arial" w:eastAsia="Arial" w:hAnsi="Arial"/>
                  <w:sz w:val="18"/>
                  <w:szCs w:val="18"/>
                  <w:color w:val="0000EE"/>
                  <w:w w:val="95"/>
                </w:rPr>
                <w:t>Certification of Principal Executive Officer</w:t>
              </w:r>
            </w:hyperlink>
          </w:p>
        </w:tc>
        <w:tc>
          <w:tcPr>
            <w:tcW w:w="740" w:type="dxa"/>
            <w:vAlign w:val="bottom"/>
            <w:tcBorders>
              <w:bottom w:val="single" w:sz="8" w:color="0000EE"/>
            </w:tcBorders>
            <w:gridSpan w:val="6"/>
          </w:tcPr>
          <w:p>
            <w:pPr>
              <w:ind w:left="40"/>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Required</w:t>
              </w:r>
            </w:hyperlink>
          </w:p>
        </w:tc>
        <w:tc>
          <w:tcPr>
            <w:tcW w:w="1620" w:type="dxa"/>
            <w:vAlign w:val="bottom"/>
            <w:gridSpan w:val="8"/>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Under Rule 13a-14(a) and 15d-14(a) of the Securities and</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Exchange Act of 1934, as amended</w:t>
              </w:r>
            </w:hyperlink>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6">
              <w:r>
                <w:rPr>
                  <w:rFonts w:ascii="Arial" w:cs="Arial" w:eastAsia="Arial" w:hAnsi="Arial"/>
                  <w:sz w:val="18"/>
                  <w:szCs w:val="18"/>
                  <w:color w:val="0000EE"/>
                  <w:w w:val="93"/>
                </w:rPr>
                <w:t>Certification of Principal Financial and Accounting</w:t>
              </w:r>
            </w:hyperlink>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Officer Required Under Rule 13a-14(a) and 15d-14(a) of</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the Securities and Exchange Act of 1934, as amended</w:t>
              </w:r>
            </w:hyperlink>
          </w:p>
        </w:tc>
        <w:tc>
          <w:tcPr>
            <w:tcW w:w="200" w:type="dxa"/>
            <w:vAlign w:val="bottom"/>
            <w:tcBorders>
              <w:top w:val="single" w:sz="8" w:color="0000EE"/>
            </w:tcBorders>
            <w:gridSpan w:val="4"/>
          </w:tcPr>
          <w:p>
            <w:pPr>
              <w:spacing w:after="0"/>
              <w:rPr>
                <w:sz w:val="17"/>
                <w:szCs w:val="17"/>
                <w:color w:val="auto"/>
              </w:rPr>
            </w:pPr>
          </w:p>
        </w:tc>
        <w:tc>
          <w:tcPr>
            <w:tcW w:w="1440" w:type="dxa"/>
            <w:vAlign w:val="bottom"/>
            <w:gridSpan w:val="5"/>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Certification of Principal Executive Officer Required</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Under Rule 13a-14(b) of the Securities and Exchange</w:t>
              </w:r>
            </w:hyperlink>
          </w:p>
        </w:tc>
        <w:tc>
          <w:tcPr>
            <w:tcW w:w="1660" w:type="dxa"/>
            <w:vAlign w:val="bottom"/>
            <w:gridSpan w:val="10"/>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Act of 1934, as amended, and 18 U.S.C. §1350</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60" w:type="dxa"/>
            <w:vAlign w:val="bottom"/>
          </w:tcPr>
          <w:p>
            <w:pPr>
              <w:ind w:left="2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Certification of Principal Financial and Accounting</w:t>
              </w:r>
            </w:hyperlink>
          </w:p>
        </w:tc>
        <w:tc>
          <w:tcPr>
            <w:tcW w:w="1820" w:type="dxa"/>
            <w:vAlign w:val="bottom"/>
            <w:gridSpan w:val="12"/>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Officer Required Under Rule 13a-14(b) of the Securities</w:t>
              </w:r>
            </w:hyperlink>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and Exchange Act of 1934, as amended, and 18 U.S.C.</w:t>
              </w:r>
            </w:hyperlink>
          </w:p>
        </w:tc>
        <w:tc>
          <w:tcPr>
            <w:tcW w:w="100" w:type="dxa"/>
            <w:vAlign w:val="bottom"/>
            <w:tcBorders>
              <w:top w:val="single" w:sz="8" w:color="0000EE"/>
            </w:tcBorders>
          </w:tcPr>
          <w:p>
            <w:pPr>
              <w:spacing w:after="0"/>
              <w:rPr>
                <w:sz w:val="17"/>
                <w:szCs w:val="17"/>
                <w:color w:val="auto"/>
              </w:rPr>
            </w:pPr>
          </w:p>
        </w:tc>
        <w:tc>
          <w:tcPr>
            <w:tcW w:w="146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gridSpan w:val="4"/>
          </w:tcPr>
          <w:p>
            <w:pPr>
              <w:ind w:left="1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§1350</w:t>
              </w:r>
            </w:hyperlink>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80" w:type="dxa"/>
            <w:vAlign w:val="bottom"/>
            <w:gridSpan w:val="1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document does not appear in the Interactive Data File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because XBRL tags are embedded within the Inline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460" w:type="dxa"/>
            <w:vAlign w:val="bottom"/>
            <w:gridSpan w:val="2"/>
          </w:tcPr>
          <w:p>
            <w:pPr>
              <w:ind w:left="18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Linkbase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1360" w:type="dxa"/>
            <w:vAlign w:val="bottom"/>
          </w:tcPr>
          <w:p>
            <w:pPr>
              <w:ind w:left="1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Inline XBRL document).</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gridSpan w:val="10"/>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b w:val="1"/>
          <w:bCs w:val="1"/>
          <w:color w:val="auto"/>
        </w:rPr>
        <w:t>SOLENO THERAPEUTICS, INC.</w:t>
      </w:r>
    </w:p>
    <w:p>
      <w:pPr>
        <w:spacing w:after="0" w:line="22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(authorized officer and principal financial and</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00"/>
          </w:cols>
          <w:pgMar w:left="320" w:top="567" w:right="7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Mackaness,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Soleno Therapeutics, Inc.;</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260" w:hanging="2"/>
        <w:spacing w:after="0" w:line="263"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hanging="2"/>
        <w:spacing w:after="0" w:line="263"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780" w:hanging="2"/>
        <w:spacing w:after="0" w:line="342" w:lineRule="auto"/>
        <w:tabs>
          <w:tab w:leader="none" w:pos="76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220" w:hanging="2"/>
        <w:spacing w:after="0" w:line="263"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180" w:hanging="2"/>
        <w:spacing w:after="0" w:line="277" w:lineRule="auto"/>
        <w:tabs>
          <w:tab w:leader="none" w:pos="7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120" w:hanging="2"/>
        <w:spacing w:after="0" w:line="277" w:lineRule="auto"/>
        <w:tabs>
          <w:tab w:leader="none" w:pos="77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33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September 30, 2021,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57" w:lineRule="exact"/>
        <w:rPr>
          <w:sz w:val="20"/>
          <w:szCs w:val="20"/>
          <w:color w:val="auto"/>
        </w:rPr>
      </w:pPr>
    </w:p>
    <w:p>
      <w:pPr>
        <w:ind w:left="1520" w:hanging="50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Anish Bhatnagar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of Soleno Therapeutics, Inc. (the “Company”) on Form 10-Q for the fiscal quarter ended September 30, 2021,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57" w:lineRule="exact"/>
        <w:rPr>
          <w:sz w:val="20"/>
          <w:szCs w:val="20"/>
          <w:color w:val="auto"/>
        </w:rPr>
      </w:pPr>
    </w:p>
    <w:p>
      <w:pPr>
        <w:ind w:left="1520" w:hanging="500"/>
        <w:spacing w:after="0"/>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1520" w:hanging="500"/>
        <w:spacing w:after="0"/>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Mackaness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2021-11-10T15:58:23Z</dcterms:created>
  <dcterms:modified xsi:type="dcterms:W3CDTF">2021-11-10T15:58:23Z</dcterms:modified>
</cp:coreProperties>
</file>