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333-232068</w:t>
      </w:r>
    </w:p>
    <w:p>
      <w:pPr>
        <w:spacing w:after="0" w:line="13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(To Prospectus Dated July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142875</wp:posOffset>
            </wp:positionV>
            <wp:extent cx="128651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651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SOLENO THERAPEUTICS, INC.</w:t>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11,166,667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226695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are offering 11,166,667 shares of our common stock.</w:t>
      </w:r>
    </w:p>
    <w:p>
      <w:pPr>
        <w:spacing w:after="0" w:line="198" w:lineRule="exact"/>
        <w:rPr>
          <w:sz w:val="24"/>
          <w:szCs w:val="24"/>
          <w:color w:val="auto"/>
        </w:rPr>
      </w:pPr>
    </w:p>
    <w:p>
      <w:pPr>
        <w:ind w:left="200" w:right="20"/>
        <w:spacing w:after="0" w:line="277" w:lineRule="auto"/>
        <w:rPr>
          <w:sz w:val="20"/>
          <w:szCs w:val="20"/>
          <w:color w:val="auto"/>
        </w:rPr>
      </w:pPr>
      <w:r>
        <w:rPr>
          <w:rFonts w:ascii="Arial" w:cs="Arial" w:eastAsia="Arial" w:hAnsi="Arial"/>
          <w:sz w:val="18"/>
          <w:szCs w:val="18"/>
          <w:color w:val="auto"/>
        </w:rPr>
        <w:t>Our common stock is presently traded on the Nasdaq Capital Market under the symbol “SLNO.” On October 23, 2019, the last reported sale price of our common stock was $1.55 per share.</w:t>
      </w:r>
    </w:p>
    <w:p>
      <w:pPr>
        <w:spacing w:after="0" w:line="130" w:lineRule="exact"/>
        <w:rPr>
          <w:sz w:val="24"/>
          <w:szCs w:val="24"/>
          <w:color w:val="auto"/>
        </w:rPr>
      </w:pPr>
    </w:p>
    <w:p>
      <w:pPr>
        <w:ind w:left="200" w:right="120"/>
        <w:spacing w:after="0" w:line="293" w:lineRule="auto"/>
        <w:rPr>
          <w:sz w:val="20"/>
          <w:szCs w:val="20"/>
          <w:color w:val="auto"/>
        </w:rPr>
      </w:pPr>
      <w:r>
        <w:rPr>
          <w:rFonts w:ascii="Arial" w:cs="Arial" w:eastAsia="Arial" w:hAnsi="Arial"/>
          <w:sz w:val="16"/>
          <w:szCs w:val="16"/>
          <w:color w:val="auto"/>
        </w:rPr>
        <w:t>As of October 21, 2019, the aggregate market value of our voting and non-voting common stock held by non-affiliates pursuant to General Instruction I.B.6. of Form S-3 was $46,251,696 which was calculated based on 24,342,998 outstanding shares of our voting and non-voting common stock held by non-affiliates and at a price of $1.90 per share, the closing sale price of our common stock reported on the Nasdaq Capital Market on September 13, 2019. As a result, we are eligible to offer and sell up to an aggregate of $15,417,232 of shares of our common stock pursuant to General Instruction I.B.6. of Form S-3. Following this offering, we will have sold securities with an aggregate market value of $13,400,000.40 pursuant to General Instruction I.B.6. of Form S-3 during the prior 12 calendar month period that ends on, and includes, the date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182245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left="20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An investment in our common stock involves a high degree of risk. You should carefully consider the information under the heading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S-7 of this prospectus supplement and in the documents incorporated by reference into this prospectus supplement before you invest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186055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both"/>
        <w:ind w:left="200" w:right="4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2" w:lineRule="exact"/>
        <w:rPr>
          <w:sz w:val="24"/>
          <w:szCs w:val="24"/>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3"/>
          </w:tcPr>
          <w:p>
            <w:pPr>
              <w:ind w:left="1360"/>
              <w:spacing w:after="0"/>
              <w:rPr>
                <w:sz w:val="20"/>
                <w:szCs w:val="20"/>
                <w:color w:val="auto"/>
              </w:rPr>
            </w:pPr>
            <w:r>
              <w:rPr>
                <w:rFonts w:ascii="Arial" w:cs="Arial" w:eastAsia="Arial" w:hAnsi="Arial"/>
                <w:sz w:val="14"/>
                <w:szCs w:val="14"/>
                <w:b w:val="1"/>
                <w:bCs w:val="1"/>
                <w:color w:val="auto"/>
                <w:w w:val="91"/>
              </w:rPr>
              <w:t>Per Share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13,400,000.40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15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670,000.02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12,730,000.38</w:t>
            </w:r>
          </w:p>
        </w:tc>
        <w:tc>
          <w:tcPr>
            <w:tcW w:w="40" w:type="dxa"/>
            <w:vAlign w:val="bottom"/>
            <w:shd w:val="clear" w:color="auto" w:fill="CCEEFF"/>
          </w:tcPr>
          <w:p>
            <w:pPr>
              <w:spacing w:after="0"/>
              <w:rPr>
                <w:sz w:val="18"/>
                <w:szCs w:val="18"/>
                <w:color w:val="auto"/>
              </w:rPr>
            </w:pPr>
          </w:p>
        </w:tc>
      </w:tr>
    </w:tbl>
    <w:p>
      <w:pPr>
        <w:spacing w:after="0" w:line="202" w:lineRule="exact"/>
        <w:rPr>
          <w:sz w:val="24"/>
          <w:szCs w:val="24"/>
          <w:color w:val="auto"/>
        </w:rPr>
      </w:pPr>
    </w:p>
    <w:p>
      <w:pPr>
        <w:ind w:left="640" w:right="400" w:hanging="436"/>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also agreed to reimburse Oppenheimer for certain expenses. For additional information regarding Oppenheimer’s compensation, see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143" w:lineRule="exact"/>
        <w:rPr>
          <w:sz w:val="24"/>
          <w:szCs w:val="24"/>
          <w:color w:val="auto"/>
        </w:rPr>
      </w:pPr>
    </w:p>
    <w:p>
      <w:pPr>
        <w:ind w:left="200" w:right="280"/>
        <w:spacing w:after="0" w:line="264" w:lineRule="auto"/>
        <w:rPr>
          <w:sz w:val="20"/>
          <w:szCs w:val="20"/>
          <w:color w:val="auto"/>
        </w:rPr>
      </w:pPr>
      <w:r>
        <w:rPr>
          <w:rFonts w:ascii="Arial" w:cs="Arial" w:eastAsia="Arial" w:hAnsi="Arial"/>
          <w:sz w:val="18"/>
          <w:szCs w:val="18"/>
          <w:color w:val="auto"/>
        </w:rPr>
        <w:t>We have granted the underwriter a 30-day option to purchase up to 1,675,000 additional shares of common stock from us at the public offering price, less underwriting discounts and commissions. See “</w:t>
      </w:r>
      <w:r>
        <w:rPr>
          <w:rFonts w:ascii="Arial" w:cs="Arial" w:eastAsia="Arial" w:hAnsi="Arial"/>
          <w:sz w:val="18"/>
          <w:szCs w:val="18"/>
          <w:i w:val="1"/>
          <w:iCs w:val="1"/>
          <w:color w:val="auto"/>
        </w:rPr>
        <w:t>Underwriting</w:t>
      </w:r>
      <w:r>
        <w:rPr>
          <w:rFonts w:ascii="Arial" w:cs="Arial" w:eastAsia="Arial" w:hAnsi="Arial"/>
          <w:sz w:val="18"/>
          <w:szCs w:val="18"/>
          <w:color w:val="auto"/>
        </w:rPr>
        <w:t>” on page S-47 of this prospectus supplement for a description of the option to purchase additional shares of common stock.</w:t>
      </w:r>
    </w:p>
    <w:p>
      <w:pPr>
        <w:spacing w:after="0" w:line="14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underwriter expects to deliver the shares against payment on or about October 25, 2019, subject to customary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Sole Book-Running Manager</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Oppenheimer &amp; Co.</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Co-Managers</w:t>
      </w:r>
    </w:p>
    <w:p>
      <w:pPr>
        <w:spacing w:after="0" w:line="110" w:lineRule="exact"/>
        <w:rPr>
          <w:sz w:val="24"/>
          <w:szCs w:val="24"/>
          <w:color w:val="auto"/>
        </w:rPr>
      </w:pPr>
    </w:p>
    <w:p>
      <w:pPr>
        <w:ind w:left="200"/>
        <w:spacing w:after="0"/>
        <w:tabs>
          <w:tab w:leader="none" w:pos="7800" w:val="left"/>
        </w:tabs>
        <w:rPr>
          <w:sz w:val="20"/>
          <w:szCs w:val="20"/>
          <w:color w:val="auto"/>
        </w:rPr>
      </w:pPr>
      <w:r>
        <w:rPr>
          <w:rFonts w:ascii="Arial" w:cs="Arial" w:eastAsia="Arial" w:hAnsi="Arial"/>
          <w:sz w:val="25"/>
          <w:szCs w:val="25"/>
          <w:b w:val="1"/>
          <w:bCs w:val="1"/>
          <w:color w:val="auto"/>
        </w:rPr>
        <w:t>Roth Capital Partners</w:t>
      </w:r>
      <w:r>
        <w:rPr>
          <w:sz w:val="20"/>
          <w:szCs w:val="20"/>
          <w:color w:val="auto"/>
        </w:rPr>
        <w:tab/>
      </w:r>
      <w:r>
        <w:rPr>
          <w:rFonts w:ascii="Arial" w:cs="Arial" w:eastAsia="Arial" w:hAnsi="Arial"/>
          <w:sz w:val="24"/>
          <w:szCs w:val="24"/>
          <w:b w:val="1"/>
          <w:bCs w:val="1"/>
          <w:color w:val="auto"/>
        </w:rPr>
        <w:t>Laidlaw &amp; Company (UK) Ltd.</w:t>
      </w:r>
    </w:p>
    <w:p>
      <w:pPr>
        <w:sectPr>
          <w:pgSz w:w="11900" w:h="16838" w:orient="portrait"/>
          <w:cols w:equalWidth="0" w:num="1">
            <w:col w:w="11220"/>
          </w:cols>
          <w:pgMar w:left="240" w:top="230" w:right="439" w:bottom="1440" w:gutter="0" w:footer="0" w:header="0"/>
        </w:sectPr>
      </w:pP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The date of this prospectus supplement is October 23,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40" w:type="dxa"/>
            <w:vAlign w:val="bottom"/>
            <w:gridSpan w:val="4"/>
          </w:tcPr>
          <w:p>
            <w:pPr>
              <w:jc w:val="right"/>
              <w:ind w:right="4690"/>
              <w:spacing w:after="0"/>
              <w:rPr>
                <w:sz w:val="20"/>
                <w:szCs w:val="20"/>
                <w:color w:val="auto"/>
              </w:rPr>
            </w:pPr>
            <w:r>
              <w:rPr>
                <w:rFonts w:ascii="Arial" w:cs="Arial" w:eastAsia="Arial" w:hAnsi="Arial"/>
                <w:sz w:val="18"/>
                <w:szCs w:val="18"/>
                <w:b w:val="1"/>
                <w:bCs w:val="1"/>
                <w:color w:val="auto"/>
                <w:w w:val="88"/>
              </w:rPr>
              <w:t>Table of Contents</w:t>
            </w: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56"/>
        </w:trPr>
        <w:tc>
          <w:tcPr>
            <w:tcW w:w="4120" w:type="dxa"/>
            <w:vAlign w:val="bottom"/>
            <w:gridSpan w:val="21"/>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6500" w:type="dxa"/>
            <w:vAlign w:val="bottom"/>
            <w:gridSpan w:val="5"/>
          </w:tcPr>
          <w:p>
            <w:pPr>
              <w:jc w:val="right"/>
              <w:ind w:right="4388"/>
              <w:spacing w:after="0" w:line="156" w:lineRule="exact"/>
              <w:rPr>
                <w:sz w:val="20"/>
                <w:szCs w:val="20"/>
                <w:color w:val="auto"/>
              </w:rPr>
            </w:pPr>
            <w:r>
              <w:rPr>
                <w:rFonts w:ascii="Arial" w:cs="Arial" w:eastAsia="Arial" w:hAnsi="Arial"/>
                <w:sz w:val="18"/>
                <w:szCs w:val="18"/>
                <w:b w:val="1"/>
                <w:bCs w:val="1"/>
                <w:color w:val="auto"/>
                <w:w w:val="98"/>
              </w:rPr>
              <w:t>Prospectus Supplement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4120" w:type="dxa"/>
            <w:vAlign w:val="bottom"/>
            <w:gridSpan w:val="21"/>
            <w:vMerge w:val="continue"/>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360" w:type="dxa"/>
            <w:vAlign w:val="bottom"/>
            <w:tcBorders>
              <w:top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Supplement Summary</w:t>
              </w:r>
            </w:hyperlink>
          </w:p>
        </w:tc>
        <w:tc>
          <w:tcPr>
            <w:tcW w:w="40" w:type="dxa"/>
            <w:vAlign w:val="bottom"/>
            <w:tcBorders>
              <w:top w:val="single" w:sz="8" w:color="0000EE"/>
            </w:tcBorders>
          </w:tcPr>
          <w:p>
            <w:pPr>
              <w:spacing w:after="0"/>
              <w:rPr>
                <w:sz w:val="17"/>
                <w:szCs w:val="17"/>
                <w:color w:val="auto"/>
              </w:rPr>
            </w:pPr>
          </w:p>
        </w:tc>
        <w:tc>
          <w:tcPr>
            <w:tcW w:w="16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412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4"/>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Risk Factors</w:t>
              </w:r>
            </w:hyperlink>
          </w:p>
        </w:tc>
        <w:tc>
          <w:tcPr>
            <w:tcW w:w="318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gridSpan w:val="21"/>
          </w:tcPr>
          <w:p>
            <w:pPr>
              <w:spacing w:after="0" w:line="19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Special Note Regarding Forward-Looking Statements</w:t>
              </w:r>
            </w:hyperlink>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0"/>
        </w:trPr>
        <w:tc>
          <w:tcPr>
            <w:tcW w:w="4120" w:type="dxa"/>
            <w:vAlign w:val="bottom"/>
            <w:gridSpan w:val="21"/>
          </w:tcPr>
          <w:p>
            <w:pPr>
              <w:spacing w:after="0" w:line="190" w:lineRule="exact"/>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0"/>
        </w:trPr>
        <w:tc>
          <w:tcPr>
            <w:tcW w:w="4120" w:type="dxa"/>
            <w:vAlign w:val="bottom"/>
            <w:gridSpan w:val="21"/>
          </w:tcPr>
          <w:p>
            <w:pPr>
              <w:spacing w:after="0" w:line="190" w:lineRule="exact"/>
              <w:rPr>
                <w:rFonts w:ascii="Arial" w:cs="Arial" w:eastAsia="Arial" w:hAnsi="Arial"/>
                <w:sz w:val="18"/>
                <w:szCs w:val="18"/>
                <w:color w:val="0000EE"/>
              </w:rPr>
            </w:pPr>
            <w:hyperlink w:anchor="page47">
              <w:r>
                <w:rPr>
                  <w:rFonts w:ascii="Arial" w:cs="Arial" w:eastAsia="Arial" w:hAnsi="Arial"/>
                  <w:sz w:val="18"/>
                  <w:szCs w:val="18"/>
                  <w:color w:val="0000EE"/>
                </w:rPr>
                <w:t>Dilution</w:t>
              </w:r>
            </w:hyperlink>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0"/>
        </w:trPr>
        <w:tc>
          <w:tcPr>
            <w:tcW w:w="4120" w:type="dxa"/>
            <w:vAlign w:val="bottom"/>
            <w:gridSpan w:val="21"/>
          </w:tcPr>
          <w:p>
            <w:pPr>
              <w:spacing w:after="0" w:line="190"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Securities we are Offering</w:t>
              </w:r>
            </w:hyperlink>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0"/>
        </w:trPr>
        <w:tc>
          <w:tcPr>
            <w:tcW w:w="4120" w:type="dxa"/>
            <w:vAlign w:val="bottom"/>
            <w:gridSpan w:val="21"/>
          </w:tcPr>
          <w:p>
            <w:pPr>
              <w:spacing w:after="0" w:line="190" w:lineRule="exact"/>
              <w:rPr>
                <w:rFonts w:ascii="Arial" w:cs="Arial" w:eastAsia="Arial" w:hAnsi="Arial"/>
                <w:sz w:val="18"/>
                <w:szCs w:val="18"/>
                <w:color w:val="0000EE"/>
              </w:rPr>
            </w:pPr>
            <w:hyperlink w:anchor="page49">
              <w:r>
                <w:rPr>
                  <w:rFonts w:ascii="Arial" w:cs="Arial" w:eastAsia="Arial" w:hAnsi="Arial"/>
                  <w:sz w:val="18"/>
                  <w:szCs w:val="18"/>
                  <w:color w:val="0000EE"/>
                </w:rPr>
                <w:t>Underwriting</w:t>
              </w:r>
            </w:hyperlink>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0"/>
        </w:trPr>
        <w:tc>
          <w:tcPr>
            <w:tcW w:w="4120" w:type="dxa"/>
            <w:vAlign w:val="bottom"/>
            <w:gridSpan w:val="21"/>
          </w:tcPr>
          <w:p>
            <w:pPr>
              <w:spacing w:after="0" w:line="190" w:lineRule="exact"/>
              <w:rPr>
                <w:rFonts w:ascii="Arial" w:cs="Arial" w:eastAsia="Arial" w:hAnsi="Arial"/>
                <w:sz w:val="18"/>
                <w:szCs w:val="18"/>
                <w:color w:val="0000EE"/>
              </w:rPr>
            </w:pPr>
            <w:hyperlink w:anchor="page52">
              <w:r>
                <w:rPr>
                  <w:rFonts w:ascii="Arial" w:cs="Arial" w:eastAsia="Arial" w:hAnsi="Arial"/>
                  <w:sz w:val="18"/>
                  <w:szCs w:val="18"/>
                  <w:color w:val="0000EE"/>
                </w:rPr>
                <w:t>Notice to Investors</w:t>
              </w:r>
            </w:hyperlink>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0"/>
        </w:trPr>
        <w:tc>
          <w:tcPr>
            <w:tcW w:w="4120" w:type="dxa"/>
            <w:vAlign w:val="bottom"/>
            <w:gridSpan w:val="21"/>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Legal Matters</w:t>
              </w:r>
            </w:hyperlink>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0"/>
        </w:trPr>
        <w:tc>
          <w:tcPr>
            <w:tcW w:w="4120" w:type="dxa"/>
            <w:vAlign w:val="bottom"/>
            <w:gridSpan w:val="21"/>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0"/>
        </w:trPr>
        <w:tc>
          <w:tcPr>
            <w:tcW w:w="4120" w:type="dxa"/>
            <w:vAlign w:val="bottom"/>
            <w:gridSpan w:val="21"/>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w:t>
              </w:r>
            </w:hyperlink>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0"/>
        </w:trPr>
        <w:tc>
          <w:tcPr>
            <w:tcW w:w="4120" w:type="dxa"/>
            <w:vAlign w:val="bottom"/>
            <w:gridSpan w:val="21"/>
          </w:tcPr>
          <w:p>
            <w:pPr>
              <w:spacing w:after="0" w:line="190"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Certain Information by Reference</w:t>
              </w:r>
            </w:hyperlink>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5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60" w:type="dxa"/>
            <w:vAlign w:val="bottom"/>
            <w:gridSpan w:val="6"/>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5"/>
          </w:tcPr>
          <w:p>
            <w:pPr>
              <w:jc w:val="right"/>
              <w:ind w:right="523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96"/>
        </w:trPr>
        <w:tc>
          <w:tcPr>
            <w:tcW w:w="412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About this Prospectus</w:t>
              </w:r>
            </w:hyperlink>
          </w:p>
        </w:tc>
        <w:tc>
          <w:tcPr>
            <w:tcW w:w="720" w:type="dxa"/>
            <w:vAlign w:val="bottom"/>
            <w:gridSpan w:val="2"/>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3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tcBorders>
            <w:gridSpan w:val="11"/>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Prospectus Summary</w:t>
              </w:r>
            </w:hyperlink>
          </w:p>
        </w:tc>
        <w:tc>
          <w:tcPr>
            <w:tcW w:w="2540" w:type="dxa"/>
            <w:vAlign w:val="bottom"/>
            <w:gridSpan w:val="10"/>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2600" w:type="dxa"/>
            <w:vAlign w:val="bottom"/>
            <w:gridSpan w:val="11"/>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Forward-Looking Statements</w:t>
              </w:r>
            </w:hyperlink>
          </w:p>
        </w:tc>
        <w:tc>
          <w:tcPr>
            <w:tcW w:w="2000" w:type="dxa"/>
            <w:vAlign w:val="bottom"/>
            <w:gridSpan w:val="7"/>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Use of Proceeds</w:t>
              </w:r>
            </w:hyperlink>
          </w:p>
        </w:tc>
        <w:tc>
          <w:tcPr>
            <w:tcW w:w="2940" w:type="dxa"/>
            <w:vAlign w:val="bottom"/>
            <w:gridSpan w:val="14"/>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Description of Capital Stock</w:t>
              </w:r>
            </w:hyperlink>
          </w:p>
        </w:tc>
        <w:tc>
          <w:tcPr>
            <w:tcW w:w="2060" w:type="dxa"/>
            <w:vAlign w:val="bottom"/>
            <w:gridSpan w:val="8"/>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Description of our Warrants</w:t>
              </w:r>
            </w:hyperlink>
          </w:p>
        </w:tc>
        <w:tc>
          <w:tcPr>
            <w:tcW w:w="2100" w:type="dxa"/>
            <w:vAlign w:val="bottom"/>
            <w:gridSpan w:val="9"/>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Plan of Distribution</w:t>
              </w:r>
            </w:hyperlink>
          </w:p>
        </w:tc>
        <w:tc>
          <w:tcPr>
            <w:tcW w:w="2680" w:type="dxa"/>
            <w:vAlign w:val="bottom"/>
            <w:gridSpan w:val="12"/>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12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Legal Matters</w:t>
              </w:r>
            </w:hyperlink>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Experts</w:t>
              </w:r>
            </w:hyperlink>
          </w:p>
        </w:tc>
        <w:tc>
          <w:tcPr>
            <w:tcW w:w="440" w:type="dxa"/>
            <w:vAlign w:val="bottom"/>
            <w:tcBorders>
              <w:top w:val="single" w:sz="8" w:color="0000EE"/>
            </w:tcBorders>
            <w:gridSpan w:val="5"/>
          </w:tcPr>
          <w:p>
            <w:pPr>
              <w:spacing w:after="0"/>
              <w:rPr>
                <w:sz w:val="17"/>
                <w:szCs w:val="17"/>
                <w:color w:val="auto"/>
              </w:rPr>
            </w:pPr>
          </w:p>
        </w:tc>
        <w:tc>
          <w:tcPr>
            <w:tcW w:w="3120" w:type="dxa"/>
            <w:vAlign w:val="bottom"/>
            <w:gridSpan w:val="15"/>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Where You Can Find More Information</w:t>
              </w:r>
            </w:hyperlink>
          </w:p>
        </w:tc>
        <w:tc>
          <w:tcPr>
            <w:tcW w:w="1240" w:type="dxa"/>
            <w:vAlign w:val="bottom"/>
            <w:gridSpan w:val="4"/>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Incorporation of Certain Information by Reference</w:t>
              </w:r>
            </w:hyperlink>
          </w:p>
        </w:tc>
        <w:tc>
          <w:tcPr>
            <w:tcW w:w="460" w:type="dxa"/>
            <w:vAlign w:val="bottom"/>
            <w:gridSpan w:val="2"/>
          </w:tcPr>
          <w:p>
            <w:pPr>
              <w:spacing w:after="0"/>
              <w:rPr>
                <w:sz w:val="17"/>
                <w:szCs w:val="17"/>
                <w:color w:val="auto"/>
              </w:rPr>
            </w:pPr>
          </w:p>
        </w:tc>
        <w:tc>
          <w:tcPr>
            <w:tcW w:w="6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This prospectus supplement and the accompanying prospectus form a part of a registration statement on Form S-3 that we filed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utilizing a “shelf” registration process. This document is in two parts. The first part is the prospectus supplement, which describes the specific terms of this offering. The second part, the accompanying prospectus, provides more general information about the securities we may offer from time to time, some of which may not apply to the securities offered by this prospectus supplement. Generally, when we refer to this prospectus, we are referring to both parts of this document combined. Before you invest, you should carefully read this prospectus supplement, the accompanying prospectus, all information incorporated by reference herein and therein, and the additional information described under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on page S-54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73"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Neither we nor the underwriter have authorized any other person to provide you with any information that is different. 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and/or the accompanying prospectus must inform themselves about, and observe any restrictions relating to, the offering of the securities and the distribution of this prospectus supplement and/or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79"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Unless the context otherwise requires, references in this prospectus supplement to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Soleno Therapeutics, Inc.</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3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67360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right="20"/>
        <w:spacing w:after="0" w:line="270" w:lineRule="auto"/>
        <w:rPr>
          <w:sz w:val="20"/>
          <w:szCs w:val="20"/>
          <w:color w:val="auto"/>
        </w:rPr>
      </w:pPr>
      <w:r>
        <w:rPr>
          <w:rFonts w:ascii="Arial" w:cs="Arial" w:eastAsia="Arial" w:hAnsi="Arial"/>
          <w:sz w:val="17"/>
          <w:szCs w:val="17"/>
          <w:i w:val="1"/>
          <w:iCs w:val="1"/>
          <w:color w:val="auto"/>
        </w:rPr>
        <w:t>This summary highlights selected information about our company, this offering and information appearing elsewhere in this prospectus supplement, in the accompanying prospectus, in the documents we incorporate by reference and in any free writing prospectus that we have authorized for use in connection with this offering. This summary is not complete and does not contain all the information that you should consider before investing in our securities. You should read this entire prospectus supplement and the accompanying prospectus carefully, including the “Risk Factors” contained in this prospectus supplement, the accompanying prospectus and the financial statements and the notes thereto incorporated by reference in this prospectus supplement and the accompanying prospectus and any free writing prospectus that we have authorized for use in connection with this offering, before making an investment decision. This prospectus supplement may add to, update or change information in the accompanying prospectus. Unless otherwise stated, all information contained in this prospectus supplement assumes or gives effect to no exercise by the underwriter of its option to purchase additional shares of common stock.</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spacing w:after="0" w:line="264" w:lineRule="auto"/>
        <w:rPr>
          <w:sz w:val="20"/>
          <w:szCs w:val="20"/>
          <w:color w:val="auto"/>
        </w:rPr>
      </w:pPr>
      <w:r>
        <w:rPr>
          <w:rFonts w:ascii="Arial" w:cs="Arial" w:eastAsia="Arial" w:hAnsi="Arial"/>
          <w:sz w:val="18"/>
          <w:szCs w:val="18"/>
          <w:color w:val="auto"/>
        </w:rPr>
        <w:t>Soleno Therapeutics is focused on the development and commercialization of novel therapeutics for the treatment of rare diseases. Our lead candidate, referred to as DCCR, a once-daily oral tablet for the treatment of Prader-Willi Syndrome, or PWS, a complex metabolic/neurobehavioral disorder, is currently being evaluated in a Phase III clinical development program.</w:t>
      </w:r>
    </w:p>
    <w:p>
      <w:pPr>
        <w:spacing w:after="0" w:line="181" w:lineRule="exact"/>
        <w:rPr>
          <w:sz w:val="20"/>
          <w:szCs w:val="20"/>
          <w:color w:val="auto"/>
        </w:rPr>
      </w:pPr>
    </w:p>
    <w:p>
      <w:pPr>
        <w:ind w:left="380"/>
        <w:spacing w:after="0" w:line="270" w:lineRule="auto"/>
        <w:rPr>
          <w:sz w:val="20"/>
          <w:szCs w:val="20"/>
          <w:color w:val="auto"/>
        </w:rPr>
      </w:pPr>
      <w:r>
        <w:rPr>
          <w:rFonts w:ascii="Arial" w:cs="Arial" w:eastAsia="Arial" w:hAnsi="Arial"/>
          <w:sz w:val="17"/>
          <w:szCs w:val="17"/>
          <w:color w:val="auto"/>
        </w:rPr>
        <w:t>On March 7, 2017, we completed our merger, or the Merger, with Essentialis, Inc., a Delaware corporation, or Essentialis, in accordance with the Merger Agreement by and between Soleno Therapeutics and Essentialis dated December 22, 2016, or the Merger Agreement. After the Merger, our primary focus has been the development and commercialization of novel therapeutics for the treatment of rare diseases. Essentialis was a privately-held, clinical-stage biotechnology company focused on the development of breakthrough medicines for the treatment of rare diseases where there is increased mortality and risk of cardiovascular and endocrine complications. Prior to the Merger, Essentialis’s efforts were focused primarily on developing and testing product candidates that target the ATP-sensitive potassium channel, a metabolically-regulated membrane protein whose modulation has the potential to impact a wide range of rare metabolic, cardiovascular, and CNS diseases. Essentialis had tested Diazoxide Choline Controlled Release tablets, or DCCR, as a treatment for PWS. DCCR has orphan designation for the treatment of PWS in the United States, or U.S., as well as in the European Union, or E.U.</w:t>
      </w:r>
    </w:p>
    <w:p>
      <w:pPr>
        <w:spacing w:after="0" w:line="182" w:lineRule="exact"/>
        <w:rPr>
          <w:sz w:val="20"/>
          <w:szCs w:val="20"/>
          <w:color w:val="auto"/>
        </w:rPr>
      </w:pPr>
    </w:p>
    <w:p>
      <w:pPr>
        <w:jc w:val="both"/>
        <w:ind w:left="380" w:right="60"/>
        <w:spacing w:after="0" w:line="276" w:lineRule="auto"/>
        <w:rPr>
          <w:sz w:val="20"/>
          <w:szCs w:val="20"/>
          <w:color w:val="auto"/>
        </w:rPr>
      </w:pPr>
      <w:r>
        <w:rPr>
          <w:rFonts w:ascii="Arial" w:cs="Arial" w:eastAsia="Arial" w:hAnsi="Arial"/>
          <w:sz w:val="17"/>
          <w:szCs w:val="17"/>
          <w:color w:val="auto"/>
        </w:rPr>
        <w:t>We initially established our operations as a diversified healthcare company that developed and commercialized innovative diagnostics, devices and therapeutics addressing unmet medical needs, which consisted of: precision metering of gas flow technology marketed as Serenz</w:t>
      </w:r>
      <w:r>
        <w:rPr>
          <w:rFonts w:ascii="Arial" w:cs="Arial" w:eastAsia="Arial" w:hAnsi="Arial"/>
          <w:sz w:val="14"/>
          <w:szCs w:val="14"/>
          <w:color w:val="auto"/>
        </w:rPr>
        <w:t>®</w:t>
      </w:r>
      <w:r>
        <w:rPr>
          <w:rFonts w:ascii="Arial" w:cs="Arial" w:eastAsia="Arial" w:hAnsi="Arial"/>
          <w:sz w:val="17"/>
          <w:szCs w:val="17"/>
          <w:color w:val="auto"/>
        </w:rPr>
        <w:t xml:space="preserve"> Allergy Relief, or Serenz; the CoSense</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73" w:lineRule="exact"/>
        <w:rPr>
          <w:sz w:val="20"/>
          <w:szCs w:val="20"/>
          <w:color w:val="auto"/>
        </w:rPr>
      </w:pPr>
    </w:p>
    <w:p>
      <w:pPr>
        <w:ind w:left="380" w:right="720"/>
        <w:spacing w:after="0" w:line="277" w:lineRule="auto"/>
        <w:rPr>
          <w:sz w:val="20"/>
          <w:szCs w:val="20"/>
          <w:color w:val="auto"/>
        </w:rPr>
      </w:pPr>
      <w:r>
        <w:rPr>
          <w:rFonts w:ascii="Arial" w:cs="Arial" w:eastAsia="Arial" w:hAnsi="Arial"/>
          <w:sz w:val="18"/>
          <w:szCs w:val="18"/>
          <w:color w:val="auto"/>
        </w:rPr>
        <w:t>Subsequent to the Merger with Essentialis described above, we determined to divest, sell or dispose of our business efforts focused on the development and commercialization of our Serenz and CoSense technologies.</w:t>
      </w:r>
    </w:p>
    <w:p>
      <w:pPr>
        <w:spacing w:after="0" w:line="170" w:lineRule="exact"/>
        <w:rPr>
          <w:sz w:val="20"/>
          <w:szCs w:val="20"/>
          <w:color w:val="auto"/>
        </w:rPr>
      </w:pPr>
    </w:p>
    <w:p>
      <w:pPr>
        <w:ind w:left="380" w:right="360"/>
        <w:spacing w:after="0" w:line="277" w:lineRule="auto"/>
        <w:rPr>
          <w:sz w:val="20"/>
          <w:szCs w:val="20"/>
          <w:color w:val="auto"/>
        </w:rPr>
      </w:pPr>
      <w:r>
        <w:rPr>
          <w:rFonts w:ascii="Arial" w:cs="Arial" w:eastAsia="Arial" w:hAnsi="Arial"/>
          <w:sz w:val="18"/>
          <w:szCs w:val="18"/>
          <w:color w:val="auto"/>
        </w:rPr>
        <w:t>Our current research and development efforts are primarily focused on advancing our lead candidate, DCCR tablets, for the treatment of PWS, through late-stage clinical development.</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121" w:lineRule="exact"/>
        <w:rPr>
          <w:sz w:val="20"/>
          <w:szCs w:val="20"/>
          <w:color w:val="auto"/>
        </w:rPr>
      </w:pPr>
    </w:p>
    <w:p>
      <w:pPr>
        <w:ind w:left="380" w:right="20"/>
        <w:spacing w:after="0" w:line="257" w:lineRule="auto"/>
        <w:rPr>
          <w:sz w:val="20"/>
          <w:szCs w:val="20"/>
          <w:color w:val="auto"/>
        </w:rPr>
      </w:pPr>
      <w:r>
        <w:rPr>
          <w:rFonts w:ascii="Arial" w:cs="Arial" w:eastAsia="Arial" w:hAnsi="Arial"/>
          <w:sz w:val="18"/>
          <w:szCs w:val="18"/>
          <w:color w:val="auto"/>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ATP-sensitive K</w:t>
      </w:r>
      <w:r>
        <w:rPr>
          <w:rFonts w:ascii="Arial" w:cs="Arial" w:eastAsia="Arial" w:hAnsi="Arial"/>
          <w:sz w:val="15"/>
          <w:szCs w:val="15"/>
          <w:color w:val="auto"/>
        </w:rPr>
        <w:t>+</w:t>
      </w:r>
      <w:r>
        <w:rPr>
          <w:rFonts w:ascii="Arial" w:cs="Arial" w:eastAsia="Arial" w:hAnsi="Arial"/>
          <w:sz w:val="18"/>
          <w:szCs w:val="18"/>
          <w:color w:val="auto"/>
        </w:rPr>
        <w:t xml:space="preserve"> channels (K</w:t>
      </w:r>
      <w:r>
        <w:rPr>
          <w:rFonts w:ascii="Arial" w:cs="Arial" w:eastAsia="Arial" w:hAnsi="Arial"/>
          <w:sz w:val="15"/>
          <w:szCs w:val="15"/>
          <w:color w:val="auto"/>
        </w:rPr>
        <w:t>ATP</w:t>
      </w:r>
      <w:r>
        <w:rPr>
          <w:rFonts w:ascii="Arial" w:cs="Arial" w:eastAsia="Arial" w:hAnsi="Arial"/>
          <w:sz w:val="18"/>
          <w:szCs w:val="18"/>
          <w:color w:val="auto"/>
        </w:rPr>
        <w:t>). Diazoxide appears to act on signs and symptoms of PWS in a variety of ways. Agonizing the KATP channel in the hypothalamus has the potential to address hyperphagia, the hallmark symptom of PWS and may also reduce aggressive behaviors in patients with PWS.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284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72847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73" w:lineRule="auto"/>
        <w:rPr>
          <w:sz w:val="20"/>
          <w:szCs w:val="20"/>
          <w:color w:val="auto"/>
        </w:rPr>
      </w:pPr>
      <w:r>
        <w:rPr>
          <w:rFonts w:ascii="Arial" w:cs="Arial" w:eastAsia="Arial" w:hAnsi="Arial"/>
          <w:sz w:val="17"/>
          <w:szCs w:val="17"/>
          <w:color w:val="auto"/>
        </w:rPr>
        <w:t>In the U.S., diazoxide was first approved in 1973 as an intravenous formulation, for the emergency treatment of malignant hypertension. In 1976, immediate-release oral formulations including Proglycem</w:t>
      </w:r>
      <w:r>
        <w:rPr>
          <w:rFonts w:ascii="Arial" w:cs="Arial" w:eastAsia="Arial" w:hAnsi="Arial"/>
          <w:sz w:val="14"/>
          <w:szCs w:val="14"/>
          <w:color w:val="auto"/>
        </w:rPr>
        <w:t>®</w:t>
      </w:r>
      <w:r>
        <w:rPr>
          <w:rFonts w:ascii="Arial" w:cs="Arial" w:eastAsia="Arial" w:hAnsi="Arial"/>
          <w:sz w:val="17"/>
          <w:szCs w:val="17"/>
          <w:color w:val="auto"/>
        </w:rPr>
        <w:t xml:space="preserve"> Oral Suspension and Capsules, or Proglycem, were approved and there has been nearly 40 years of use of the 2-3 times a day, orally-administered, drug product in the approved indications. In addition, there are also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CHI and insulinoma patients is 5 years and 7 years, respectively.</w:t>
      </w:r>
    </w:p>
    <w:p>
      <w:pPr>
        <w:spacing w:after="0" w:line="178" w:lineRule="exact"/>
        <w:rPr>
          <w:sz w:val="20"/>
          <w:szCs w:val="20"/>
          <w:color w:val="auto"/>
        </w:rPr>
      </w:pPr>
    </w:p>
    <w:p>
      <w:pPr>
        <w:ind w:left="380" w:right="160"/>
        <w:spacing w:after="0" w:line="271" w:lineRule="auto"/>
        <w:rPr>
          <w:sz w:val="20"/>
          <w:szCs w:val="20"/>
          <w:color w:val="auto"/>
        </w:rPr>
      </w:pPr>
      <w:r>
        <w:rPr>
          <w:rFonts w:ascii="Arial" w:cs="Arial" w:eastAsia="Arial" w:hAnsi="Arial"/>
          <w:sz w:val="17"/>
          <w:szCs w:val="17"/>
          <w:color w:val="auto"/>
        </w:rPr>
        <w:t>DCCR tablets were formulated with the goals of improving the safety and bioavailability of orally-administered diazoxide and reducing the frequency of daily dosing required by current diazoxide formulations. Diazoxide choline is formulated into an extended-release tablet that lowers peak plasma concentration compared to diazoxide oral suspension and allows for gradual release of diazoxide choline from DCCR, making it suitable for once-a-day dosing. In circulation, diazoxide is extensively protein bound; only unbound diazoxide is active. The gradual of release diazoxide choline and therefore absorption of diazoxide achieved using DCCR likely results in sustained free diazoxide in the blood available to agonize the K</w:t>
      </w:r>
      <w:r>
        <w:rPr>
          <w:rFonts w:ascii="Arial" w:cs="Arial" w:eastAsia="Arial" w:hAnsi="Arial"/>
          <w:sz w:val="14"/>
          <w:szCs w:val="14"/>
          <w:color w:val="auto"/>
        </w:rPr>
        <w:t>ATP</w:t>
      </w:r>
      <w:r>
        <w:rPr>
          <w:rFonts w:ascii="Arial" w:cs="Arial" w:eastAsia="Arial" w:hAnsi="Arial"/>
          <w:sz w:val="17"/>
          <w:szCs w:val="17"/>
          <w:color w:val="auto"/>
        </w:rPr>
        <w:t xml:space="preserve"> channels in the hypothalamus. This sustained availability of free diazoxide allows for once daily dosing instead of requiring multiple doses per day to achieve therapeutic free diazoxide blood levels. Avoiding transiently high circulating drug levels that often follow rapid absorption from immediate release product formulations also has the potential to reduce adverse events.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Prader-Willi Syndrome</w:t>
      </w:r>
    </w:p>
    <w:p>
      <w:pPr>
        <w:spacing w:after="0" w:line="121" w:lineRule="exact"/>
        <w:rPr>
          <w:sz w:val="20"/>
          <w:szCs w:val="20"/>
          <w:color w:val="auto"/>
        </w:rPr>
      </w:pPr>
    </w:p>
    <w:p>
      <w:pPr>
        <w:ind w:left="380"/>
        <w:spacing w:after="0" w:line="271" w:lineRule="auto"/>
        <w:rPr>
          <w:sz w:val="20"/>
          <w:szCs w:val="20"/>
          <w:color w:val="auto"/>
        </w:rPr>
      </w:pPr>
      <w:r>
        <w:rPr>
          <w:rFonts w:ascii="Arial" w:cs="Arial" w:eastAsia="Arial" w:hAnsi="Arial"/>
          <w:sz w:val="17"/>
          <w:szCs w:val="17"/>
          <w:color w:val="auto"/>
        </w:rPr>
        <w:t>PWS is a rare, complex neurobehavioral/metabolic disorder, which is due to the absence of normally active paternally expressed genes from the chromosome 15q11-q13 region. PWS is an imprinted condition with 70-75% of the cases due to a de novo deletion in the paternally inherited chromosome 15 11-q13 region, 20-30%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179" w:lineRule="exact"/>
        <w:rPr>
          <w:sz w:val="20"/>
          <w:szCs w:val="20"/>
          <w:color w:val="auto"/>
        </w:rPr>
      </w:pPr>
    </w:p>
    <w:p>
      <w:pPr>
        <w:ind w:left="380" w:right="140"/>
        <w:spacing w:after="0" w:line="279" w:lineRule="auto"/>
        <w:rPr>
          <w:sz w:val="20"/>
          <w:szCs w:val="20"/>
          <w:color w:val="auto"/>
        </w:rPr>
      </w:pPr>
      <w:r>
        <w:rPr>
          <w:rFonts w:ascii="Arial" w:cs="Arial" w:eastAsia="Arial" w:hAnsi="Arial"/>
          <w:sz w:val="17"/>
          <w:szCs w:val="17"/>
          <w:color w:val="auto"/>
        </w:rPr>
        <w:t>In addition to hyperphagia, typical behavioral disturbances associated with PWS include skin picking, difficulty with change in routine, obsessive and compulsive behaviors and mood fluctuations. In addition,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71" w:lineRule="exact"/>
        <w:rPr>
          <w:sz w:val="20"/>
          <w:szCs w:val="20"/>
          <w:color w:val="auto"/>
        </w:rPr>
      </w:pPr>
    </w:p>
    <w:p>
      <w:pPr>
        <w:ind w:left="380" w:right="60"/>
        <w:spacing w:after="0" w:line="288" w:lineRule="auto"/>
        <w:rPr>
          <w:sz w:val="20"/>
          <w:szCs w:val="20"/>
          <w:color w:val="auto"/>
        </w:rPr>
      </w:pPr>
      <w:r>
        <w:rPr>
          <w:rFonts w:ascii="Arial" w:cs="Arial" w:eastAsia="Arial" w:hAnsi="Arial"/>
          <w:sz w:val="16"/>
          <w:szCs w:val="16"/>
          <w:color w:val="auto"/>
        </w:rPr>
        <w:t>PWS is typically thought of as a genetic obesity syndrome, which is often significant. With increasing awareness among families and caregivers leading to significant control of food and its intake, many PWS patients today may not be obese. However, they remain hyperphagic and will typically have a higher body fat and lower lean body mass content. They are prone to cardiometabolic issues such as abnormal lipid profiles, diabetes and hypertension.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intellectually disability range with a mean IQ in the 60s to low 70s. The combination of food-related preoccupations and numerous maladaptive behaviors make it difficult for individuals with PWS to perform to their IQ potential.</w:t>
      </w:r>
    </w:p>
    <w:p>
      <w:pPr>
        <w:spacing w:after="0" w:line="27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Clinical Trials of DCCR for PWS</w:t>
      </w:r>
    </w:p>
    <w:p>
      <w:pPr>
        <w:spacing w:after="0" w:line="121" w:lineRule="exact"/>
        <w:rPr>
          <w:sz w:val="20"/>
          <w:szCs w:val="20"/>
          <w:color w:val="auto"/>
        </w:rPr>
      </w:pPr>
    </w:p>
    <w:p>
      <w:pPr>
        <w:ind w:left="380" w:right="40"/>
        <w:spacing w:after="0" w:line="293" w:lineRule="auto"/>
        <w:rPr>
          <w:sz w:val="20"/>
          <w:szCs w:val="20"/>
          <w:color w:val="auto"/>
        </w:rPr>
      </w:pPr>
      <w:r>
        <w:rPr>
          <w:rFonts w:ascii="Arial" w:cs="Arial" w:eastAsia="Arial" w:hAnsi="Arial"/>
          <w:sz w:val="16"/>
          <w:szCs w:val="16"/>
          <w:color w:val="auto"/>
        </w:rPr>
        <w:t>A Phase II clinical trial has been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01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7010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60"/>
        <w:spacing w:after="0" w:line="264" w:lineRule="auto"/>
        <w:rPr>
          <w:sz w:val="20"/>
          <w:szCs w:val="20"/>
          <w:color w:val="auto"/>
        </w:rPr>
      </w:pPr>
      <w:r>
        <w:rPr>
          <w:rFonts w:ascii="Arial" w:cs="Arial" w:eastAsia="Arial" w:hAnsi="Arial"/>
          <w:sz w:val="18"/>
          <w:szCs w:val="18"/>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81" w:lineRule="exact"/>
        <w:rPr>
          <w:sz w:val="20"/>
          <w:szCs w:val="20"/>
          <w:color w:val="auto"/>
        </w:rPr>
      </w:pPr>
    </w:p>
    <w:p>
      <w:pPr>
        <w:ind w:left="380" w:right="60"/>
        <w:spacing w:after="0" w:line="272" w:lineRule="auto"/>
        <w:rPr>
          <w:sz w:val="20"/>
          <w:szCs w:val="20"/>
          <w:color w:val="auto"/>
        </w:rPr>
      </w:pPr>
      <w:r>
        <w:rPr>
          <w:rFonts w:ascii="Arial" w:cs="Arial" w:eastAsia="Arial" w:hAnsi="Arial"/>
          <w:sz w:val="17"/>
          <w:szCs w:val="17"/>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 The change in triglycerides, while marked, did not reach statistical significance.</w:t>
      </w:r>
    </w:p>
    <w:p>
      <w:pPr>
        <w:spacing w:after="0" w:line="178" w:lineRule="exact"/>
        <w:rPr>
          <w:sz w:val="20"/>
          <w:szCs w:val="20"/>
          <w:color w:val="auto"/>
        </w:rPr>
      </w:pPr>
    </w:p>
    <w:p>
      <w:pPr>
        <w:ind w:left="380" w:right="80"/>
        <w:spacing w:after="0" w:line="270" w:lineRule="auto"/>
        <w:rPr>
          <w:sz w:val="20"/>
          <w:szCs w:val="20"/>
          <w:color w:val="auto"/>
        </w:rPr>
      </w:pPr>
      <w:r>
        <w:rPr>
          <w:rFonts w:ascii="Arial" w:cs="Arial" w:eastAsia="Arial" w:hAnsi="Arial"/>
          <w:sz w:val="17"/>
          <w:szCs w:val="17"/>
          <w:color w:val="auto"/>
        </w:rPr>
        <w:t>A Phase III clinical trial is currently being conducted to evaluate the efficacy and safety of DCCR in patients with genetically-confirmed PWS. This study, DESTINY PWS, is a multi-center, randomized, double-blind, placebo-controlled study with enrollment of approximately 105 children and adults with PWS. Subjects who complete the 15-week DESTINY PWS study may enroll in a long-term, safety extension study. On each of March 14, 2019, and October 1, 2019 the Data Safety Monitoring Board (DSMB) recommended the continuation of our Phase III DESTINY PWS trial without any changes. The DSMB is a group of independent experts monitoring the safety of the DESTINY PWS study. The DSMB reviews safety information and can make recommendations to either continue the study without modification, modify the study or terminate the study due to safety concerns. In July 2018, the U.S. Food and Drug Administration designated the development program for investigation of DCCR for the treatment of PWS to be a Fast Track development program. Prior to this, diazoxide choline received orphan designation for the treatment of PWS in the U.S. and in the E.U.</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On July 25 2019, we provided an update on the ongoing DESTINY PWS study. As of July 24, 2019, approximately 50% of the targeted number of patients have been enrolled into the DESTINY PWS clinical study and more than 90% of those patients have either successfully completed or continue to be treated on study. Over 90% of subjects who have completed the study have elected to continue in C602, the 9-month open-label safety extension study. More than 95% of the patients who have been enrolled into C602 continue to be treated in the study. Enrollment of patients is spread across approximately 20 sites in the U.S. and Europe. No serious, unexpected adverse events related to DCCR have been reported in these studies.</w:t>
      </w:r>
    </w:p>
    <w:p>
      <w:pPr>
        <w:spacing w:after="0" w:line="193" w:lineRule="exact"/>
        <w:rPr>
          <w:sz w:val="20"/>
          <w:szCs w:val="20"/>
          <w:color w:val="auto"/>
        </w:rPr>
      </w:pPr>
    </w:p>
    <w:p>
      <w:pPr>
        <w:ind w:left="380" w:right="40"/>
        <w:spacing w:after="0" w:line="264" w:lineRule="auto"/>
        <w:rPr>
          <w:sz w:val="20"/>
          <w:szCs w:val="20"/>
          <w:color w:val="auto"/>
        </w:rPr>
      </w:pPr>
      <w:r>
        <w:rPr>
          <w:rFonts w:ascii="Arial" w:cs="Arial" w:eastAsia="Arial" w:hAnsi="Arial"/>
          <w:sz w:val="18"/>
          <w:szCs w:val="18"/>
          <w:color w:val="auto"/>
        </w:rPr>
        <w:t>Based on the interest of the clinical investigators and families, Soleno will continue to make DCCR available to patients enrolled in the current program. The duration of C602 has been increased from 9 to 12 months, and Soleno is in the process of continuing to provide DCCR to patients on the C602 study after they complete 12 months of treatment.</w:t>
      </w:r>
    </w:p>
    <w:p>
      <w:pPr>
        <w:spacing w:after="0" w:line="181" w:lineRule="exact"/>
        <w:rPr>
          <w:sz w:val="20"/>
          <w:szCs w:val="20"/>
          <w:color w:val="auto"/>
        </w:rPr>
      </w:pPr>
    </w:p>
    <w:p>
      <w:pPr>
        <w:ind w:left="380" w:right="140"/>
        <w:spacing w:after="0" w:line="264" w:lineRule="auto"/>
        <w:rPr>
          <w:sz w:val="20"/>
          <w:szCs w:val="20"/>
          <w:color w:val="auto"/>
        </w:rPr>
      </w:pPr>
      <w:r>
        <w:rPr>
          <w:rFonts w:ascii="Arial" w:cs="Arial" w:eastAsia="Arial" w:hAnsi="Arial"/>
          <w:sz w:val="18"/>
          <w:szCs w:val="18"/>
          <w:color w:val="auto"/>
        </w:rPr>
        <w:t>We announced that our enrollment has been impacted by the number of PWS trials currently ongoing in the United States and Europe, but with current strong recruitment trends, we expect to conclude enrollment around the end of the year. We currently anticipate the availability of top-line data from DESTINY PWS in the first half of 2020, versus our prior expectation of late this year.</w:t>
      </w:r>
    </w:p>
    <w:p>
      <w:pPr>
        <w:spacing w:after="0" w:line="181" w:lineRule="exact"/>
        <w:rPr>
          <w:sz w:val="20"/>
          <w:szCs w:val="20"/>
          <w:color w:val="auto"/>
        </w:rPr>
      </w:pPr>
    </w:p>
    <w:p>
      <w:pPr>
        <w:jc w:val="both"/>
        <w:ind w:left="380" w:right="220"/>
        <w:spacing w:after="0" w:line="302" w:lineRule="auto"/>
        <w:rPr>
          <w:sz w:val="20"/>
          <w:szCs w:val="20"/>
          <w:color w:val="auto"/>
        </w:rPr>
      </w:pPr>
      <w:r>
        <w:rPr>
          <w:rFonts w:ascii="Arial" w:cs="Arial" w:eastAsia="Arial" w:hAnsi="Arial"/>
          <w:sz w:val="16"/>
          <w:szCs w:val="16"/>
          <w:color w:val="auto"/>
        </w:rPr>
        <w:t>We have also entered into a collaboration with Casimir Inc., a rare disease research organization that designs outcome measures that capture the real-world impact of treatment interventions on patient quality-of-life. Casimir will collaborate with us in the development of DCCR for patients with PWS. Casimir’s previous work includes the design of real-life outcome measures for Duchenne Muscular Dystrophy (DMD), the origins of which were studied in patients being treated with EXONDYS 51</w:t>
      </w:r>
      <w:r>
        <w:rPr>
          <w:rFonts w:ascii="Arial" w:cs="Arial" w:eastAsia="Arial" w:hAnsi="Arial"/>
          <w:sz w:val="13"/>
          <w:szCs w:val="13"/>
          <w:color w:val="auto"/>
        </w:rPr>
        <w:t>®</w:t>
      </w:r>
      <w:r>
        <w:rPr>
          <w:rFonts w:ascii="Arial" w:cs="Arial" w:eastAsia="Arial" w:hAnsi="Arial"/>
          <w:sz w:val="16"/>
          <w:szCs w:val="16"/>
          <w:color w:val="auto"/>
        </w:rPr>
        <w:t xml:space="preserve"> for Duchenne muscular dystrophy (DMD).</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80" w:right="100"/>
        <w:spacing w:after="0" w:line="312"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S-7 of this prospectus supplement, as well as risk factors referenced in the accompanying prospectus, for a discussion of the factors you should carefully consider before deciding to purchase securities that may be offered by this prospectus supplement and the accompanying prospectus.</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52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15220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60"/>
        <w:spacing w:after="0" w:line="277" w:lineRule="auto"/>
        <w:rPr>
          <w:sz w:val="20"/>
          <w:szCs w:val="20"/>
          <w:color w:val="auto"/>
        </w:rPr>
      </w:pPr>
      <w:r>
        <w:rPr>
          <w:rFonts w:ascii="Arial" w:cs="Arial" w:eastAsia="Arial" w:hAnsi="Arial"/>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spacing w:after="0" w:line="279" w:lineRule="auto"/>
        <w:rPr>
          <w:sz w:val="20"/>
          <w:szCs w:val="20"/>
          <w:color w:val="auto"/>
        </w:rPr>
      </w:pPr>
      <w:r>
        <w:rPr>
          <w:rFonts w:ascii="Arial" w:cs="Arial" w:eastAsia="Arial" w:hAnsi="Arial"/>
          <w:sz w:val="17"/>
          <w:szCs w:val="17"/>
          <w:color w:val="auto"/>
        </w:rPr>
        <w:t>We were incorporated in Delaware in August of 1999. Our principal executive offices are located at 203 Redwood Shores Pkwy, Suite 500, Redwood City, CA 94065, and our telephone number is (650) 213-8444. Our website address is www.soleno.life.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8273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27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Soleno Therapeutics, Inc.</w:t>
      </w:r>
    </w:p>
    <w:p>
      <w:pPr>
        <w:spacing w:after="0" w:line="140" w:lineRule="exact"/>
        <w:rPr>
          <w:sz w:val="20"/>
          <w:szCs w:val="20"/>
          <w:color w:val="auto"/>
        </w:rPr>
      </w:pPr>
    </w:p>
    <w:p>
      <w:pPr>
        <w:sectPr>
          <w:pgSz w:w="11900" w:h="16838" w:orient="portrait"/>
          <w:cols w:equalWidth="0" w:num="2">
            <w:col w:w="5000" w:space="720"/>
            <w:col w:w="530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11,166,667 shares of common stock.</w:t>
      </w:r>
    </w:p>
    <w:p>
      <w:pPr>
        <w:spacing w:after="0" w:line="140" w:lineRule="exact"/>
        <w:rPr>
          <w:sz w:val="20"/>
          <w:szCs w:val="20"/>
          <w:color w:val="auto"/>
        </w:rPr>
      </w:pPr>
    </w:p>
    <w:p>
      <w:pPr>
        <w:sectPr>
          <w:pgSz w:w="11900" w:h="16838" w:orient="portrait"/>
          <w:cols w:equalWidth="0" w:num="2">
            <w:col w:w="5000" w:space="720"/>
            <w:col w:w="530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ind w:right="600"/>
        <w:spacing w:after="0" w:line="342" w:lineRule="auto"/>
        <w:rPr>
          <w:sz w:val="20"/>
          <w:szCs w:val="20"/>
          <w:color w:val="auto"/>
        </w:rPr>
      </w:pPr>
      <w:r>
        <w:rPr>
          <w:rFonts w:ascii="Arial" w:cs="Arial" w:eastAsia="Arial" w:hAnsi="Arial"/>
          <w:sz w:val="16"/>
          <w:szCs w:val="16"/>
          <w:color w:val="auto"/>
        </w:rPr>
        <w:t>42,959,959 shares (or 44,634,959 shares if the option to purchase additional shares of common stock is exercised in full)</w:t>
      </w:r>
    </w:p>
    <w:p>
      <w:pPr>
        <w:spacing w:after="0" w:line="16" w:lineRule="exact"/>
        <w:rPr>
          <w:sz w:val="20"/>
          <w:szCs w:val="20"/>
          <w:color w:val="auto"/>
        </w:rPr>
      </w:pPr>
    </w:p>
    <w:p>
      <w:pPr>
        <w:sectPr>
          <w:pgSz w:w="11900" w:h="16838" w:orient="portrait"/>
          <w:cols w:equalWidth="0" w:num="2">
            <w:col w:w="5180" w:space="540"/>
            <w:col w:w="530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Option to Purchase Additional Shares of Common Stock</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We have granted the underwriter in the offering an option to purchase up to additional shares of common stock at the public offering price per share of common stock set forth on the cover page hereto less the underwriting discounts and commissions. This option is exercisable, in whole or in part, for a period of 30 days from the date of this prospectus supplement.</w:t>
      </w:r>
    </w:p>
    <w:p>
      <w:pPr>
        <w:spacing w:after="0" w:line="85" w:lineRule="exact"/>
        <w:rPr>
          <w:sz w:val="20"/>
          <w:szCs w:val="20"/>
          <w:color w:val="auto"/>
        </w:rPr>
      </w:pPr>
    </w:p>
    <w:p>
      <w:pPr>
        <w:sectPr>
          <w:pgSz w:w="11900" w:h="16838" w:orient="portrait"/>
          <w:cols w:equalWidth="0" w:num="2">
            <w:col w:w="5000" w:space="720"/>
            <w:col w:w="530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We estimate the net proceeds from this offering will be approximately $12.6 million (or approximately $14.5 million if the option to purchase additional shares of common stock is exercised in full), after deducting estimated underwriting discounts and commissions and estimated offering expenses payable by us. We intend to use all of the net proceeds from this offering for working capital and general corporate purposes, including, without limitation, development of our product candidates, and general and administrative expenses. See “</w:t>
      </w:r>
      <w:r>
        <w:rPr>
          <w:rFonts w:ascii="Arial" w:cs="Arial" w:eastAsia="Arial" w:hAnsi="Arial"/>
          <w:sz w:val="17"/>
          <w:szCs w:val="17"/>
          <w:i w:val="1"/>
          <w:iCs w:val="1"/>
          <w:color w:val="auto"/>
        </w:rPr>
        <w:t>Use of Proceeds</w:t>
      </w:r>
      <w:r>
        <w:rPr>
          <w:rFonts w:ascii="Arial" w:cs="Arial" w:eastAsia="Arial" w:hAnsi="Arial"/>
          <w:sz w:val="17"/>
          <w:szCs w:val="17"/>
          <w:color w:val="auto"/>
        </w:rPr>
        <w:t>” on page S-44.</w:t>
      </w:r>
    </w:p>
    <w:p>
      <w:pPr>
        <w:spacing w:after="0" w:line="74" w:lineRule="exact"/>
        <w:rPr>
          <w:sz w:val="20"/>
          <w:szCs w:val="20"/>
          <w:color w:val="auto"/>
        </w:rPr>
      </w:pPr>
    </w:p>
    <w:p>
      <w:pPr>
        <w:sectPr>
          <w:pgSz w:w="11900" w:h="16838" w:orient="portrait"/>
          <w:cols w:equalWidth="0" w:num="2">
            <w:col w:w="5000" w:space="720"/>
            <w:col w:w="530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Investing in our securities involves significant risks. Please read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contained in or incorporated by reference under the heading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S-7 of this prospectus supplement,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similar headings in other documents filed after the date hereof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into this prospectus supplement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accompanying 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“SLNO.”</w:t>
      </w:r>
    </w:p>
    <w:p>
      <w:pPr>
        <w:spacing w:after="0" w:line="200" w:lineRule="exact"/>
        <w:rPr>
          <w:sz w:val="20"/>
          <w:szCs w:val="20"/>
          <w:color w:val="auto"/>
        </w:rPr>
      </w:pPr>
    </w:p>
    <w:p>
      <w:pPr>
        <w:sectPr>
          <w:pgSz w:w="11900" w:h="16838" w:orient="portrait"/>
          <w:cols w:equalWidth="0" w:num="2">
            <w:col w:w="5000" w:space="720"/>
            <w:col w:w="5300"/>
          </w:cols>
          <w:pgMar w:left="240" w:top="459" w:right="639" w:bottom="1440" w:gutter="0" w:footer="0" w:header="0"/>
          <w:type w:val="continuous"/>
        </w:sectPr>
      </w:pPr>
    </w:p>
    <w:p>
      <w:pPr>
        <w:spacing w:after="0" w:line="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number of shares of our common stock that will be outstanding immediately after the offering is based on 31,793,292 shares outstanding as of</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June 30, 2019. Unless we specifically state otherwise, the share information in this prospectus supplement excludes:</w:t>
      </w:r>
    </w:p>
    <w:p>
      <w:pPr>
        <w:spacing w:after="0" w:line="116" w:lineRule="exact"/>
        <w:rPr>
          <w:sz w:val="20"/>
          <w:szCs w:val="20"/>
          <w:color w:val="auto"/>
        </w:rPr>
      </w:pPr>
    </w:p>
    <w:p>
      <w:pPr>
        <w:ind w:left="780" w:right="320" w:hanging="299"/>
        <w:spacing w:after="0" w:line="277"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2,196,278 shares of common stock issuable upon the exercise of stock options as of June 30, 2019 at a weighted average exercise price of $4.93 per share;</w:t>
      </w:r>
    </w:p>
    <w:p>
      <w:pPr>
        <w:spacing w:after="0" w:line="75" w:lineRule="exact"/>
        <w:rPr>
          <w:rFonts w:ascii="Arial" w:cs="Arial" w:eastAsia="Arial" w:hAnsi="Arial"/>
          <w:sz w:val="18"/>
          <w:szCs w:val="18"/>
          <w:color w:val="auto"/>
        </w:rPr>
      </w:pPr>
    </w:p>
    <w:p>
      <w:pPr>
        <w:ind w:left="780" w:right="40" w:hanging="299"/>
        <w:spacing w:after="0" w:line="277"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7,845,978 shares of common stock issuable upon exercise of outstanding warrants, with a weighted average exercise price of $5.48 per share; and</w:t>
      </w:r>
    </w:p>
    <w:p>
      <w:pPr>
        <w:spacing w:after="0" w:line="75" w:lineRule="exact"/>
        <w:rPr>
          <w:rFonts w:ascii="Arial" w:cs="Arial" w:eastAsia="Arial" w:hAnsi="Arial"/>
          <w:sz w:val="18"/>
          <w:szCs w:val="18"/>
          <w:color w:val="auto"/>
        </w:rPr>
      </w:pPr>
    </w:p>
    <w:p>
      <w:pPr>
        <w:ind w:left="780" w:hanging="299"/>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845,578 shares of common stock reserved for future issuance under our 2014 Equity Incentive Plan as of June 30,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20"/>
          </w:cols>
          <w:pgMar w:left="240" w:top="459" w:right="6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0"/>
        <w:spacing w:after="0" w:line="288" w:lineRule="auto"/>
        <w:rPr>
          <w:sz w:val="20"/>
          <w:szCs w:val="20"/>
          <w:color w:val="auto"/>
        </w:rPr>
      </w:pPr>
      <w:r>
        <w:rPr>
          <w:rFonts w:ascii="Arial" w:cs="Arial" w:eastAsia="Arial" w:hAnsi="Arial"/>
          <w:sz w:val="16"/>
          <w:szCs w:val="16"/>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2018 and any updates described in our Quarterly Reports on Form 10-Q, all of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primarily a clinical-stage company with no approved products, which makes assessment of our future viability difficult.</w:t>
      </w:r>
    </w:p>
    <w:p>
      <w:pPr>
        <w:spacing w:after="0" w:line="117"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significantly dependent upon the success of DCCR, our sole therapeutic product candidate.</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8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92" w:lineRule="exact"/>
        <w:rPr>
          <w:sz w:val="20"/>
          <w:szCs w:val="20"/>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 sufficiently broad label that would not unduly restrict patient access;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receipt of marketing approvals for DCCR in the U. S. and E. U.;</w:t>
      </w:r>
    </w:p>
    <w:p>
      <w:pPr>
        <w:spacing w:after="0" w:line="130"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an infrastructure capable of supporting product sales, marketing, and distribution of DCCR in territories where we pursue commercialization directly;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third party manufacturers;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commercial distribution agreements with third party distributors;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launching commercial sales of DCCR, if and when approved, whether alone or in collaboration with others;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DCCR, if and when approved, by patients, the medical community, and third-party payers;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pathway that we pursue for DCCR in the United States;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continued acceptable safety profile of DCCR following approval;</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a commercially viable price for our products.</w:t>
      </w:r>
    </w:p>
    <w:p>
      <w:pPr>
        <w:spacing w:after="0" w:line="225"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279"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5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are a developer of therapeutics and medical devices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 We have incurred significant operating losses in each year since our inception and expect that we will not be profitable for an indefinite period of time. As of June 30, 2019, we had an accumulated deficit of $144.1 million.</w:t>
      </w:r>
    </w:p>
    <w:p>
      <w:pPr>
        <w:spacing w:after="0" w:line="178"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have generated limited product revenue and may never become profitable.</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92" w:lineRule="exact"/>
        <w:rPr>
          <w:sz w:val="20"/>
          <w:szCs w:val="20"/>
          <w:color w:val="auto"/>
        </w:rPr>
      </w:pPr>
    </w:p>
    <w:p>
      <w:pPr>
        <w:ind w:left="1180" w:right="4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of any products for which we obtain marketing approval in markets where we intend to commercialize independently;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market acceptance of our current and future products,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 a commercially viable price for our current and future products, if any;</w:t>
      </w:r>
    </w:p>
    <w:p>
      <w:pPr>
        <w:spacing w:after="0" w:line="130" w:lineRule="exact"/>
        <w:rPr>
          <w:rFonts w:ascii="Arial" w:cs="Arial" w:eastAsia="Arial" w:hAnsi="Arial"/>
          <w:sz w:val="18"/>
          <w:szCs w:val="18"/>
          <w:color w:val="auto"/>
        </w:rPr>
      </w:pPr>
    </w:p>
    <w:p>
      <w:pPr>
        <w:ind w:left="1180" w:right="54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reliable third parties, and ensure adequate and legally compliant manufacturing to maintain that supply;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find suitable global and U.S. distribution partners to help us market, sell and distribute our products in other markets;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development activities successfully and on a timely basis;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establish, maintain and protect our intellectual property rights and avoid third-party patent interference or patent infringement claims; and</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88"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25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6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75"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risk of initiating sales and marketing activities;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planned products, which will change from time to time;</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manufacturing our products may vary depending on FDA and other regulatory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planned products and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 timing and outcomes of 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potential partners;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delays in regulatory review or approval in the U.S. or globally, of any of our planned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products may fluctuate significantly and be difficult to predict;</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future products, if approved, and existing and potential future drugs that compete with our planned products;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existing and potential future offerings that compete with our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products inside and outside of the U.S., either independently or working with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22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9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9"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The accompanying consolidated financial statements have been prepared on a going concern basis, which contemplates the realization of assets and the satisfaction of liabilities in the normal course of business. As of June 30, 2019 we have incurred significant operating losses since inception and continue to generate losses from operations and have an accumulated deficit of $144.1 million. These matters raise substantial doubt about our ability to continue as a going concern. The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58"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Commercial results have been limited and we have not generated significant revenues. We cannot assure our stockholders that our revenues will be sufficient to fund our operations, including expenses related to our current ongoing clinical trial of DCCR. If adequate funds are not available, we may be required to curtail our operations significantly or to obtain funds through dilutive financings or entering into arrangements with collaborative partners or others that may require us to relinquish rights to certain of our technologies or products that we would not otherwise relinquish.</w:t>
      </w:r>
    </w:p>
    <w:p>
      <w:pPr>
        <w:spacing w:after="0" w:line="154"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At June 30, 2019, our cash balance was $15.5 million. We intend to raise additional capital, either through debt or equity financings to achieve our business plan objectives, including increased expenses related to additional resources being deployed to manage enrollment of patients and other activities related to our current ongoing clinical trial of DCCR.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189" w:lineRule="exact"/>
        <w:rPr>
          <w:sz w:val="20"/>
          <w:szCs w:val="20"/>
          <w:color w:val="auto"/>
        </w:rPr>
      </w:pPr>
    </w:p>
    <w:p>
      <w:pPr>
        <w:ind w:left="200" w:right="120"/>
        <w:spacing w:after="0" w:line="269" w:lineRule="auto"/>
        <w:rPr>
          <w:sz w:val="20"/>
          <w:szCs w:val="20"/>
          <w:color w:val="auto"/>
        </w:rPr>
      </w:pPr>
      <w:r>
        <w:rPr>
          <w:rFonts w:ascii="Arial" w:cs="Arial" w:eastAsia="Arial" w:hAnsi="Arial"/>
          <w:sz w:val="17"/>
          <w:szCs w:val="17"/>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4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95"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unknown and contingent liabilities;</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likelihood of payment of milestones or royalties;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expenditures, including additional research, development and sales and marketing expenses;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difficulty and cost in combining the operations and personnel of any acquired businesses with our operations and personnel; and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w:t>
      </w:r>
    </w:p>
    <w:p>
      <w:pPr>
        <w:spacing w:after="0" w:line="248"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289" w:lineRule="exact"/>
        <w:rPr>
          <w:sz w:val="20"/>
          <w:szCs w:val="20"/>
          <w:color w:val="auto"/>
        </w:rPr>
      </w:pPr>
    </w:p>
    <w:p>
      <w:pPr>
        <w:ind w:left="200" w:right="920"/>
        <w:spacing w:after="0" w:line="277" w:lineRule="auto"/>
        <w:rPr>
          <w:sz w:val="20"/>
          <w:szCs w:val="20"/>
          <w:color w:val="auto"/>
        </w:rPr>
      </w:pPr>
      <w:r>
        <w:rPr>
          <w:rFonts w:ascii="Arial" w:cs="Arial" w:eastAsia="Arial" w:hAnsi="Arial"/>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62"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development and commercialization of our products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commercializing our approved products.</w:t>
      </w:r>
    </w:p>
    <w:p>
      <w:pPr>
        <w:spacing w:after="0" w:line="117" w:lineRule="exact"/>
        <w:rPr>
          <w:sz w:val="20"/>
          <w:szCs w:val="20"/>
          <w:color w:val="auto"/>
        </w:rPr>
      </w:pPr>
    </w:p>
    <w:p>
      <w:pPr>
        <w:jc w:val="both"/>
        <w:ind w:left="200" w:right="60"/>
        <w:spacing w:after="0" w:line="279" w:lineRule="auto"/>
        <w:rPr>
          <w:sz w:val="20"/>
          <w:szCs w:val="20"/>
          <w:color w:val="auto"/>
        </w:rPr>
      </w:pPr>
      <w:r>
        <w:rPr>
          <w:rFonts w:ascii="Arial" w:cs="Arial" w:eastAsia="Arial" w:hAnsi="Arial"/>
          <w:sz w:val="17"/>
          <w:szCs w:val="17"/>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62"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83" w:lineRule="exact"/>
        <w:rPr>
          <w:sz w:val="20"/>
          <w:szCs w:val="20"/>
          <w:color w:val="auto"/>
        </w:rPr>
      </w:pPr>
    </w:p>
    <w:p>
      <w:pPr>
        <w:ind w:left="1180" w:right="32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distribution partners;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healthcare providers believe such tests provide clinical utility;</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medical community accepts that such tests are sufficiently sensitive and specific to be meaningful in-patient care and treatment decisions; and</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hospital administrators, health insurers, government health programs and other payers will cover and pay for such tests and, if so, whether they will adequately reimburse us.</w:t>
      </w:r>
    </w:p>
    <w:p>
      <w:pPr>
        <w:spacing w:after="0" w:line="170"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255"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73"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124"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that may inhibit our efforts to commercialize DCCR on our own include:</w:t>
      </w:r>
    </w:p>
    <w:p>
      <w:pPr>
        <w:spacing w:after="0" w:line="131"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DCCR or any future products;</w:t>
      </w:r>
    </w:p>
    <w:p>
      <w:pPr>
        <w:spacing w:after="0" w:line="153"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efforts by our competitors to commercialize products at or about the time when our product candidates would be coming to market.</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physicians decide not to order our products in significant numbers, we may be unable to generate sufficient revenue to sustain our business.</w:t>
      </w:r>
    </w:p>
    <w:p>
      <w:pPr>
        <w:spacing w:after="0" w:line="14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our products do not continue to perform as expected, our operating results, reputation and business will suffer.</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296"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57"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66"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76" w:lineRule="exact"/>
        <w:rPr>
          <w:sz w:val="20"/>
          <w:szCs w:val="20"/>
          <w:color w:val="auto"/>
        </w:rPr>
      </w:pPr>
    </w:p>
    <w:p>
      <w:pPr>
        <w:ind w:left="1180" w:right="46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75" w:lineRule="exact"/>
        <w:rPr>
          <w:rFonts w:ascii="Arial" w:cs="Arial" w:eastAsia="Arial" w:hAnsi="Arial"/>
          <w:sz w:val="18"/>
          <w:szCs w:val="18"/>
          <w:color w:val="auto"/>
        </w:rPr>
      </w:pPr>
    </w:p>
    <w:p>
      <w:pPr>
        <w:ind w:left="1180" w:hanging="436"/>
        <w:spacing w:after="0" w:line="308"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clinical studies or the manufacturing of our planned products may be greater than we anticipate;</w:t>
      </w:r>
    </w:p>
    <w:p>
      <w:pPr>
        <w:spacing w:after="0" w:line="130"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third-party contractors may fail to comply with regulatory requirements or meet their contractual obligations to us in a timely manner, or at all;</w:t>
      </w:r>
    </w:p>
    <w:p>
      <w:pPr>
        <w:spacing w:after="0" w:line="75" w:lineRule="exact"/>
        <w:rPr>
          <w:rFonts w:ascii="Arial" w:cs="Arial" w:eastAsia="Arial" w:hAnsi="Arial"/>
          <w:sz w:val="18"/>
          <w:szCs w:val="18"/>
          <w:color w:val="auto"/>
        </w:rPr>
      </w:pPr>
    </w:p>
    <w:p>
      <w:pPr>
        <w:ind w:left="1180" w:right="18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regulators may not approve our proposed clinical development plans;</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or IRBs, may not authorize us or our investigators to commence a clinical study or conduct a clinical study at a prospective study site;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4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and</w:t>
      </w:r>
    </w:p>
    <w:p>
      <w:pPr>
        <w:spacing w:after="0" w:line="75"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supply or quality of our planned products or other materials necessary to conduct clinical studies of our planned products may be insufficient or inadequate.</w:t>
      </w:r>
    </w:p>
    <w:p>
      <w:pPr>
        <w:spacing w:after="0" w:line="17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87" w:lineRule="exact"/>
        <w:rPr>
          <w:sz w:val="20"/>
          <w:szCs w:val="20"/>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planned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225"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obtain regulatory approval for DCCR in the U.S. and E.U., our business would be harmed.</w:t>
      </w:r>
    </w:p>
    <w:p>
      <w:pPr>
        <w:spacing w:after="0" w:line="117" w:lineRule="exact"/>
        <w:rPr>
          <w:sz w:val="20"/>
          <w:szCs w:val="20"/>
          <w:color w:val="auto"/>
        </w:rPr>
      </w:pPr>
    </w:p>
    <w:p>
      <w:pPr>
        <w:ind w:left="200" w:right="140"/>
        <w:spacing w:after="0" w:line="290" w:lineRule="auto"/>
        <w:rPr>
          <w:sz w:val="20"/>
          <w:szCs w:val="20"/>
          <w:color w:val="auto"/>
        </w:rPr>
      </w:pPr>
      <w:r>
        <w:rPr>
          <w:rFonts w:ascii="Arial" w:cs="Arial" w:eastAsia="Arial" w:hAnsi="Arial"/>
          <w:sz w:val="16"/>
          <w:szCs w:val="16"/>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27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73"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16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87" w:lineRule="exact"/>
        <w:rPr>
          <w:sz w:val="20"/>
          <w:szCs w:val="20"/>
          <w:color w:val="auto"/>
        </w:rPr>
      </w:pPr>
    </w:p>
    <w:p>
      <w:pPr>
        <w:ind w:left="118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or clinical safety data to support the initiation or continuation of clinical trials;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institutional review board, or IRB, approval at each clinical trial site;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and/or return for post-treatment follow-up;</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any conflicts or compliance with new or existing laws, rule, regulations or guidelines;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suitable for use at the stage of clinical development;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25" w:lineRule="exact"/>
        <w:rPr>
          <w:sz w:val="20"/>
          <w:szCs w:val="20"/>
          <w:color w:val="auto"/>
        </w:rPr>
      </w:pPr>
    </w:p>
    <w:p>
      <w:pPr>
        <w:ind w:left="200" w:right="460"/>
        <w:spacing w:after="0" w:line="257"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188"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There has recently been increased activity in the development of drugs to treat PWS. We are aware of eight other current or proposed clinical trials evaluating PWS therapies. If all of these clinical trials are ongoing concurrently, given the limited number of patients, it may hamper recruitment and enrollment of qualified patients for our current trial of DCCR in PWS.</w:t>
      </w:r>
    </w:p>
    <w:p>
      <w:pPr>
        <w:spacing w:after="0" w:line="18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89"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287" w:lineRule="exact"/>
        <w:rPr>
          <w:sz w:val="20"/>
          <w:szCs w:val="20"/>
          <w:color w:val="auto"/>
        </w:rPr>
      </w:pPr>
    </w:p>
    <w:p>
      <w:pPr>
        <w:ind w:left="200" w:right="240"/>
        <w:spacing w:after="0" w:line="375" w:lineRule="auto"/>
        <w:rPr>
          <w:sz w:val="20"/>
          <w:szCs w:val="20"/>
          <w:color w:val="auto"/>
        </w:rPr>
      </w:pPr>
      <w:r>
        <w:rPr>
          <w:rFonts w:ascii="Arial" w:cs="Arial" w:eastAsia="Arial" w:hAnsi="Arial"/>
          <w:sz w:val="15"/>
          <w:szCs w:val="15"/>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requested indication;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FDA’s disagreement with our trial protocol or the interpretation of data from preclinical studies or clinical trials;</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full population for which we seek approval;</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inability to demonstrate that clinical or other benefits of our product candidates outweigh any safety or other perceived risks;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or clinical trials are required;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FDA’s non-approval of the formulation, labeling or the specifications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 or</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w:t>
      </w:r>
    </w:p>
    <w:p>
      <w:pPr>
        <w:spacing w:after="0" w:line="170" w:lineRule="exact"/>
        <w:rPr>
          <w:sz w:val="20"/>
          <w:szCs w:val="20"/>
          <w:color w:val="auto"/>
        </w:rPr>
      </w:pPr>
    </w:p>
    <w:p>
      <w:pPr>
        <w:ind w:left="200" w:right="220"/>
        <w:spacing w:after="0" w:line="272" w:lineRule="auto"/>
        <w:rPr>
          <w:sz w:val="20"/>
          <w:szCs w:val="20"/>
          <w:color w:val="auto"/>
        </w:rPr>
      </w:pPr>
      <w:r>
        <w:rPr>
          <w:rFonts w:ascii="Arial" w:cs="Arial" w:eastAsia="Arial" w:hAnsi="Arial"/>
          <w:sz w:val="17"/>
          <w:szCs w:val="17"/>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286" w:lineRule="exact"/>
        <w:rPr>
          <w:sz w:val="20"/>
          <w:szCs w:val="20"/>
          <w:color w:val="auto"/>
        </w:rPr>
      </w:pPr>
    </w:p>
    <w:p>
      <w:pPr>
        <w:ind w:left="200" w:right="620"/>
        <w:spacing w:after="0" w:line="308" w:lineRule="auto"/>
        <w:rPr>
          <w:sz w:val="20"/>
          <w:szCs w:val="20"/>
          <w:color w:val="auto"/>
        </w:rPr>
      </w:pPr>
      <w:r>
        <w:rPr>
          <w:rFonts w:ascii="Arial" w:cs="Arial" w:eastAsia="Arial" w:hAnsi="Arial"/>
          <w:sz w:val="17"/>
          <w:szCs w:val="17"/>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3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92"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their effectiveness and potential advantages compared to alternative treatments;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we charge for our planned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physicians to change their current treatment practices;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strength or effectiveness of marketing and distribution support or partners;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third-party coverage or reimbursement.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the market opportunity for DCCR is smaller than we believe it is, then our revenues may be adversely affected, and our business may suffer.</w:t>
      </w:r>
    </w:p>
    <w:p>
      <w:pPr>
        <w:spacing w:after="0" w:line="14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273" w:lineRule="exact"/>
        <w:rPr>
          <w:sz w:val="20"/>
          <w:szCs w:val="20"/>
          <w:color w:val="auto"/>
        </w:rPr>
      </w:pPr>
    </w:p>
    <w:p>
      <w:pPr>
        <w:ind w:left="200" w:right="20"/>
        <w:spacing w:after="0" w:line="340" w:lineRule="auto"/>
        <w:rPr>
          <w:sz w:val="20"/>
          <w:szCs w:val="20"/>
          <w:color w:val="auto"/>
        </w:rPr>
      </w:pPr>
      <w:r>
        <w:rPr>
          <w:rFonts w:ascii="Arial" w:cs="Arial" w:eastAsia="Arial" w:hAnsi="Arial"/>
          <w:sz w:val="15"/>
          <w:szCs w:val="15"/>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2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26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62"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18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181"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287" w:lineRule="exact"/>
        <w:rPr>
          <w:sz w:val="20"/>
          <w:szCs w:val="20"/>
          <w:color w:val="auto"/>
        </w:rPr>
      </w:pPr>
    </w:p>
    <w:p>
      <w:pPr>
        <w:ind w:left="200" w:right="700"/>
        <w:spacing w:after="0" w:line="342" w:lineRule="auto"/>
        <w:rPr>
          <w:sz w:val="20"/>
          <w:szCs w:val="20"/>
          <w:color w:val="auto"/>
        </w:rPr>
      </w:pPr>
      <w:r>
        <w:rPr>
          <w:rFonts w:ascii="Arial" w:cs="Arial" w:eastAsia="Arial" w:hAnsi="Arial"/>
          <w:sz w:val="16"/>
          <w:szCs w:val="16"/>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6"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75"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75"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face competition, which may result in others discovering, developing or commercializing products before we do, or more successfully than we do.</w:t>
      </w:r>
    </w:p>
    <w:p>
      <w:pPr>
        <w:spacing w:after="0" w:line="152"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65" w:lineRule="exact"/>
        <w:rPr>
          <w:sz w:val="20"/>
          <w:szCs w:val="20"/>
          <w:color w:val="auto"/>
        </w:rPr>
      </w:pPr>
    </w:p>
    <w:p>
      <w:pPr>
        <w:ind w:left="200" w:right="280"/>
        <w:spacing w:after="0" w:line="312" w:lineRule="auto"/>
        <w:rPr>
          <w:sz w:val="20"/>
          <w:szCs w:val="20"/>
          <w:color w:val="auto"/>
        </w:rPr>
      </w:pPr>
      <w:r>
        <w:rPr>
          <w:rFonts w:ascii="Arial" w:cs="Arial" w:eastAsia="Arial" w:hAnsi="Arial"/>
          <w:sz w:val="16"/>
          <w:szCs w:val="16"/>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patent rights may prove to be an inadequate barrier to competition.</w:t>
      </w:r>
    </w:p>
    <w:p>
      <w:pPr>
        <w:spacing w:after="0" w:line="11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62"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6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78"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16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286"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60"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17" w:lineRule="exact"/>
        <w:rPr>
          <w:sz w:val="20"/>
          <w:szCs w:val="20"/>
          <w:color w:val="auto"/>
        </w:rPr>
      </w:pPr>
    </w:p>
    <w:p>
      <w:pPr>
        <w:ind w:left="200" w:right="80"/>
        <w:spacing w:after="0" w:line="287"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Dr. Anish Bhatnagar, our Chief Executive Officer, Jonathan Wolter, our Chief Financial Officer, Neil M. Cowen, our Senior Vice President of Drug Development, Kristen Yen, our Vice President of Clinical Operations, and Patricia Hirano our Vice President of Regulatory Affairs.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 million “key person” life insurance policy on our Chief Executive Officer, Dr. Anish Bhatnagar, but do not otherwise maintain “key person” life insurance on any of our employees.</w:t>
      </w:r>
    </w:p>
    <w:p>
      <w:pPr>
        <w:spacing w:after="0" w:line="173"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 turnover creates uncertainties and could harm our business.</w:t>
      </w:r>
    </w:p>
    <w:p>
      <w:pPr>
        <w:spacing w:after="0" w:line="11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We have experienced changes in our executive leadership in the past. David O’Toole, our Senior Vice President and Chief Financial Officer, resigned from employment effective September 11, 2017. Mr. Jonathan Wolter, a partner at FLG Partners, LLC, was retained as our interim Chief Financial Officer and on May 30, 2018, was appointed Chief Financial Officer. Patricia Hirano was appointed Vice President of Regulatory Affairs on January 1, 2019.</w:t>
      </w:r>
    </w:p>
    <w:p>
      <w:pPr>
        <w:spacing w:after="0" w:line="18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Changes to strategic or operating goals, which can often times occur with the appointment of new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turnover inherently causes some loss of institutional knowledge, which can negatively affect strategy and execution. Until we integrate new personnel, and unless they are able to succeed in their positions, we may be unable to successfully manage and grow our business, and our financial condition and profitability may suffer.</w:t>
      </w:r>
    </w:p>
    <w:p>
      <w:pPr>
        <w:spacing w:after="0" w:line="193" w:lineRule="exact"/>
        <w:rPr>
          <w:sz w:val="20"/>
          <w:szCs w:val="20"/>
          <w:color w:val="auto"/>
        </w:rPr>
      </w:pPr>
    </w:p>
    <w:p>
      <w:pPr>
        <w:ind w:left="200" w:right="720"/>
        <w:spacing w:after="0" w:line="342" w:lineRule="auto"/>
        <w:rPr>
          <w:sz w:val="20"/>
          <w:szCs w:val="20"/>
          <w:color w:val="auto"/>
        </w:rPr>
      </w:pPr>
      <w:r>
        <w:rPr>
          <w:rFonts w:ascii="Arial" w:cs="Arial" w:eastAsia="Arial" w:hAnsi="Arial"/>
          <w:sz w:val="16"/>
          <w:szCs w:val="16"/>
          <w:color w:val="auto"/>
        </w:rPr>
        <w:t>Further, to the extent we experience additional management turnover, competition for top management is high and it may take months to find a candidate that meets our requirements. If we are unable to attract and retain qualified management personnel, our business could suffer.</w:t>
      </w:r>
    </w:p>
    <w:p>
      <w:pPr>
        <w:spacing w:after="0" w:line="232"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62"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38"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16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266"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62"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76" w:lineRule="exact"/>
        <w:rPr>
          <w:sz w:val="20"/>
          <w:szCs w:val="20"/>
          <w:color w:val="auto"/>
        </w:rPr>
      </w:pPr>
    </w:p>
    <w:p>
      <w:pPr>
        <w:ind w:left="1180" w:right="42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failure by us or our distributors to obtain regulatory approvals for the sale or use of our current products and our planned future products in various countries;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payer systems, multiple payer-reimbursement regimes or self-pay systems;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products, including infrastructure conditions and transportation delays;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our distributors do not execute successfully;</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enforcing contracts and collecting accounts receivable, and exposure to foreign currency exchange rate fluctuations;</w:t>
      </w:r>
    </w:p>
    <w:p>
      <w:pPr>
        <w:spacing w:after="0" w:line="75"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or lack of them in certain jurisdictions, forcing more reliance on our trade secrets, if available;</w:t>
      </w:r>
    </w:p>
    <w:p>
      <w:pPr>
        <w:spacing w:after="0" w:line="75" w:lineRule="exact"/>
        <w:rPr>
          <w:rFonts w:ascii="Arial" w:cs="Arial" w:eastAsia="Arial" w:hAnsi="Arial"/>
          <w:sz w:val="18"/>
          <w:szCs w:val="18"/>
          <w:color w:val="auto"/>
        </w:rPr>
      </w:pPr>
    </w:p>
    <w:p>
      <w:pPr>
        <w:ind w:left="1180" w:right="8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75"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Intrusions into our computer systems could result in compromise of confidential information.</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81"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38"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Collaborations involving our products are subject to numerous risks, which may include the following:</w:t>
      </w:r>
    </w:p>
    <w:p>
      <w:pPr>
        <w:spacing w:after="0" w:line="131"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any such collaborations;</w:t>
      </w:r>
    </w:p>
    <w:p>
      <w:pPr>
        <w:spacing w:after="0" w:line="142" w:lineRule="exact"/>
        <w:rPr>
          <w:rFonts w:ascii="Arial" w:cs="Arial" w:eastAsia="Arial" w:hAnsi="Arial"/>
          <w:sz w:val="17"/>
          <w:szCs w:val="17"/>
          <w:color w:val="auto"/>
        </w:rPr>
      </w:pPr>
    </w:p>
    <w:p>
      <w:pPr>
        <w:ind w:left="1180" w:right="40" w:hanging="436"/>
        <w:spacing w:after="0" w:line="286" w:lineRule="auto"/>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70" w:lineRule="exact"/>
        <w:rPr>
          <w:rFonts w:ascii="Arial" w:cs="Arial" w:eastAsia="Arial" w:hAnsi="Arial"/>
          <w:sz w:val="17"/>
          <w:szCs w:val="17"/>
          <w:color w:val="auto"/>
        </w:rPr>
      </w:pPr>
    </w:p>
    <w:p>
      <w:pPr>
        <w:ind w:left="1180" w:right="40" w:hanging="436"/>
        <w:spacing w:after="0" w:line="308" w:lineRule="auto"/>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42" w:lineRule="exact"/>
        <w:rPr>
          <w:rFonts w:ascii="Arial" w:cs="Arial" w:eastAsia="Arial" w:hAnsi="Arial"/>
          <w:sz w:val="17"/>
          <w:szCs w:val="17"/>
          <w:color w:val="auto"/>
        </w:rPr>
      </w:pPr>
    </w:p>
    <w:p>
      <w:pPr>
        <w:ind w:left="1180" w:right="18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00" w:hanging="436"/>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6" w:lineRule="exact"/>
        <w:rPr>
          <w:rFonts w:ascii="Arial" w:cs="Arial" w:eastAsia="Arial" w:hAnsi="Arial"/>
          <w:sz w:val="18"/>
          <w:szCs w:val="18"/>
          <w:color w:val="auto"/>
        </w:rPr>
      </w:pPr>
    </w:p>
    <w:p>
      <w:pPr>
        <w:ind w:left="1180" w:hanging="436"/>
        <w:spacing w:after="0" w:line="308" w:lineRule="auto"/>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51" w:lineRule="exact"/>
        <w:rPr>
          <w:rFonts w:ascii="Arial" w:cs="Arial" w:eastAsia="Arial" w:hAnsi="Arial"/>
          <w:sz w:val="17"/>
          <w:szCs w:val="17"/>
          <w:color w:val="auto"/>
        </w:rPr>
      </w:pPr>
    </w:p>
    <w:p>
      <w:pPr>
        <w:ind w:left="1180" w:right="80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 and</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7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62"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As of June 30, 2019, we had nine employees and fourteen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84"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42" w:lineRule="exact"/>
        <w:rPr>
          <w:rFonts w:ascii="Arial" w:cs="Arial" w:eastAsia="Arial" w:hAnsi="Arial"/>
          <w:sz w:val="17"/>
          <w:szCs w:val="17"/>
          <w:color w:val="auto"/>
        </w:rPr>
      </w:pPr>
    </w:p>
    <w:p>
      <w:pPr>
        <w:ind w:left="1180" w:right="4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Our failure to accomplish any of these tasks could prevent us from successfully growing. Any inability to manage growth could delay the execution of our business plans or disrupt our operations.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Because we intend to commercialize our products outside the U.S., we will be subject to additional risks.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variety of risks associated with international operations could materially adversely affect our business, including:</w:t>
      </w:r>
    </w:p>
    <w:p>
      <w:pPr>
        <w:spacing w:after="0" w:line="131"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180" w:right="74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62"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We rely on third parties, such as contract research organizations, or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or GCP,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we could be liable for damages.</w:t>
      </w:r>
    </w:p>
    <w:p>
      <w:pPr>
        <w:spacing w:after="0" w:line="11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Patent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82" w:lineRule="exact"/>
        <w:rPr>
          <w:sz w:val="20"/>
          <w:szCs w:val="20"/>
          <w:color w:val="auto"/>
        </w:rPr>
      </w:pPr>
    </w:p>
    <w:p>
      <w:pPr>
        <w:ind w:left="200" w:right="100"/>
        <w:spacing w:after="0" w:line="254" w:lineRule="auto"/>
        <w:rPr>
          <w:sz w:val="20"/>
          <w:szCs w:val="20"/>
          <w:color w:val="auto"/>
        </w:rPr>
      </w:pPr>
      <w:r>
        <w:rPr>
          <w:rFonts w:ascii="Arial" w:cs="Arial" w:eastAsia="Arial" w:hAnsi="Arial"/>
          <w:sz w:val="18"/>
          <w:szCs w:val="18"/>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30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we could lose intellectual property rights that are important to our business.</w:t>
      </w:r>
    </w:p>
    <w:p>
      <w:pPr>
        <w:spacing w:after="0" w:line="62"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We are a party to intellectual property arrangements and expect that our future license agreements will impose, various diligence, milestone payment, royalty, insurance and other obligations on us. If we fail to comply with these obligations, any licensor may have the right to terminate such agreements, in which event we may not be able to develop and market any product that is covered by such agreements.</w:t>
      </w:r>
    </w:p>
    <w:p>
      <w:pPr>
        <w:spacing w:after="0" w:line="166"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232"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7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7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67"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62"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Competitors may infringe or otherwise violate the patents we rely on,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7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297"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62" w:lineRule="exact"/>
        <w:rPr>
          <w:sz w:val="20"/>
          <w:szCs w:val="20"/>
          <w:color w:val="auto"/>
        </w:rPr>
      </w:pPr>
    </w:p>
    <w:p>
      <w:pPr>
        <w:ind w:left="200" w:right="80"/>
        <w:spacing w:after="0" w:line="286" w:lineRule="auto"/>
        <w:rPr>
          <w:sz w:val="20"/>
          <w:szCs w:val="20"/>
          <w:color w:val="auto"/>
        </w:rPr>
      </w:pPr>
      <w:r>
        <w:rPr>
          <w:rFonts w:ascii="Arial" w:cs="Arial" w:eastAsia="Arial" w:hAnsi="Arial"/>
          <w:sz w:val="16"/>
          <w:szCs w:val="16"/>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throughout the world.</w:t>
      </w:r>
    </w:p>
    <w:p>
      <w:pPr>
        <w:spacing w:after="0" w:line="117"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Filing, prosecuting and defending patents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our current and planned products, but that are not covered by claims in our patents;</w:t>
      </w:r>
    </w:p>
    <w:p>
      <w:pPr>
        <w:spacing w:after="0" w:line="153" w:lineRule="exact"/>
        <w:rPr>
          <w:rFonts w:ascii="Arial" w:cs="Arial" w:eastAsia="Arial" w:hAnsi="Arial"/>
          <w:sz w:val="16"/>
          <w:szCs w:val="16"/>
          <w:color w:val="auto"/>
        </w:rPr>
      </w:pPr>
    </w:p>
    <w:p>
      <w:pPr>
        <w:ind w:left="1180" w:right="48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original filers of our patents that we developed or purchased might not have been the first to make the inventions covered by the claims contained in such patents;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130" w:lineRule="exact"/>
        <w:rPr>
          <w:rFonts w:ascii="Arial" w:cs="Arial" w:eastAsia="Arial" w:hAnsi="Arial"/>
          <w:sz w:val="18"/>
          <w:szCs w:val="18"/>
          <w:color w:val="auto"/>
        </w:rPr>
      </w:pPr>
    </w:p>
    <w:p>
      <w:pPr>
        <w:ind w:left="1180" w:right="72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Pending patent applications may not lead to issued patents;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Issued patents may not provide us with any competitive advantages,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1180" w:right="480" w:hanging="436"/>
        <w:spacing w:after="0" w:line="308" w:lineRule="auto"/>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33"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be paid by us to the United States Patent and Trademark Office, or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patent applications and the enforcement or defense of our issued patents.</w:t>
      </w:r>
    </w:p>
    <w:p>
      <w:pPr>
        <w:spacing w:after="0" w:line="62"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In March 2013, under the America Invents Act, or AIA, the U.S. moved to a first-to-file system and made certain other changes to its patent laws. The effects of these changes are currently unclear as the USPTO must still implement various regulations, the courts have yet to address these provisions and the applicability of the act and new regulations on specific patents discussed herein have not been determined and would need to be reviewed. Accordingly, it is not yet clear what, if any, impact the AIA will have on the operation of our business. However, the AIA and its implementation could increase the uncertainties and costs surrounding the prosecution of patent applications and the enforcement or defense of issued patents, all of which could have a material adverse effect on our business and financial condition.</w:t>
      </w:r>
    </w:p>
    <w:p>
      <w:pPr>
        <w:spacing w:after="0" w:line="287"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6"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78"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is expensive, time consuming and uncertain, and may prevent us from obtaining approvals for our planned products.</w:t>
      </w:r>
    </w:p>
    <w:p>
      <w:pPr>
        <w:spacing w:after="0" w:line="62" w:lineRule="exact"/>
        <w:rPr>
          <w:sz w:val="20"/>
          <w:szCs w:val="20"/>
          <w:color w:val="auto"/>
        </w:rPr>
      </w:pPr>
    </w:p>
    <w:p>
      <w:pPr>
        <w:ind w:left="200" w:right="360"/>
        <w:spacing w:after="0" w:line="255"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99"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 or biologics or supplements to approved applications filed by us;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seizure or detention of our products or import bans.</w:t>
      </w:r>
    </w:p>
    <w:p>
      <w:pPr>
        <w:spacing w:after="0" w:line="22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99"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planned product may not be deemed safe or effective;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FDA officials may not find the data from preclinical studies and clinical studies sufficient;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might not approve our or our third-party manufacturer’s processes or facilities;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22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7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117" w:lineRule="exact"/>
        <w:rPr>
          <w:sz w:val="20"/>
          <w:szCs w:val="20"/>
          <w:color w:val="auto"/>
        </w:rPr>
      </w:pPr>
    </w:p>
    <w:p>
      <w:pPr>
        <w:ind w:left="200" w:right="260"/>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117" w:lineRule="exact"/>
        <w:rPr>
          <w:sz w:val="20"/>
          <w:szCs w:val="20"/>
          <w:color w:val="auto"/>
        </w:rPr>
      </w:pPr>
    </w:p>
    <w:p>
      <w:pPr>
        <w:ind w:left="200" w:right="440"/>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76" w:lineRule="exact"/>
        <w:rPr>
          <w:sz w:val="20"/>
          <w:szCs w:val="20"/>
          <w:color w:val="auto"/>
        </w:rPr>
      </w:pPr>
    </w:p>
    <w:p>
      <w:pPr>
        <w:ind w:left="1180" w:right="14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Phase I. The drug candidate is given to a small number of healthy human control subjects or patients suffering from the indicated disease, to test for safety, dose tolerance, pharmacokinetics, metabolism, distribution and excretion.</w:t>
      </w:r>
    </w:p>
    <w:p>
      <w:pPr>
        <w:spacing w:after="0" w:line="75" w:lineRule="exact"/>
        <w:rPr>
          <w:rFonts w:ascii="Arial" w:cs="Arial" w:eastAsia="Arial" w:hAnsi="Arial"/>
          <w:sz w:val="18"/>
          <w:szCs w:val="18"/>
          <w:color w:val="auto"/>
        </w:rPr>
      </w:pPr>
    </w:p>
    <w:p>
      <w:pPr>
        <w:ind w:left="1180" w:hanging="436"/>
        <w:spacing w:after="0" w:line="286" w:lineRule="auto"/>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Phase II.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I clinical trials to fail in the more rigorous Phase II clinical trials.</w:t>
      </w:r>
    </w:p>
    <w:p>
      <w:pPr>
        <w:spacing w:after="0" w:line="70" w:lineRule="exact"/>
        <w:rPr>
          <w:rFonts w:ascii="Arial" w:cs="Arial" w:eastAsia="Arial" w:hAnsi="Arial"/>
          <w:sz w:val="17"/>
          <w:szCs w:val="17"/>
          <w:color w:val="auto"/>
        </w:rPr>
      </w:pPr>
    </w:p>
    <w:p>
      <w:pPr>
        <w:ind w:left="1180" w:right="20" w:hanging="436"/>
        <w:spacing w:after="0" w:line="25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Phase III. If a drug candidate appears to be effective and safe in Phase II clinical trials, Phase III clinical trials are commenced to confirm those results. Phase III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II clinical trials to fail in the more rigorous and extensive Phase III clinical trials.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54"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United States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80" w:lineRule="exact"/>
        <w:rPr>
          <w:sz w:val="20"/>
          <w:szCs w:val="20"/>
          <w:color w:val="auto"/>
        </w:rPr>
      </w:pPr>
    </w:p>
    <w:p>
      <w:pPr>
        <w:ind w:left="200" w:right="200"/>
        <w:spacing w:after="0" w:line="297" w:lineRule="auto"/>
        <w:rPr>
          <w:sz w:val="20"/>
          <w:szCs w:val="20"/>
          <w:color w:val="auto"/>
        </w:rPr>
      </w:pPr>
      <w:r>
        <w:rPr>
          <w:rFonts w:ascii="Arial" w:cs="Arial" w:eastAsia="Arial" w:hAnsi="Arial"/>
          <w:sz w:val="16"/>
          <w:szCs w:val="16"/>
          <w:color w:val="auto"/>
        </w:rPr>
        <w:t>FDA may also require Phase IV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158"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Once issued, the FDA may withdraw product approval if ongoing regulatory requirements are not met or if safety problems are identified after the product reaches the market. In addition, the FDA may require post-approval testing, including Phase IV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75" w:lineRule="auto"/>
        <w:rPr>
          <w:sz w:val="20"/>
          <w:szCs w:val="20"/>
          <w:color w:val="auto"/>
        </w:rPr>
      </w:pPr>
      <w:r>
        <w:rPr>
          <w:rFonts w:ascii="Arial" w:cs="Arial" w:eastAsia="Arial" w:hAnsi="Arial"/>
          <w:sz w:val="15"/>
          <w:szCs w:val="15"/>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 w:lineRule="exact"/>
        <w:rPr>
          <w:sz w:val="20"/>
          <w:szCs w:val="20"/>
          <w:color w:val="auto"/>
        </w:rPr>
      </w:pPr>
    </w:p>
    <w:p>
      <w:pPr>
        <w:ind w:left="200" w:right="300"/>
        <w:spacing w:after="0" w:line="302" w:lineRule="auto"/>
        <w:rPr>
          <w:sz w:val="20"/>
          <w:szCs w:val="20"/>
          <w:color w:val="auto"/>
        </w:rPr>
      </w:pPr>
      <w:r>
        <w:rPr>
          <w:rFonts w:ascii="Arial" w:cs="Arial" w:eastAsia="Arial" w:hAnsi="Arial"/>
          <w:sz w:val="16"/>
          <w:szCs w:val="16"/>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154"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89" w:lineRule="exact"/>
        <w:rPr>
          <w:sz w:val="20"/>
          <w:szCs w:val="20"/>
          <w:color w:val="auto"/>
        </w:rPr>
      </w:pPr>
    </w:p>
    <w:p>
      <w:pPr>
        <w:ind w:left="200" w:right="580"/>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jc w:val="both"/>
        <w:ind w:left="200" w:right="160"/>
        <w:spacing w:after="0" w:line="286"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w:t>
      </w:r>
    </w:p>
    <w:p>
      <w:pPr>
        <w:spacing w:after="0" w:line="2" w:lineRule="exact"/>
        <w:rPr>
          <w:sz w:val="20"/>
          <w:szCs w:val="20"/>
          <w:color w:val="auto"/>
        </w:rPr>
      </w:pPr>
    </w:p>
    <w:p>
      <w:pPr>
        <w:ind w:left="200" w:right="300"/>
        <w:spacing w:after="0" w:line="261" w:lineRule="auto"/>
        <w:rPr>
          <w:sz w:val="20"/>
          <w:szCs w:val="20"/>
          <w:color w:val="auto"/>
        </w:rPr>
      </w:pPr>
      <w:r>
        <w:rPr>
          <w:rFonts w:ascii="Arial" w:cs="Arial" w:eastAsia="Arial" w:hAnsi="Arial"/>
          <w:sz w:val="18"/>
          <w:szCs w:val="18"/>
          <w:color w:val="auto"/>
        </w:rPr>
        <w:t>Accordingly, manufacturers must continue to expend time, money, and effort in the area of production and quality control to maintain cGMP or QSR compliance.</w:t>
      </w:r>
    </w:p>
    <w:p>
      <w:pPr>
        <w:spacing w:after="0" w:line="184"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94" w:lineRule="exact"/>
        <w:rPr>
          <w:sz w:val="20"/>
          <w:szCs w:val="20"/>
          <w:color w:val="auto"/>
        </w:rPr>
      </w:pPr>
    </w:p>
    <w:p>
      <w:pPr>
        <w:ind w:left="1180" w:hanging="436"/>
        <w:spacing w:after="0"/>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7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88"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Failure to obtain marketing approvals in foreign jurisdictions will prevent us from marketing our products internationally.</w:t>
      </w:r>
    </w:p>
    <w:p>
      <w:pPr>
        <w:spacing w:after="0" w:line="117"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We intend to seek distribution and marketing partners for our current products outside the U.S. and may market planned products in international markets.</w:t>
      </w:r>
    </w:p>
    <w:p>
      <w:pPr>
        <w:spacing w:after="0" w:line="17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planned products’ commercial success.</w:t>
      </w:r>
    </w:p>
    <w:p>
      <w:pPr>
        <w:spacing w:after="0" w:line="117"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83"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imposes a tax of 2.3% on the retail sales price of medical devices sold after December 31, 2012;</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could result in the imposition of injunctions;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50% point-of-sale discounts off negotiated prices of applicable branded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While the U.S. Supreme Court upheld the constitutionality of most elements of the PPACA in June 2012, other legal challenges are still pending final adjudication in several jurisdictions. The current presidential administration and 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 on us and potential effect on the medical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United States may have on our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67"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52" w:lineRule="exact"/>
        <w:rPr>
          <w:sz w:val="20"/>
          <w:szCs w:val="20"/>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69"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29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62"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77" w:lineRule="exact"/>
        <w:rPr>
          <w:sz w:val="20"/>
          <w:szCs w:val="20"/>
          <w:color w:val="auto"/>
        </w:rPr>
      </w:pPr>
    </w:p>
    <w:p>
      <w:pPr>
        <w:ind w:left="1180" w:right="60" w:hanging="436"/>
        <w:spacing w:after="0" w:line="259"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75" w:lineRule="exact"/>
        <w:rPr>
          <w:rFonts w:ascii="Arial" w:cs="Arial" w:eastAsia="Arial" w:hAnsi="Arial"/>
          <w:sz w:val="18"/>
          <w:szCs w:val="18"/>
          <w:color w:val="auto"/>
        </w:rPr>
      </w:pPr>
    </w:p>
    <w:p>
      <w:pPr>
        <w:jc w:val="both"/>
        <w:ind w:left="1180" w:right="360" w:hanging="436"/>
        <w:spacing w:after="0" w:line="264"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86"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86" w:lineRule="exact"/>
        <w:rPr>
          <w:rFonts w:ascii="Arial" w:cs="Arial" w:eastAsia="Arial" w:hAnsi="Arial"/>
          <w:sz w:val="18"/>
          <w:szCs w:val="18"/>
          <w:color w:val="auto"/>
        </w:rPr>
      </w:pPr>
    </w:p>
    <w:p>
      <w:pPr>
        <w:ind w:left="1180" w:right="180" w:hanging="436"/>
        <w:spacing w:after="0" w:line="308" w:lineRule="auto"/>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51" w:lineRule="exact"/>
        <w:rPr>
          <w:rFonts w:ascii="Arial" w:cs="Arial" w:eastAsia="Arial" w:hAnsi="Arial"/>
          <w:sz w:val="17"/>
          <w:szCs w:val="17"/>
          <w:color w:val="auto"/>
        </w:rPr>
      </w:pPr>
    </w:p>
    <w:p>
      <w:pPr>
        <w:ind w:left="1180" w:right="12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2019, through July 31, 2019, the reported high and low prices of our common stock ranged from $1.35 to $2.99. As a result of this volatility, investors may not be able to sell their common stock at or above the purchase price. The market price for our common stock may be influenced by many factors, including the following:</w:t>
      </w:r>
    </w:p>
    <w:p>
      <w:pPr>
        <w:spacing w:after="0" w:line="94" w:lineRule="exact"/>
        <w:rPr>
          <w:sz w:val="20"/>
          <w:szCs w:val="20"/>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successfully commercialize, and realize significant revenues from sales of our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studies of our products or those of our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or regulations applicable to our products;</w:t>
      </w:r>
    </w:p>
    <w:p>
      <w:pPr>
        <w:spacing w:after="0" w:line="153" w:lineRule="exact"/>
        <w:rPr>
          <w:rFonts w:ascii="Arial" w:cs="Arial" w:eastAsia="Arial" w:hAnsi="Arial"/>
          <w:sz w:val="16"/>
          <w:szCs w:val="16"/>
          <w:color w:val="auto"/>
        </w:rPr>
      </w:pPr>
    </w:p>
    <w:p>
      <w:pPr>
        <w:ind w:left="1180" w:right="440" w:hanging="436"/>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60"/>
          </w:cols>
          <w:pgMar w:left="24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planned products;</w:t>
      </w:r>
    </w:p>
    <w:p>
      <w:pPr>
        <w:spacing w:after="0" w:line="130" w:lineRule="exact"/>
        <w:rPr>
          <w:rFonts w:ascii="Arial" w:cs="Arial" w:eastAsia="Arial" w:hAnsi="Arial"/>
          <w:sz w:val="18"/>
          <w:szCs w:val="18"/>
          <w:color w:val="auto"/>
        </w:rPr>
      </w:pPr>
    </w:p>
    <w:p>
      <w:pPr>
        <w:ind w:left="1180" w:right="72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concerning our ability to bring our manufacturing processes to scale in a cost-effective manner;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42"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risks described in this “Risk Factors” section.</w:t>
      </w:r>
    </w:p>
    <w:p>
      <w:pPr>
        <w:spacing w:after="0" w:line="2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9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62" w:lineRule="exact"/>
        <w:rPr>
          <w:sz w:val="20"/>
          <w:szCs w:val="20"/>
          <w:color w:val="auto"/>
        </w:rPr>
      </w:pPr>
    </w:p>
    <w:p>
      <w:pPr>
        <w:jc w:val="both"/>
        <w:ind w:left="200" w:right="340"/>
        <w:spacing w:after="0" w:line="286" w:lineRule="auto"/>
        <w:rPr>
          <w:sz w:val="20"/>
          <w:szCs w:val="20"/>
          <w:color w:val="auto"/>
        </w:rPr>
      </w:pPr>
      <w:r>
        <w:rPr>
          <w:rFonts w:ascii="Arial" w:cs="Arial" w:eastAsia="Arial" w:hAnsi="Arial"/>
          <w:sz w:val="17"/>
          <w:szCs w:val="17"/>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66"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We issued 13,780 shares of Series B Convertible Preferred Stock in 2017. As of December 31, 2017, all of the shares of Series B Convertible Preferred Stock have been converted into 2,556,000 shares of common stock. Under the terms of the Series B Convertible Preferred Stock, no shares of common stock have been issued to Sabby Management, LLC, or “Sabby”, upon conversion of the Series B Convertible Preferred Stock to the extent such issuance of shares of common stock would have resulted in Sabby having ownership in excess of 4.99%.</w:t>
      </w:r>
    </w:p>
    <w:p>
      <w:pPr>
        <w:spacing w:after="0" w:line="17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On March 7, 2017, we issued 1,666,666 shares of common stock for an investment of $8.0 million from the completion of the concurrent financing and issued 416,666 shares of common stock for an investment of $2.0 million from Aspire Capital pursuant to the 2017 Aspire Purchase Agreement. All the shares issued under the 2017 Aspire Purchase Agreement are eligible for future resale under a registration statement on Form S-1 on February 1, 2017 that was declared effective by the SEC on February 15, 2017. We terminated the 2017 Aspire Purchase Agreement on December 15, 2017 in connection with the closing of the 2017 PIPE Offering.</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On December 11, 2017, we entered into a Securities Purchase Agreement with certain purchasers,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18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have prepared and filed with the SEC a registration statement to register for resale the 2018 Resale Shares.</w:t>
      </w:r>
    </w:p>
    <w:p>
      <w:pPr>
        <w:spacing w:after="0" w:line="178"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289" w:lineRule="exact"/>
        <w:rPr>
          <w:sz w:val="20"/>
          <w:szCs w:val="20"/>
          <w:color w:val="auto"/>
        </w:rPr>
      </w:pPr>
    </w:p>
    <w:p>
      <w:pPr>
        <w:ind w:left="200" w:right="56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or the JOBS Act, which was enacted in April 2012, and as a “smaller reporting company” under the Exchange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After we are no longer an emerging growth company and for as long as we remain a smaller reporting company, we will remain eligible for certain exemptions, including not being required to comply with the auditor attestation requirements of Section 404 of the Sarbanes-Oxley Act and reduced disclosure obligations regarding executive compensation, but we will be required to hold a nonbinding advisory vote on executive compensation and obtain stockholder approval of golden parachute payments.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could be an emerging growth company for up to five years, although circumstances could cause us to lose that status earlier. We will remain an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emerging growth company until the earlier of (1) the last day of the fiscal year following the fifth anniversary of the completion of our initial public</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offering, or IPO, which would be December 31, 2019, (2) the last day of the fiscal year in which we have total annual gross revenue of at least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$1.07 billion, (3) the date on which we are deemed to be a large accelerated filer, which means the market value of our common stock that is held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non-affiliates exceeds $700.0 million as of the prior June 30th, and (4) the date on which we have issued more than $1.0 billion in non-convertible debt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during the prior three-year period. We will remain a smaller reporting company until we have a public float, or value attributable to stock held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non-affiliates, of at least $250 million, as measured on the prior June 30th.</w:t>
      </w:r>
    </w:p>
    <w:p>
      <w:pPr>
        <w:spacing w:after="0" w:line="211"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under the JOBS Act.</w:t>
      </w:r>
    </w:p>
    <w:p>
      <w:pPr>
        <w:spacing w:after="0" w:line="154"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to the extent we rely on available exemptions. If some investors do find our common stock less attractive, there may be a less active trading market for our common stock and our stock price may be more volatile or may decline.</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Abingworth LLP, Vivo Ventures, Oracle Investment Management and Jack W. Schuler and their affiliates may have control over key decision making.</w:t>
      </w:r>
    </w:p>
    <w:p>
      <w:pPr>
        <w:spacing w:after="0" w:line="73"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Our executive officers, directors and principal stockholders own a majority of our outstanding common stock. Entities associated with Abingworth LLP, Vivo Ventures, Oracle Investment Management and Jack W. Schuler, as of June 30, 2019, beneficially own approximately 60.2% of our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30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62"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183"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In addition, we will be required to have our independent registered public accounting firm attest to the effectiveness of our internal control over financial reporting beginning with our annual report on Form 10-K following the date on which we are no longer an emerging growth company or smaller reporting company.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w:t>
      </w:r>
    </w:p>
    <w:p>
      <w:pPr>
        <w:spacing w:after="0" w:line="192"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This, in turn, could have an adverse impact on trading prices for our common stock, and could adversely affect our ability to access the capital markets.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will be limited.</w:t>
      </w:r>
    </w:p>
    <w:p>
      <w:pPr>
        <w:spacing w:after="0" w:line="117" w:lineRule="exact"/>
        <w:rPr>
          <w:sz w:val="20"/>
          <w:szCs w:val="20"/>
          <w:color w:val="auto"/>
        </w:rPr>
      </w:pPr>
    </w:p>
    <w:p>
      <w:pPr>
        <w:ind w:left="200" w:right="60"/>
        <w:spacing w:after="0" w:line="290" w:lineRule="auto"/>
        <w:rPr>
          <w:sz w:val="20"/>
          <w:szCs w:val="20"/>
          <w:color w:val="auto"/>
        </w:rPr>
      </w:pPr>
      <w:r>
        <w:rPr>
          <w:rFonts w:ascii="Arial" w:cs="Arial" w:eastAsia="Arial" w:hAnsi="Arial"/>
          <w:sz w:val="16"/>
          <w:szCs w:val="16"/>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our warrant holders exercise their warrants into shares of our common stock, our stockholders will be diluted.</w:t>
      </w:r>
    </w:p>
    <w:p>
      <w:pPr>
        <w:spacing w:after="0" w:line="117"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255"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73"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Under certain circumstances we may be required to settle the value of the Series A, Series C, 2017 PIPE Warrants and 2018 PIPE Warrants in cash.</w:t>
      </w:r>
    </w:p>
    <w:p>
      <w:pPr>
        <w:spacing w:after="0" w:line="152"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If, at any time while the Series A, Series C, 2017 PIPE Warrants and 2018 PIPE Warrants, or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might not be able to maintain the listing of our securities on The NASDAQ Capital Market.</w:t>
      </w:r>
    </w:p>
    <w:p>
      <w:pPr>
        <w:spacing w:after="0" w:line="117"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We have listed our common stock and Series A Warrants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Due to the speculative nature of warrants, there is no guarantee that it will ever be profitable for holders of the warrants to exercise the warrants.</w:t>
      </w:r>
    </w:p>
    <w:p>
      <w:pPr>
        <w:spacing w:after="0" w:line="15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Specifically, holders of Series A Warrants may exercise their right to acquire the common stock and pay an exercise price of $32.50 per share prior to the expiration of the five-year term on November 12, 2019, after which date any unexercised Series A Warrants will expire and have no further value. Holders of Series C Warrants may exercise their right to acquire common stock and pay an exercise price of $31.25 per share prior to the expiration of the five-year term on March 4, 2020. Holders of the 2017 PIPE Warrants are entitled to purchase one share of our common stock at an exercise price equal to $2.00 per share prior to at the earlier of (i) December 15, 2020 or (ii) 30 days following positive Phase III results for DCCR tablet in Prader-Willi syndrome. Holders of the 2018 PIPE Warrants are entitled to purchase one share of our common stock at an exercise price equal to $2.00 per share prior to the expiration of the five-year term on December 21, 2023.</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Following the amendment of the Series D Common Stock Purchase Warrants, the holders may exercise their right to acquire common stock and pay an amended exercise price of $8.75 per share prior to the expiration of the five-year term on October 15, 2020. In certain circumstances, the Series A Warrants, Series C Warrants and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29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83" w:lineRule="exact"/>
        <w:rPr>
          <w:sz w:val="20"/>
          <w:szCs w:val="20"/>
          <w:color w:val="auto"/>
        </w:rPr>
      </w:pPr>
    </w:p>
    <w:p>
      <w:pPr>
        <w:ind w:left="1180" w:right="840" w:hanging="436"/>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75" w:lineRule="exact"/>
        <w:rPr>
          <w:rFonts w:ascii="Arial" w:cs="Arial" w:eastAsia="Arial" w:hAnsi="Arial"/>
          <w:sz w:val="18"/>
          <w:szCs w:val="18"/>
          <w:color w:val="auto"/>
        </w:rPr>
      </w:pPr>
    </w:p>
    <w:p>
      <w:pPr>
        <w:ind w:left="1180" w:right="280" w:hanging="436"/>
        <w:spacing w:after="0" w:line="342" w:lineRule="auto"/>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29" w:lineRule="exact"/>
        <w:rPr>
          <w:rFonts w:ascii="Arial" w:cs="Arial" w:eastAsia="Arial" w:hAnsi="Arial"/>
          <w:sz w:val="16"/>
          <w:szCs w:val="16"/>
          <w:color w:val="auto"/>
        </w:rPr>
      </w:pPr>
    </w:p>
    <w:p>
      <w:pPr>
        <w:ind w:left="1180" w:right="80" w:hanging="436"/>
        <w:spacing w:after="0" w:line="286" w:lineRule="auto"/>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70" w:lineRule="exact"/>
        <w:rPr>
          <w:rFonts w:ascii="Arial" w:cs="Arial" w:eastAsia="Arial" w:hAnsi="Arial"/>
          <w:sz w:val="17"/>
          <w:szCs w:val="17"/>
          <w:color w:val="auto"/>
        </w:rPr>
      </w:pPr>
    </w:p>
    <w:p>
      <w:pPr>
        <w:ind w:left="1180" w:right="80" w:hanging="436"/>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amendments of our certificate of incorporation and bylaws require the approval of 66 2/3% of our outstanding voting securities;</w:t>
      </w:r>
    </w:p>
    <w:p>
      <w:pPr>
        <w:spacing w:after="0" w:line="142" w:lineRule="exact"/>
        <w:rPr>
          <w:rFonts w:ascii="Arial" w:cs="Arial" w:eastAsia="Arial" w:hAnsi="Arial"/>
          <w:sz w:val="17"/>
          <w:szCs w:val="17"/>
          <w:color w:val="auto"/>
        </w:rPr>
      </w:pPr>
    </w:p>
    <w:p>
      <w:pPr>
        <w:ind w:left="1180" w:right="80" w:hanging="436"/>
        <w:spacing w:after="0" w:line="259"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stockholders are required to provide advance notice and additional disclosures in order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92"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62"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28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62"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existing or any future debt agreements may preclude us from paying dividends. As a result, capital appreciation, if any, of our common stock will be our stockholders’ sole source of gain for the foreseeable future.</w:t>
      </w:r>
    </w:p>
    <w:p>
      <w:pPr>
        <w:spacing w:after="0" w:line="274"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The sale of our common stock to investors in the 2018 PIPE Offering may cause substantial dilution to our existing stockholders and the sale of common stock by these investors could cause the price of our common stock to decline.</w:t>
      </w:r>
    </w:p>
    <w:p>
      <w:pPr>
        <w:spacing w:after="0" w:line="62"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r>
        <w:rPr>
          <w:rFonts w:ascii="Arial" w:cs="Arial" w:eastAsia="Arial" w:hAnsi="Arial"/>
          <w:sz w:val="18"/>
          <w:szCs w:val="18"/>
          <w:b w:val="1"/>
          <w:bCs w:val="1"/>
          <w:color w:val="auto"/>
        </w:rPr>
        <w:t>.</w:t>
      </w:r>
    </w:p>
    <w:p>
      <w:pPr>
        <w:spacing w:after="0" w:line="62"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Our management will have broad discretion over the use of proceeds from this offering. We currently intend to use the net proceeds from the sale of securities offered by this prospectus for general corporate purposes, including research and development, working capital and capital expenditures. We may use a portion of the net proceeds to support our clinical programs with DCCR, as well as other related activities. A portion of the proceeds will also be used for general administrative purposes. However, our management will have broad discretion in the application of the net proceeds from this offering and could spend the proceeds in ways that do not improve our results of operations or enhance the value of our common stock. The failure by management to apply these funds effectively could result in financial losses that could have a material adverse effect on our business, cause the price of our common stock to decline and delay the development of our product candidates.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11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Because the public offering price per share is substantially higher than the book value per share of our common stock, you will suffer substantial dilution in the net tangible book value of the common stock you purchase in this offering. After giving effect to the sale by us of shares of our common stock at a public offering price of $1.20 per share, and after deducting the underwriting discount and estimated offering expenses payable by us, you will suffer immediate and substantial dilution of $0.99 per share in the net tangible book value of the common stock you purchase in this offering. To the extent outstanding options, warrants or other derivative securities are ultimately exercised or converted, or if we issue equity-based awards to our employees under our 2014 Equity Incentive Plan,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7"/>
          <w:szCs w:val="17"/>
          <w:i w:val="1"/>
          <w:iCs w:val="1"/>
          <w:color w:val="auto"/>
        </w:rPr>
        <w:t>Dilution</w:t>
      </w:r>
      <w:r>
        <w:rPr>
          <w:rFonts w:ascii="Arial" w:cs="Arial" w:eastAsia="Arial" w:hAnsi="Arial"/>
          <w:sz w:val="17"/>
          <w:szCs w:val="17"/>
          <w:color w:val="auto"/>
        </w:rPr>
        <w:t>” on page S-45.</w:t>
      </w:r>
    </w:p>
    <w:p>
      <w:pPr>
        <w:spacing w:after="0" w:line="2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price of our common stock</w:t>
      </w:r>
      <w:r>
        <w:rPr>
          <w:rFonts w:ascii="Arial" w:cs="Arial" w:eastAsia="Arial" w:hAnsi="Arial"/>
          <w:sz w:val="18"/>
          <w:szCs w:val="18"/>
          <w:b w:val="1"/>
          <w:bCs w:val="1"/>
          <w:color w:val="auto"/>
        </w:rPr>
        <w:t>.</w:t>
      </w:r>
    </w:p>
    <w:p>
      <w:pPr>
        <w:spacing w:after="0" w:line="62"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October 15, 2019, we had 31,816,387 shares of common stock outstanding, as well as stock options to purchase, an aggregate of 2,136,428 shares of our common stock at a weighted average exercise price of $4.97 per share and outstanding warrants to purchase up to an aggregate of 7,845,978 shares of our common stock at a weighted average exercise price of $5.48 per share. The exercise of such outstanding derivative securities may result in further dilution of your investment.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2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3"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131" w:lineRule="exact"/>
        <w:rPr>
          <w:sz w:val="20"/>
          <w:szCs w:val="20"/>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the success of additional approvals of any of our products pursuant to our clinical and regulatory efforts;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successfully build a distribution network and commercial infrastructure for our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results of the trials will be sufficient to support domestic or global regulatory approvals for any of our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and/or maintain regulatory approval of our products;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 that our existing capital resources will be sufficient to enable us to successfully meet the capital requirements for all of our current and future products;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benefits of the use of our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projected dollar amounts of future sales of established and novel diagnostics for neonatal hemolysis;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successfully commercialize any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manufacture our products in conformity with the applicable regulatory requirements and to scale up manufacturing of our products to commercial scale;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compete with companies that may enter the market with products that compete with our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reliance on third-party contract manufacturers to manufacture and supply our products for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reliance on our collaboration partners’ performance over which we do not have control;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retain and recruit key personnel, including development of a sales and marketing function;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w:t>
      </w:r>
    </w:p>
    <w:p>
      <w:pPr>
        <w:spacing w:after="0" w:line="130" w:lineRule="exact"/>
        <w:rPr>
          <w:rFonts w:ascii="Arial" w:cs="Arial" w:eastAsia="Arial" w:hAnsi="Arial"/>
          <w:sz w:val="18"/>
          <w:szCs w:val="18"/>
          <w:color w:val="auto"/>
        </w:rPr>
      </w:pPr>
    </w:p>
    <w:p>
      <w:pPr>
        <w:ind w:left="1180" w:right="560" w:hanging="436"/>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needs for or ability to obtain additional financing;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identify, develop, acquire and in-license additional products;</w:t>
      </w:r>
    </w:p>
    <w:p>
      <w:pPr>
        <w:spacing w:after="0" w:line="130" w:lineRule="exact"/>
        <w:rPr>
          <w:rFonts w:ascii="Arial" w:cs="Arial" w:eastAsia="Arial" w:hAnsi="Arial"/>
          <w:sz w:val="18"/>
          <w:szCs w:val="18"/>
          <w:color w:val="auto"/>
        </w:rPr>
      </w:pPr>
    </w:p>
    <w:p>
      <w:pPr>
        <w:ind w:left="1180" w:right="580" w:hanging="436"/>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successfully establish and successfully maintain appropriate collaborations and derive significant revenue from those collaborations;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or our industry.</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7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54" w:lineRule="exact"/>
        <w:rPr>
          <w:sz w:val="20"/>
          <w:szCs w:val="20"/>
          <w:color w:val="auto"/>
        </w:rPr>
      </w:pPr>
    </w:p>
    <w:p>
      <w:pPr>
        <w:ind w:left="200" w:right="500"/>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We estimate that the net proceeds to us from this offering will be approximately $12,556,500 (or approximately $14,466,000 if the underwriter’s option to purchase additional shares of common stock is exercised in full), after deducting the underwriting discounts and commissions and estimated offering expenses payable by us.</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currently intend to use the net proceeds from the sale of the securities offered by this prospectus supplement and accompanying prospectus primarily to support our clinical programs with DCCR, as well as other related activities. A portion of the proceeds will also be used for general administrative purposes.</w:t>
      </w:r>
    </w:p>
    <w:p>
      <w:pPr>
        <w:spacing w:after="0" w:line="18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table below reflects our current planned use of the net proceeds from this offering. Each of these amounts is an estimate only, and is subject to change at any time before or after closing of the offering.</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 in</w:t>
            </w:r>
          </w:p>
        </w:tc>
      </w:tr>
      <w:tr>
        <w:trPr>
          <w:trHeight w:val="171"/>
        </w:trPr>
        <w:tc>
          <w:tcPr>
            <w:tcW w:w="61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$000</w:t>
            </w:r>
          </w:p>
        </w:tc>
        <w:tc>
          <w:tcPr>
            <w:tcW w:w="6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$13,400,000</w:t>
            </w:r>
          </w:p>
        </w:tc>
        <w:tc>
          <w:tcPr>
            <w:tcW w:w="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Underwriting discount and other expenses of the offering</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843,500</w:t>
            </w: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proceeds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$12,556,500</w:t>
            </w:r>
          </w:p>
        </w:tc>
        <w:tc>
          <w:tcPr>
            <w:tcW w:w="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$10,509,000</w:t>
            </w: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4"/>
              </w:rPr>
              <w:t>General and administrative, working capital and other general corporate purposes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2,047,500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If you purchase shares of our common stock in this offering, you will experience dilution to the extent of the difference between the public offering price per share in this offering and our as adjusted net tangible book value per share immediately after this offering. Net tangible book value is total assets minus the sum of liabilities and intangible assets. Net tangible book value per share is net tangible book value divided by the total number of shares of common stock outstanding. As of June 30, 2019, our net tangible book value was approximately $(3.7 million), or approximately $(0.12) per share.</w:t>
      </w:r>
    </w:p>
    <w:p>
      <w:pPr>
        <w:spacing w:after="0" w:line="154" w:lineRule="exact"/>
        <w:rPr>
          <w:sz w:val="20"/>
          <w:szCs w:val="20"/>
          <w:color w:val="auto"/>
        </w:rPr>
      </w:pPr>
    </w:p>
    <w:p>
      <w:pPr>
        <w:ind w:left="200" w:right="320"/>
        <w:spacing w:after="0" w:line="257" w:lineRule="auto"/>
        <w:rPr>
          <w:sz w:val="20"/>
          <w:szCs w:val="20"/>
          <w:color w:val="auto"/>
        </w:rPr>
      </w:pPr>
      <w:r>
        <w:rPr>
          <w:rFonts w:ascii="Arial" w:cs="Arial" w:eastAsia="Arial" w:hAnsi="Arial"/>
          <w:sz w:val="18"/>
          <w:szCs w:val="18"/>
          <w:color w:val="auto"/>
        </w:rPr>
        <w:t>After giving effect to the sale by us of shares of common stock in this offering at a public offering price of $1.20 per share, and after deducting the underwriting discount and estimated offering expenses payable by us, our as adjusted net tangible book value as of June 30, 2019 would have been approximately $8.9 million, or approximately $0.21 per share. This amount represents an immediate increase in net tangible book value of $0.32 per share to existing stockholders and an immediate dilution in net tangible book value of $0.99 per share to purchasers of our common stock in this offering.</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The following table illustrates the dilution in net tangible book value per share to new investors: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6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Net tangible book value per share as of June 30, 2019</w:t>
            </w:r>
          </w:p>
        </w:tc>
        <w:tc>
          <w:tcPr>
            <w:tcW w:w="1580" w:type="dxa"/>
            <w:vAlign w:val="bottom"/>
            <w:gridSpan w:val="3"/>
          </w:tcPr>
          <w:p>
            <w:pPr>
              <w:ind w:left="740"/>
              <w:spacing w:after="0"/>
              <w:rPr>
                <w:sz w:val="20"/>
                <w:szCs w:val="20"/>
                <w:color w:val="auto"/>
              </w:rPr>
            </w:pPr>
            <w:r>
              <w:rPr>
                <w:rFonts w:ascii="Arial" w:cs="Arial" w:eastAsia="Arial" w:hAnsi="Arial"/>
                <w:sz w:val="18"/>
                <w:szCs w:val="18"/>
                <w:color w:val="auto"/>
              </w:rPr>
              <w:t>$(0.12)</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net tangible book value per share after this offering</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1"/>
              </w:rPr>
              <w:t>$ 0.32</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ind w:left="1320"/>
              <w:spacing w:after="0"/>
              <w:rPr>
                <w:sz w:val="20"/>
                <w:szCs w:val="20"/>
                <w:color w:val="auto"/>
              </w:rPr>
            </w:pPr>
            <w:r>
              <w:rPr>
                <w:rFonts w:ascii="Arial" w:cs="Arial" w:eastAsia="Arial" w:hAnsi="Arial"/>
                <w:sz w:val="18"/>
                <w:szCs w:val="18"/>
                <w:color w:val="auto"/>
              </w:rPr>
              <w:t>Net tangible book value per share after this offering</w:t>
            </w:r>
          </w:p>
        </w:tc>
        <w:tc>
          <w:tcPr>
            <w:tcW w:w="7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2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If the underwriter exercises its option to purchase additional shares of common stock in full at the public offering price of $1.20 per share, the pro forma net tangible book value, as adjusted, after this offering would be $0.24 per share of our common stock, representing an increase of pro forma net tangible book value, as adjusted, of $0.36 per share to our existing stockholders and an immediate dilution of $0.96 per share to new investors purchasing shares in this offering.</w:t>
      </w:r>
    </w:p>
    <w:p>
      <w:pPr>
        <w:spacing w:after="0" w:line="187"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foregoing discussion and table do not take into account further dilution to new investors that could occur upon the exercise of outstanding options or warrants having a per share exercise price less than the public offering price in this offering. To the extent that we raise additional capital through the sale of equity or convertible debt securities, the issuance of those securities could result in further dilution to our stockholders.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number of shares of our common stock that will be outstanding immediately after the offering is based on 31,793,292 shares outstanding as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2019 and excludes:</w:t>
      </w:r>
    </w:p>
    <w:p>
      <w:pPr>
        <w:spacing w:after="0" w:line="116" w:lineRule="exact"/>
        <w:rPr>
          <w:sz w:val="20"/>
          <w:szCs w:val="20"/>
          <w:color w:val="auto"/>
        </w:rPr>
      </w:pPr>
    </w:p>
    <w:p>
      <w:pPr>
        <w:ind w:left="640" w:right="220" w:hanging="328"/>
        <w:spacing w:after="0" w:line="27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2,196,278 shares of common stock issuable upon the exercise of stock options as of June 30, 2019 at a weighted average exercise price of $4.93 per share;</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7,845,978 shares of common stock issuable upon exercise of outstanding warrants, with a weighted average exercise price of $5.48 per share; and</w:t>
      </w:r>
    </w:p>
    <w:p>
      <w:pPr>
        <w:spacing w:after="0" w:line="153" w:lineRule="exact"/>
        <w:rPr>
          <w:rFonts w:ascii="Arial" w:cs="Arial" w:eastAsia="Arial" w:hAnsi="Arial"/>
          <w:sz w:val="16"/>
          <w:szCs w:val="16"/>
          <w:color w:val="auto"/>
        </w:rPr>
      </w:pPr>
    </w:p>
    <w:p>
      <w:pPr>
        <w:ind w:left="640" w:hanging="32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845,578 shares of common stock reserved for future issuance under our 2014 Equity Incentive Plan as of June 30,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material terms and provisions of our common stock are described under the caption “</w:t>
      </w:r>
      <w:r>
        <w:rPr>
          <w:rFonts w:ascii="Arial" w:cs="Arial" w:eastAsia="Arial" w:hAnsi="Arial"/>
          <w:sz w:val="18"/>
          <w:szCs w:val="18"/>
          <w:i w:val="1"/>
          <w:iCs w:val="1"/>
          <w:color w:val="auto"/>
        </w:rPr>
        <w:t>Description of our Capital Stock</w:t>
      </w:r>
      <w:r>
        <w:rPr>
          <w:rFonts w:ascii="Arial" w:cs="Arial" w:eastAsia="Arial" w:hAnsi="Arial"/>
          <w:sz w:val="18"/>
          <w:szCs w:val="18"/>
          <w:color w:val="auto"/>
        </w:rPr>
        <w:t>” in the accompanying prospectus beginning on page 8. As of June 30, 2019, we had 31,793,292 shares of our common stock outstanding. Our common stock is listed on the Nasdaq Capital Market under the symbol “SLNO”.</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000"/>
          </w:cols>
          <w:pgMar w:left="240" w:top="459" w:right="6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entered into an underwriting agreement dated October 23, 2019 with the underwriter named below.</w:t>
      </w:r>
    </w:p>
    <w:p>
      <w:pPr>
        <w:spacing w:after="0" w:line="225"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The underwriting agreement provides for the purchase of a specific number of shares of common stock by the underwriter. Subject to the terms and conditions of the underwriting agreement, the underwriter has agreed to purchase the number of shares of common stock set forth opposite its name below:</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040" w:type="dxa"/>
            <w:vAlign w:val="bottom"/>
          </w:tcPr>
          <w:p>
            <w:pPr>
              <w:jc w:val="right"/>
              <w:ind w:right="76"/>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3040" w:type="dxa"/>
            <w:vAlign w:val="bottom"/>
          </w:tcPr>
          <w:p>
            <w:pPr>
              <w:jc w:val="right"/>
              <w:ind w:right="196"/>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9,212,501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Roth Capital Partners, LLC</w:t>
            </w:r>
          </w:p>
        </w:tc>
        <w:tc>
          <w:tcPr>
            <w:tcW w:w="3040" w:type="dxa"/>
            <w:vAlign w:val="bottom"/>
          </w:tcPr>
          <w:p>
            <w:pPr>
              <w:jc w:val="right"/>
              <w:spacing w:after="0"/>
              <w:rPr>
                <w:sz w:val="20"/>
                <w:szCs w:val="20"/>
                <w:color w:val="auto"/>
              </w:rPr>
            </w:pPr>
            <w:r>
              <w:rPr>
                <w:rFonts w:ascii="Arial" w:cs="Arial" w:eastAsia="Arial" w:hAnsi="Arial"/>
                <w:sz w:val="18"/>
                <w:szCs w:val="18"/>
                <w:color w:val="auto"/>
              </w:rPr>
              <w:t>977,083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Laidlaw &amp; Company (UK) Ltd.</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977,083</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Total</w:t>
            </w:r>
          </w:p>
        </w:tc>
        <w:tc>
          <w:tcPr>
            <w:tcW w:w="3040" w:type="dxa"/>
            <w:vAlign w:val="bottom"/>
          </w:tcPr>
          <w:p>
            <w:pPr>
              <w:jc w:val="right"/>
              <w:spacing w:after="0"/>
              <w:rPr>
                <w:sz w:val="20"/>
                <w:szCs w:val="20"/>
                <w:color w:val="auto"/>
              </w:rPr>
            </w:pPr>
            <w:r>
              <w:rPr>
                <w:rFonts w:ascii="Arial" w:cs="Arial" w:eastAsia="Arial" w:hAnsi="Arial"/>
                <w:sz w:val="18"/>
                <w:szCs w:val="18"/>
                <w:color w:val="auto"/>
              </w:rPr>
              <w:t>11,166,667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The underwriter has agreed to purchase all of the shares offered by this prospectus supplement if any are purchased. Under the underwriting agreement, if an underwriter defaults in its commitment to purchase shares, the underwriting agreement may be terminated, depending on the circumstances.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shares should be ready for delivery on or about October 25, 2019 against payment in immediately available funds.</w:t>
      </w:r>
    </w:p>
    <w:p>
      <w:pPr>
        <w:spacing w:after="0" w:line="225"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We have granted to the underwriter an option to purchase up to an additional 1,675,000 shares of common stock (up to 15% of the shares of common stock in this offering) at the public offering price, less the underwriting discount. The option is exercisable for 30 days from the date of this prospectus supplement.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of 1933, as amended.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Underwriting Discount and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regarding the amount of the underwriting discount to be paid to the underwriter by us.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60" w:type="dxa"/>
            <w:vAlign w:val="bottom"/>
            <w:gridSpan w:val="3"/>
          </w:tcPr>
          <w:p>
            <w:pPr>
              <w:ind w:left="1440"/>
              <w:spacing w:after="0"/>
              <w:rPr>
                <w:sz w:val="20"/>
                <w:szCs w:val="20"/>
                <w:color w:val="auto"/>
              </w:rPr>
            </w:pPr>
            <w:r>
              <w:rPr>
                <w:rFonts w:ascii="Arial" w:cs="Arial" w:eastAsia="Arial" w:hAnsi="Arial"/>
                <w:sz w:val="14"/>
                <w:szCs w:val="14"/>
                <w:b w:val="1"/>
                <w:bCs w:val="1"/>
                <w:color w:val="auto"/>
                <w:w w:val="91"/>
              </w:rPr>
              <w:t>Per Share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13,400,000.40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Underwriting discounts and commissions (1)</w:t>
            </w:r>
          </w:p>
        </w:tc>
        <w:tc>
          <w:tcPr>
            <w:tcW w:w="16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670,000.02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12,730,000.38</w:t>
            </w:r>
          </w:p>
        </w:tc>
        <w:tc>
          <w:tcPr>
            <w:tcW w:w="4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40" w:right="80" w:hanging="436"/>
        <w:spacing w:after="0" w:line="291" w:lineRule="auto"/>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have agreed to pay to the underwriter an underwriting discount equal to 5.0% of the aggregate gross proceeds to us from the sale of the shares in the offering, subject to certain exceptions. In addition, we have agreed to reimburse the underwriter for offering expenses, including legal fees</w:t>
      </w:r>
    </w:p>
    <w:p>
      <w:pPr>
        <w:ind w:left="640"/>
        <w:spacing w:after="0"/>
        <w:rPr>
          <w:sz w:val="20"/>
          <w:szCs w:val="20"/>
          <w:color w:val="auto"/>
        </w:rPr>
      </w:pPr>
      <w:r>
        <w:rPr>
          <w:rFonts w:ascii="Arial" w:cs="Arial" w:eastAsia="Arial" w:hAnsi="Arial"/>
          <w:sz w:val="17"/>
          <w:szCs w:val="17"/>
          <w:color w:val="auto"/>
        </w:rPr>
        <w:t>and expenses, up to $100,000, subject to compliance with FINRA Rule 5110(f)(2)(D)(i). We estimate that our total expenses of the offering,</w:t>
      </w:r>
    </w:p>
    <w:p>
      <w:pPr>
        <w:spacing w:after="0" w:line="21" w:lineRule="exact"/>
        <w:rPr>
          <w:sz w:val="20"/>
          <w:szCs w:val="20"/>
          <w:color w:val="auto"/>
        </w:rPr>
      </w:pPr>
    </w:p>
    <w:p>
      <w:pPr>
        <w:ind w:left="640"/>
        <w:spacing w:after="0"/>
        <w:tabs>
          <w:tab w:leader="none" w:pos="5800" w:val="left"/>
        </w:tabs>
        <w:rPr>
          <w:sz w:val="20"/>
          <w:szCs w:val="20"/>
          <w:color w:val="auto"/>
        </w:rPr>
      </w:pPr>
      <w:r>
        <w:rPr>
          <w:rFonts w:ascii="Arial" w:cs="Arial" w:eastAsia="Arial" w:hAnsi="Arial"/>
          <w:sz w:val="18"/>
          <w:szCs w:val="18"/>
          <w:color w:val="auto"/>
        </w:rPr>
        <w:t>excluding the underwriting discount, will be approximately $</w:t>
      </w:r>
      <w:r>
        <w:rPr>
          <w:sz w:val="20"/>
          <w:szCs w:val="20"/>
          <w:color w:val="auto"/>
        </w:rPr>
        <w:tab/>
      </w:r>
      <w:r>
        <w:rPr>
          <w:rFonts w:ascii="Arial" w:cs="Arial" w:eastAsia="Arial" w:hAnsi="Arial"/>
          <w:sz w:val="14"/>
          <w:szCs w:val="14"/>
          <w:color w:val="auto"/>
        </w:rPr>
        <w: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We, our officers and directors have agreed to a 90 day “lock up” with respect to shares of common stock and other of our securities that they beneficially own, including securities that are convertible into shares of common stock and securities that are exchangeable or exercisable for shares of common stock. This means that, subject to certain exceptions, for a period of 90 days following the date of this prospectus supplement, we and such persons may not offer, sell, pledge or otherwise dispose of these securities without the prior written consent of Oppenheimer &amp; Co. Inc.</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offering price for the shares has been determined by us and the underwriter, based on the following factors:</w:t>
      </w:r>
    </w:p>
    <w:p>
      <w:pPr>
        <w:spacing w:after="0" w:line="131" w:lineRule="exact"/>
        <w:rPr>
          <w:sz w:val="20"/>
          <w:szCs w:val="20"/>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past and present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historical results of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prospects for future business and earning potential;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management;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recent market prices of securities of generally comparable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market capitalization and stages of development of other companies which we and the underwriter believe to be comparable to us; and</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factors deemed to be relevant.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Stabilization</w:t>
      </w:r>
    </w:p>
    <w:p>
      <w:pPr>
        <w:spacing w:after="0" w:line="12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Rules of the SEC may limit the ability of the underwriter to bid for or purchase shares before the distribution of the shares is completed. However, the underwriter may engage in the following activities in accordance with the rules:</w:t>
      </w:r>
    </w:p>
    <w:p>
      <w:pPr>
        <w:spacing w:after="0" w:line="76" w:lineRule="exact"/>
        <w:rPr>
          <w:sz w:val="20"/>
          <w:szCs w:val="20"/>
          <w:color w:val="auto"/>
        </w:rPr>
      </w:pPr>
    </w:p>
    <w:p>
      <w:pPr>
        <w:ind w:left="1180" w:right="220" w:hanging="43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Stabilizing transactions – The underwriter may make bids or purchases for the purpose of pegging, fixing or maintaining the price of the shares, so long as stabilizing bids do not exceed a specified maximum.</w:t>
      </w:r>
    </w:p>
    <w:p>
      <w:pPr>
        <w:spacing w:after="0" w:line="75" w:lineRule="exact"/>
        <w:rPr>
          <w:rFonts w:ascii="Arial" w:cs="Arial" w:eastAsia="Arial" w:hAnsi="Arial"/>
          <w:sz w:val="18"/>
          <w:szCs w:val="18"/>
          <w:color w:val="auto"/>
        </w:rPr>
      </w:pPr>
    </w:p>
    <w:p>
      <w:pPr>
        <w:ind w:left="1180" w:right="60" w:hanging="436"/>
        <w:spacing w:after="0" w:line="25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Syndicate covering transactions – The underwriter may sell more shares of our common stock in connection with this offering than the number of shares than it has committed to purchase. This overallotment creates a naked short position for the underwriter. The underwriter must close out any naked short position by purchasing shares in the open market. A naked short position is more likely to be created if the underwriter is concerned that, in the open market after pricing, there may be downward pressure on the price of the shares that could adversely affect investors who purchase shares in this offering.</w:t>
      </w:r>
    </w:p>
    <w:p>
      <w:pPr>
        <w:spacing w:after="0" w:line="93"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Penalty bids – If the underwriter purchases shares in the open market in a stabilizing transaction or syndicate covering transaction, it may reclaim a selling concession from selling group members who sold those shares as part of this offering.</w:t>
      </w:r>
    </w:p>
    <w:p>
      <w:pPr>
        <w:spacing w:after="0" w:line="17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or to stabilize the market price of our common stock may have the effect of raising or maintaining the market price of our common stock or preventing or mitigating a decline in the market price of our common stock. As a result, the price of the shares of our common stock may be higher than the price that might otherwise exist in the open market. The imposition of a penalty bid might also have an effect on the price of the shares if it discourages resales of the shares.</w:t>
      </w:r>
    </w:p>
    <w:p>
      <w:pPr>
        <w:spacing w:after="0" w:line="17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Neither we nor the underwriter makes any representation or prediction as to the effect that the transactions described above may have on the price of the shares. These transactions may occur on the Nasdaq Capital Market or otherwise. If such transactions are commenced, they may be discontinued without notice at any time.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 of Prospectus Supplement</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A prospectus supplement in electronic format may be delivered to potential investors by the underwriter participating in this offering. The prospectus supplement in electronic format will be identical to the paper version of such prospectus supplement. Other than the prospectus supplement in electronic format, the information on any underwriter’s web site and any information contained in any other web site maintained by an underwriter is not part of the prospectus supplement or the registration statement of which this prospectus supplement forms a part.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TO INVESTORS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BELGIUM</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offering is exclusively conducted under applicable private placement exemptions and therefore it has not been and will not be notified to, and this document or any other offering material relating to the shares of common stock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18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Each underwriter has undertaken not to offer sell, resell, transfer or deliver directly or indirectly, any shares of common stock, or to take any steps relating/ancillary thereto, and not to distribute or publish this document or any other material relating to the shares of common stock or to the offering in a manner which would be construed as: (a) a public offering under the Belgian Royal Decree of 7 July 1999 on the public character of financial transactions; or (b) an offering of shares of common stock to the public under Directive 2003/71/EC which triggers an obligation to publish a prospectus supplement in Belgium. Any action contrary to these restrictions will cause the recipient and the issuer to be in violation of the Belgian securities laws.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CHANNEL ISLANDS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JERSEY</w:t>
      </w:r>
    </w:p>
    <w:p>
      <w:pPr>
        <w:spacing w:after="0" w:line="12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No regulatory consent or approval has been sought in respect of the offering in Jersey and it must be distinctly understood that the Jersey Financial Services Commission is not responsible for the financial soundness of the issuer or the correctness of any statements made or opinions expressed in connection with the issuer. The offer of shares of common stock is personal to the person to whom this prospectus supplement is being delivered, and an application for the shares of common stock will only be accepted from such person. This prospectus supplement is being issued to persons in Jersey in reliance on the Financial Services (Investment Business (Overseas Persons—Exemption)) (Jersey) Order 2001 and accordingly the provisions of the Financial Services (Jersey) Law 1998 do not apply to Oppenheimer &amp; Co. Inc. or any other persons who, in connection with this offer, are dealing with or carrying on other specified investment business with persons in Jersey.</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GUERNSEY </w:t>
      </w:r>
      <w:r>
        <w:rPr>
          <w:rFonts w:ascii="Arial" w:cs="Arial" w:eastAsia="Arial" w:hAnsi="Arial"/>
          <w:sz w:val="18"/>
          <w:szCs w:val="18"/>
          <w:i w:val="1"/>
          <w:iCs w:val="1"/>
          <w:color w:val="auto"/>
        </w:rPr>
        <w:t>(</w:t>
      </w:r>
      <w:r>
        <w:rPr>
          <w:rFonts w:ascii="Arial" w:cs="Arial" w:eastAsia="Arial" w:hAnsi="Arial"/>
          <w:sz w:val="18"/>
          <w:szCs w:val="18"/>
          <w:color w:val="auto"/>
        </w:rPr>
        <w:t>including the islands of Alderney and Sark)</w:t>
      </w:r>
    </w:p>
    <w:p>
      <w:pPr>
        <w:spacing w:after="0" w:line="22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This prospectus supplement relates to a private placement and does not constitute an offer to the public in Guernsey to subscribe for the shares of common stock offered hereby. No regulatory consent or approval has been sought in respect of the offering in Guernsey and it must be distinctly understood that the Guernsey Financial Services Commission is not responsible for the financial soundness of the issuer or the correctness of any statements made or opinions expressed in connection with the issuer. The offer of shares of common stock is personal to the person to whom this prospectus supplement is being delivered, and an application for the shares of common stock will only be accepted from such person. The offering is only being promoted in or from within Guernsey to persons licensed under the Protection of Investors (Bailiwick of Guernsey) Law, 1987 (as amended), the Insurance Business (Guernsey) Law, 1986 (as amended), the Banking Supervision (Bailiwick of Guernsey) Law, 1994 or the Regulation of Fiduciaries, Administration Businesses and Company Directors, etc. (Bailiwick of Guernsey) Law, 2000.</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FRANCE</w:t>
      </w:r>
    </w:p>
    <w:p>
      <w:pPr>
        <w:spacing w:after="0" w:line="117" w:lineRule="exact"/>
        <w:rPr>
          <w:sz w:val="20"/>
          <w:szCs w:val="20"/>
          <w:color w:val="auto"/>
        </w:rPr>
      </w:pPr>
    </w:p>
    <w:p>
      <w:pPr>
        <w:ind w:left="200" w:right="40"/>
        <w:spacing w:after="0" w:line="285"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shares of common stock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in France. The shares of common stock have not been offered or sold and will not be offered or sold, directly or indirectly, to the public in France. Neither this prospectus supplement nor any other offering material relating to the shares of common stock has been or will be: (a) released, issued, distributed or caused to be released, issued or distributed to the public in France; or (b) used in connection with any offer for subscription or sale of the shares of common stock to the public in France. Such offers, sales and distributions will be made in France only:</w:t>
      </w:r>
    </w:p>
    <w:p>
      <w:pPr>
        <w:spacing w:after="0" w:line="2" w:lineRule="exact"/>
        <w:rPr>
          <w:sz w:val="20"/>
          <w:szCs w:val="20"/>
          <w:color w:val="auto"/>
        </w:rPr>
      </w:pPr>
    </w:p>
    <w:p>
      <w:pPr>
        <w:ind w:left="200" w:right="20" w:firstLine="4"/>
        <w:spacing w:after="0" w:line="252" w:lineRule="auto"/>
        <w:tabs>
          <w:tab w:leader="none" w:pos="4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 (ii) to investment services providers authorised to engage in portfolio management on behalf of third parties; or (iii) in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transaction that, in accordance with article L.411-2-II-1°-or-2°-or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 public àl’épargne</w:t>
      </w:r>
      <w:r>
        <w:rPr>
          <w:rFonts w:ascii="Arial" w:cs="Arial" w:eastAsia="Arial" w:hAnsi="Arial"/>
          <w:sz w:val="18"/>
          <w:szCs w:val="18"/>
          <w:color w:val="auto"/>
        </w:rPr>
        <w:t xml:space="preserve">). Such shares of common stock may be resold only in compliance with Articles L.411-1, L.411-2, L.412-1 and L.621-8 through L.621-8-3 of the French </w:t>
      </w:r>
      <w:r>
        <w:rPr>
          <w:rFonts w:ascii="Arial" w:cs="Arial" w:eastAsia="Arial" w:hAnsi="Arial"/>
          <w:sz w:val="18"/>
          <w:szCs w:val="18"/>
          <w:i w:val="1"/>
          <w:iCs w:val="1"/>
          <w:color w:val="auto"/>
        </w:rPr>
        <w:t>Code monétaire</w:t>
      </w:r>
      <w:r>
        <w:rPr>
          <w:rFonts w:ascii="Arial" w:cs="Arial" w:eastAsia="Arial" w:hAnsi="Arial"/>
          <w:sz w:val="18"/>
          <w:szCs w:val="18"/>
          <w:color w:val="auto"/>
        </w:rPr>
        <w:t xml:space="preserve"> </w:t>
      </w:r>
      <w:r>
        <w:rPr>
          <w:rFonts w:ascii="Arial" w:cs="Arial" w:eastAsia="Arial" w:hAnsi="Arial"/>
          <w:sz w:val="18"/>
          <w:szCs w:val="18"/>
          <w:i w:val="1"/>
          <w:iCs w:val="1"/>
          <w:color w:val="auto"/>
        </w:rPr>
        <w:t>et financier</w:t>
      </w:r>
      <w:r>
        <w:rPr>
          <w:rFonts w:ascii="Arial" w:cs="Arial" w:eastAsia="Arial" w:hAnsi="Arial"/>
          <w:sz w:val="18"/>
          <w:szCs w:val="18"/>
          <w:color w:val="auto"/>
        </w:rPr>
        <w: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underwriter has represented, warranted and agreed that: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640" w:right="20"/>
        <w:spacing w:after="0" w:line="302" w:lineRule="auto"/>
        <w:rPr>
          <w:sz w:val="20"/>
          <w:szCs w:val="20"/>
          <w:color w:val="auto"/>
        </w:rPr>
      </w:pPr>
      <w:r>
        <w:rPr>
          <w:rFonts w:ascii="Arial" w:cs="Arial" w:eastAsia="Arial" w:hAnsi="Arial"/>
          <w:sz w:val="16"/>
          <w:szCs w:val="16"/>
          <w:color w:val="auto"/>
        </w:rPr>
        <w:t>it has only communicated or caused to be communicated and will only communicate or cause to be communicated any invitation or inducement to engage in investment activity (within the meaning of section 21 of the Financial Services and Markets Act 2000 (the “</w:t>
      </w:r>
      <w:r>
        <w:rPr>
          <w:rFonts w:ascii="Arial" w:cs="Arial" w:eastAsia="Arial" w:hAnsi="Arial"/>
          <w:sz w:val="16"/>
          <w:szCs w:val="16"/>
          <w:i w:val="1"/>
          <w:iCs w:val="1"/>
          <w:color w:val="auto"/>
        </w:rPr>
        <w:t>FSMA</w:t>
      </w:r>
      <w:r>
        <w:rPr>
          <w:rFonts w:ascii="Arial" w:cs="Arial" w:eastAsia="Arial" w:hAnsi="Arial"/>
          <w:sz w:val="16"/>
          <w:szCs w:val="16"/>
          <w:color w:val="auto"/>
        </w:rPr>
        <w:t>”)) received by it in connection with the issue or sale of any securities in circumstances in which section 21(1) of the FSMA does not apply to the Company; and</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w:t>
      </w:r>
    </w:p>
    <w:p>
      <w:pPr>
        <w:spacing w:after="0" w:line="23" w:lineRule="exact"/>
        <w:rPr>
          <w:sz w:val="20"/>
          <w:szCs w:val="20"/>
          <w:color w:val="auto"/>
        </w:rPr>
      </w:pPr>
    </w:p>
    <w:p>
      <w:pPr>
        <w:ind w:left="640"/>
        <w:spacing w:after="0" w:line="261" w:lineRule="auto"/>
        <w:rPr>
          <w:sz w:val="20"/>
          <w:szCs w:val="20"/>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w:t>
      </w:r>
      <w:r>
        <w:rPr>
          <w:rFonts w:ascii="Arial" w:cs="Arial" w:eastAsia="Arial" w:hAnsi="Arial"/>
          <w:sz w:val="17"/>
          <w:szCs w:val="17"/>
          <w:i w:val="1"/>
          <w:iCs w:val="1"/>
          <w:color w:val="auto"/>
        </w:rPr>
        <w:t>Relevant Member State</w:t>
      </w:r>
      <w:r>
        <w:rPr>
          <w:rFonts w:ascii="Arial" w:cs="Arial" w:eastAsia="Arial" w:hAnsi="Arial"/>
          <w:sz w:val="17"/>
          <w:szCs w:val="17"/>
          <w:color w:val="auto"/>
        </w:rPr>
        <w:t>”) an offer to the public of any securities which are the subject of the offering contemplated by this prospectus supplement may not be made in that Relevant Member State other than the offers contemplated in this prospectus supplement in name(s) of Member State(s) where prospectus supplement will be approved or passported for the purposes of a non-exempt offer once this prospectus supplement has been approved by the competent authority in such Member State and published and passported in accordance with the Prospectus Directive as implemented in name(s) of relevant Member State(s) except that an offer to the public in that Relevant Member State of any securities may be made at any time under the following exemptions under the Prospectus Directive, if they have been implemented in that Relevant Member State:</w:t>
      </w:r>
    </w:p>
    <w:p>
      <w:pPr>
        <w:spacing w:after="0" w:line="70" w:lineRule="exact"/>
        <w:rPr>
          <w:sz w:val="20"/>
          <w:szCs w:val="20"/>
          <w:color w:val="auto"/>
        </w:rPr>
      </w:pPr>
    </w:p>
    <w:p>
      <w:pPr>
        <w:ind w:left="640" w:right="420" w:firstLine="4"/>
        <w:spacing w:after="0" w:line="277" w:lineRule="auto"/>
        <w:tabs>
          <w:tab w:leader="none" w:pos="8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62" w:lineRule="exact"/>
        <w:rPr>
          <w:rFonts w:ascii="Arial" w:cs="Arial" w:eastAsia="Arial" w:hAnsi="Arial"/>
          <w:sz w:val="18"/>
          <w:szCs w:val="18"/>
          <w:color w:val="auto"/>
        </w:rPr>
      </w:pPr>
    </w:p>
    <w:p>
      <w:pPr>
        <w:ind w:left="640" w:right="80" w:firstLine="4"/>
        <w:spacing w:after="0" w:line="342" w:lineRule="auto"/>
        <w:tabs>
          <w:tab w:leader="none" w:pos="8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5" w:lineRule="exact"/>
        <w:rPr>
          <w:rFonts w:ascii="Arial" w:cs="Arial" w:eastAsia="Arial" w:hAnsi="Arial"/>
          <w:sz w:val="16"/>
          <w:szCs w:val="16"/>
          <w:color w:val="auto"/>
        </w:rPr>
      </w:pPr>
    </w:p>
    <w:p>
      <w:pPr>
        <w:ind w:left="640" w:right="160" w:firstLine="4"/>
        <w:spacing w:after="0" w:line="277" w:lineRule="auto"/>
        <w:tabs>
          <w:tab w:leader="none" w:pos="8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the representative to fewer than 100 natural or legal persons (other than qualified investors as defined in the Prospectus Directive (defined below)); or</w:t>
      </w:r>
    </w:p>
    <w:p>
      <w:pPr>
        <w:spacing w:after="0" w:line="62" w:lineRule="exact"/>
        <w:rPr>
          <w:rFonts w:ascii="Arial" w:cs="Arial" w:eastAsia="Arial" w:hAnsi="Arial"/>
          <w:sz w:val="18"/>
          <w:szCs w:val="18"/>
          <w:color w:val="auto"/>
        </w:rPr>
      </w:pPr>
    </w:p>
    <w:p>
      <w:pPr>
        <w:ind w:left="640" w:right="400" w:firstLine="4"/>
        <w:spacing w:after="0" w:line="342" w:lineRule="auto"/>
        <w:tabs>
          <w:tab w:leader="none" w:pos="8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securities shall result in a requirement for the publication by the Company or any underwriter of a prospectus pursuant to Article 3 of the Prospectus Directive.</w:t>
      </w:r>
    </w:p>
    <w:p>
      <w:pPr>
        <w:spacing w:after="0" w:line="124"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 xml:space="preserve">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w:t>
      </w:r>
      <w:r>
        <w:rPr>
          <w:rFonts w:ascii="Arial" w:cs="Arial" w:eastAsia="Arial" w:hAnsi="Arial"/>
          <w:sz w:val="18"/>
          <w:szCs w:val="18"/>
          <w:i w:val="1"/>
          <w:iCs w:val="1"/>
          <w:color w:val="auto"/>
        </w:rPr>
        <w:t>“Prospectus Directive”</w:t>
      </w:r>
      <w:r>
        <w:rPr>
          <w:rFonts w:ascii="Arial" w:cs="Arial" w:eastAsia="Arial" w:hAnsi="Arial"/>
          <w:sz w:val="18"/>
          <w:szCs w:val="18"/>
          <w:color w:val="auto"/>
        </w:rPr>
        <w:t xml:space="preserve"> in that Member State and the expression “Prospectus Directive” means Directive 2003/71/EC and includes any relevant implementing measure in each Relevant Member State.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State of Israel, the shares of common stock offered hereby may not be offered to any person or entity other than the following:</w:t>
      </w:r>
    </w:p>
    <w:p>
      <w:pPr>
        <w:spacing w:after="0" w:line="117" w:lineRule="exact"/>
        <w:rPr>
          <w:sz w:val="20"/>
          <w:szCs w:val="20"/>
          <w:color w:val="auto"/>
        </w:rPr>
      </w:pPr>
    </w:p>
    <w:p>
      <w:pPr>
        <w:ind w:left="640" w:right="480" w:firstLine="4"/>
        <w:spacing w:after="0" w:line="277" w:lineRule="auto"/>
        <w:tabs>
          <w:tab w:leader="none" w:pos="8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62" w:lineRule="exact"/>
        <w:rPr>
          <w:rFonts w:ascii="Arial" w:cs="Arial" w:eastAsia="Arial" w:hAnsi="Arial"/>
          <w:sz w:val="18"/>
          <w:szCs w:val="18"/>
          <w:color w:val="auto"/>
        </w:rPr>
      </w:pPr>
    </w:p>
    <w:p>
      <w:pPr>
        <w:ind w:left="900" w:hanging="25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provident fund as defined in Section 47(a)(2) of the Income Tax Ordinance of the State of Israel, or a management company of such a fund;</w:t>
      </w:r>
    </w:p>
    <w:p>
      <w:pPr>
        <w:spacing w:after="0" w:line="140" w:lineRule="exact"/>
        <w:rPr>
          <w:rFonts w:ascii="Arial" w:cs="Arial" w:eastAsia="Arial" w:hAnsi="Arial"/>
          <w:sz w:val="16"/>
          <w:szCs w:val="16"/>
          <w:color w:val="auto"/>
        </w:rPr>
      </w:pPr>
    </w:p>
    <w:p>
      <w:pPr>
        <w:ind w:left="640" w:right="140" w:firstLine="4"/>
        <w:spacing w:after="0" w:line="264" w:lineRule="auto"/>
        <w:tabs>
          <w:tab w:leader="none" w:pos="8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 (d)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73" w:lineRule="exact"/>
        <w:rPr>
          <w:rFonts w:ascii="Arial" w:cs="Arial" w:eastAsia="Arial" w:hAnsi="Arial"/>
          <w:sz w:val="18"/>
          <w:szCs w:val="18"/>
          <w:color w:val="auto"/>
        </w:rPr>
      </w:pPr>
    </w:p>
    <w:p>
      <w:pPr>
        <w:ind w:left="640" w:firstLine="4"/>
        <w:spacing w:after="0" w:line="264" w:lineRule="auto"/>
        <w:tabs>
          <w:tab w:leader="none" w:pos="8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73" w:lineRule="exact"/>
        <w:rPr>
          <w:rFonts w:ascii="Arial" w:cs="Arial" w:eastAsia="Arial" w:hAnsi="Arial"/>
          <w:sz w:val="18"/>
          <w:szCs w:val="18"/>
          <w:color w:val="auto"/>
        </w:rPr>
      </w:pPr>
    </w:p>
    <w:p>
      <w:pPr>
        <w:ind w:left="640" w:right="560" w:firstLine="4"/>
        <w:spacing w:after="0" w:line="277" w:lineRule="auto"/>
        <w:tabs>
          <w:tab w:leader="none" w:pos="8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62" w:lineRule="exact"/>
        <w:rPr>
          <w:rFonts w:ascii="Arial" w:cs="Arial" w:eastAsia="Arial" w:hAnsi="Arial"/>
          <w:sz w:val="18"/>
          <w:szCs w:val="18"/>
          <w:color w:val="auto"/>
        </w:rPr>
      </w:pPr>
    </w:p>
    <w:p>
      <w:pPr>
        <w:ind w:left="640" w:right="420" w:firstLine="4"/>
        <w:spacing w:after="0" w:line="277" w:lineRule="auto"/>
        <w:tabs>
          <w:tab w:leader="none" w:pos="8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company that is a member of the Tel Aviv Stock Exchange, acting on its own account or for the account of investors of the type listed in Section 15A(b) of the Securities Law 1968;</w:t>
      </w:r>
    </w:p>
    <w:p>
      <w:pPr>
        <w:spacing w:after="0" w:line="62" w:lineRule="exact"/>
        <w:rPr>
          <w:rFonts w:ascii="Arial" w:cs="Arial" w:eastAsia="Arial" w:hAnsi="Arial"/>
          <w:sz w:val="18"/>
          <w:szCs w:val="18"/>
          <w:color w:val="auto"/>
        </w:rPr>
      </w:pPr>
    </w:p>
    <w:p>
      <w:pPr>
        <w:ind w:left="900" w:hanging="25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w:t>
      </w:r>
    </w:p>
    <w:p>
      <w:pPr>
        <w:spacing w:after="0" w:line="117" w:lineRule="exact"/>
        <w:rPr>
          <w:rFonts w:ascii="Arial" w:cs="Arial" w:eastAsia="Arial" w:hAnsi="Arial"/>
          <w:sz w:val="18"/>
          <w:szCs w:val="18"/>
          <w:color w:val="auto"/>
        </w:rPr>
      </w:pPr>
    </w:p>
    <w:p>
      <w:pPr>
        <w:ind w:left="640" w:right="160" w:firstLine="4"/>
        <w:spacing w:after="0" w:line="342" w:lineRule="auto"/>
        <w:tabs>
          <w:tab w:leader="none" w:pos="8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5" w:lineRule="exact"/>
        <w:rPr>
          <w:rFonts w:ascii="Arial" w:cs="Arial" w:eastAsia="Arial" w:hAnsi="Arial"/>
          <w:sz w:val="16"/>
          <w:szCs w:val="16"/>
          <w:color w:val="auto"/>
        </w:rPr>
      </w:pPr>
    </w:p>
    <w:p>
      <w:pPr>
        <w:ind w:left="860" w:hanging="216"/>
        <w:spacing w:after="0"/>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entity primarily engaged in capital markets activities in which all of the equity owners meet one or more of the above criteria; and</w:t>
      </w:r>
    </w:p>
    <w:p>
      <w:pPr>
        <w:spacing w:after="0" w:line="128" w:lineRule="exact"/>
        <w:rPr>
          <w:rFonts w:ascii="Arial" w:cs="Arial" w:eastAsia="Arial" w:hAnsi="Arial"/>
          <w:sz w:val="17"/>
          <w:szCs w:val="17"/>
          <w:color w:val="auto"/>
        </w:rPr>
      </w:pPr>
    </w:p>
    <w:p>
      <w:pPr>
        <w:jc w:val="both"/>
        <w:ind w:left="640" w:right="200" w:firstLine="4"/>
        <w:spacing w:after="0" w:line="286" w:lineRule="auto"/>
        <w:tabs>
          <w:tab w:leader="none" w:pos="8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entity, other than an entity formed for the purpose of purchasing shares of common stock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250 million.</w:t>
      </w:r>
    </w:p>
    <w:p>
      <w:pPr>
        <w:spacing w:after="0" w:line="166"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Any offeree of the shares of common stock offered hereby in the State of Israel shall be required to submit written confirmation that it falls within the scope of one of the above criteria. This prospectus supplement will not be distributed or directed to investors in the State of Israel who do not fall within one of the above criteria.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ITALY</w:t>
      </w:r>
    </w:p>
    <w:p>
      <w:pPr>
        <w:spacing w:after="0" w:line="117"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The offering of the shares of common stock offered hereby in Italy has not been registered with the Commissione Nazionale per la Società e la Borsa (“</w:t>
      </w:r>
      <w:r>
        <w:rPr>
          <w:rFonts w:ascii="Arial" w:cs="Arial" w:eastAsia="Arial" w:hAnsi="Arial"/>
          <w:sz w:val="16"/>
          <w:szCs w:val="16"/>
          <w:i w:val="1"/>
          <w:iCs w:val="1"/>
          <w:color w:val="auto"/>
        </w:rPr>
        <w:t>CONSOB</w:t>
      </w:r>
      <w:r>
        <w:rPr>
          <w:rFonts w:ascii="Arial" w:cs="Arial" w:eastAsia="Arial" w:hAnsi="Arial"/>
          <w:sz w:val="16"/>
          <w:szCs w:val="16"/>
          <w:color w:val="auto"/>
        </w:rPr>
        <w:t>”) pursuant to Italian securities legislation and, accordingly, the shares of common stock offered hereby cannot be offered, sold or delivered in the Republic of Italy (“</w:t>
      </w:r>
      <w:r>
        <w:rPr>
          <w:rFonts w:ascii="Arial" w:cs="Arial" w:eastAsia="Arial" w:hAnsi="Arial"/>
          <w:sz w:val="16"/>
          <w:szCs w:val="16"/>
          <w:i w:val="1"/>
          <w:iCs w:val="1"/>
          <w:color w:val="auto"/>
        </w:rPr>
        <w:t>Italy</w:t>
      </w:r>
      <w:r>
        <w:rPr>
          <w:rFonts w:ascii="Arial" w:cs="Arial" w:eastAsia="Arial" w:hAnsi="Arial"/>
          <w:sz w:val="16"/>
          <w:szCs w:val="16"/>
          <w:color w:val="auto"/>
        </w:rPr>
        <w:t>”) nor may any copy of this prospectus supplement or any other document relating to the shares of common stock offered hereby be distributed in Italy other than to professional investors (</w:t>
      </w:r>
      <w:r>
        <w:rPr>
          <w:rFonts w:ascii="Arial" w:cs="Arial" w:eastAsia="Arial" w:hAnsi="Arial"/>
          <w:sz w:val="16"/>
          <w:szCs w:val="16"/>
          <w:i w:val="1"/>
          <w:iCs w:val="1"/>
          <w:color w:val="auto"/>
        </w:rPr>
        <w:t>operatori qualificati</w:t>
      </w:r>
      <w:r>
        <w:rPr>
          <w:rFonts w:ascii="Arial" w:cs="Arial" w:eastAsia="Arial" w:hAnsi="Arial"/>
          <w:sz w:val="16"/>
          <w:szCs w:val="16"/>
          <w:color w:val="auto"/>
        </w:rPr>
        <w:t>) as defined in Article 31, second paragraph, of CONSOB Regulation No. 11522 of 1 July, 1998 as subsequently amended. Any offer, sale or delivery of the shares of common stock offered hereby or distribution of copies of this prospectus supplement or any other document relating to the shares of common stock offered hereby in Italy must be made:</w:t>
      </w:r>
    </w:p>
    <w:p>
      <w:pPr>
        <w:spacing w:after="0" w:line="57" w:lineRule="exact"/>
        <w:rPr>
          <w:sz w:val="20"/>
          <w:szCs w:val="20"/>
          <w:color w:val="auto"/>
        </w:rPr>
      </w:pPr>
    </w:p>
    <w:p>
      <w:pPr>
        <w:ind w:left="880" w:hanging="236"/>
        <w:spacing w:after="0"/>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by an investment firm, bank or intermediary permitted to conduct such activities in Italy in accordance with Legislative Decree No. 58 of</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24 February 1998 and Legislative Decree No. 385 of 1 September 1993 (the “</w:t>
      </w:r>
      <w:r>
        <w:rPr>
          <w:rFonts w:ascii="Arial" w:cs="Arial" w:eastAsia="Arial" w:hAnsi="Arial"/>
          <w:sz w:val="18"/>
          <w:szCs w:val="18"/>
          <w:i w:val="1"/>
          <w:iCs w:val="1"/>
          <w:color w:val="auto"/>
        </w:rPr>
        <w:t>Banking Act</w:t>
      </w: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ind w:left="900" w:hanging="25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compliance with Article 129 of the Banking Act and the implementing guidelines of the Bank of Italy; and</w:t>
      </w:r>
    </w:p>
    <w:p>
      <w:pPr>
        <w:spacing w:after="0" w:line="117" w:lineRule="exact"/>
        <w:rPr>
          <w:rFonts w:ascii="Arial" w:cs="Arial" w:eastAsia="Arial" w:hAnsi="Arial"/>
          <w:sz w:val="18"/>
          <w:szCs w:val="18"/>
          <w:color w:val="auto"/>
        </w:rPr>
      </w:pPr>
    </w:p>
    <w:p>
      <w:pPr>
        <w:ind w:left="640" w:right="140" w:firstLine="4"/>
        <w:spacing w:after="0" w:line="277" w:lineRule="auto"/>
        <w:tabs>
          <w:tab w:leader="none" w:pos="8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compliance with any other applicable laws and regulations and other possible requirements or limitations which may be imposed by Italian authorities.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SWEDEN</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This prospectus supplement has not been nor will it be registered with or approved by Finansinspektionen (the Swedish Financial Supervisory Authority). Accordingly, this prospectus supplement may not be made available, nor may the shares of common stock offered hereunder be marketed and offered for sale in Sweden, other than under circumstances which are deemed not to require a prospectus supplement under the Financial Instruments Trading Act (1991: 980). This offering will only be made to qualified investors in Sweden. This offering will be made to no more than 100 persons or entities in Sweden.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The shares of common stock offered pursuant to this prospectus supplement will not be offered, directly or indirectly, to the public in Switzerland and this prospectus supplement does not constitute a public offering prospectus supplement as that term is understood pursuant to art. 652a or art. 1156 of the Swiss Federal Code of Obligations. The issuer has not applied for a listing of the shares of common stock being offered pursuant to this prospectus supplement on the SWX Swiss Exchange or on any other regulated securities market, and consequently, the information presented in this prospectus supplement does not necessarily comply with the information standards set out in the relevant listing rules. The shares of common stock being offered pursuant to this prospectus supplement have not been registered with the Swiss Federal Banking Commission as foreign investment funds, and the investor protection afforded to acquirers of investment fund certificates does not extend to acquirers of shares of common stock.</w:t>
      </w:r>
    </w:p>
    <w:p>
      <w:pPr>
        <w:spacing w:after="0" w:line="16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Investors are advised to contact their legal, financial or tax advisers to obtain an independent assessment of the financial and tax consequences of an investment in shares of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No prospectus supplement or other disclosure document as defined in the Corporations Act 2001 of Australia in relation to the shares of common stock has been lodged with the Australian Securities and Investments Commission or the Australian Stock Exchange Limited. Each underwriter has represented and agreed that it:</w:t>
      </w:r>
    </w:p>
    <w:p>
      <w:pPr>
        <w:spacing w:after="0" w:line="73" w:lineRule="exact"/>
        <w:rPr>
          <w:sz w:val="20"/>
          <w:szCs w:val="20"/>
          <w:color w:val="auto"/>
        </w:rPr>
      </w:pPr>
    </w:p>
    <w:p>
      <w:pPr>
        <w:ind w:left="640" w:firstLine="4"/>
        <w:spacing w:after="0" w:line="277" w:lineRule="auto"/>
        <w:tabs>
          <w:tab w:leader="none" w:pos="8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 not made or invited, and will not make or invite, an offer of the shares of common stock for issue or sale in Australia, including an offer or invitation which is received by a person in Australia; and</w:t>
      </w:r>
    </w:p>
    <w:p>
      <w:pPr>
        <w:spacing w:after="0" w:line="62" w:lineRule="exact"/>
        <w:rPr>
          <w:rFonts w:ascii="Arial" w:cs="Arial" w:eastAsia="Arial" w:hAnsi="Arial"/>
          <w:sz w:val="18"/>
          <w:szCs w:val="18"/>
          <w:color w:val="auto"/>
        </w:rPr>
      </w:pPr>
    </w:p>
    <w:p>
      <w:pPr>
        <w:ind w:left="640" w:right="80" w:firstLine="4"/>
        <w:spacing w:after="0" w:line="277" w:lineRule="auto"/>
        <w:tabs>
          <w:tab w:leader="none" w:pos="9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 not distributed or published, and will not distribute or publish, the prospectus supplement or any other offering material or advertisement relating to the shares of common stock in Australia, unless, in either case (i) or (ii):</w:t>
      </w:r>
    </w:p>
    <w:p>
      <w:pPr>
        <w:spacing w:after="0" w:line="62" w:lineRule="exact"/>
        <w:rPr>
          <w:rFonts w:ascii="Arial" w:cs="Arial" w:eastAsia="Arial" w:hAnsi="Arial"/>
          <w:sz w:val="18"/>
          <w:szCs w:val="18"/>
          <w:color w:val="auto"/>
        </w:rPr>
      </w:pPr>
    </w:p>
    <w:p>
      <w:pPr>
        <w:ind w:left="1200" w:hanging="4"/>
        <w:spacing w:after="0" w:line="264" w:lineRule="auto"/>
        <w:tabs>
          <w:tab w:leader="none" w:pos="144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minimum aggregate consideration payable by each offeree or invitee is at least A$500,000 (or its equivalent in other currencies), disregarding moneys lent by the offeror or its associates, or the offer otherwise does not require disclosure to investors in accordance with Part 6D.2 of the Australian Corporations Act; and</w:t>
      </w:r>
    </w:p>
    <w:p>
      <w:pPr>
        <w:spacing w:after="0" w:line="73" w:lineRule="exact"/>
        <w:rPr>
          <w:rFonts w:ascii="Arial" w:cs="Arial" w:eastAsia="Arial" w:hAnsi="Arial"/>
          <w:sz w:val="18"/>
          <w:szCs w:val="18"/>
          <w:color w:val="auto"/>
        </w:rPr>
      </w:pPr>
    </w:p>
    <w:p>
      <w:pPr>
        <w:ind w:left="1460" w:hanging="264"/>
        <w:spacing w:after="0"/>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such action complies with all applicable laws and regulations.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120"/>
          </w:cols>
          <w:pgMar w:left="24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Wilson Sonsini Goodrich &amp; Rosati, Professional Corporation, Palo Alto, CA, will pass upon the validity of the shares of common stock offered hereby. Certain members of, and investment partnerships comprised of members of, and persons associated with, Wilson Sonsini Goodrich &amp; Rosati own an interest representing less than 0.5% of our common stock. Ellenoff Grossman &amp; Schole LLP, New York, New York, is acting as counsel for the underwriter in connection with this offering.</w:t>
      </w:r>
    </w:p>
    <w:p>
      <w:pPr>
        <w:spacing w:after="0" w:line="39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Marcum LLP, an independently registered public accounting firm has audited our financial statements as of and for each of the years in the two-year period ended December 31, 2018, as set forth in their report which includes an explanatory paragraph as to the Company’s ability to continue as a going concern, dated March 19, 2019. We have included our financial statements in the prospectus and elsewhere in the registration statement in reliance on the report of Marcum LLP, given their authority as experts in accounting and auditing.</w:t>
      </w:r>
    </w:p>
    <w:p>
      <w:pPr>
        <w:spacing w:after="0" w:line="39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 xml:space="preserve">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131" w:lineRule="exact"/>
        <w:rPr>
          <w:sz w:val="20"/>
          <w:szCs w:val="20"/>
          <w:color w:val="auto"/>
        </w:rPr>
      </w:pPr>
    </w:p>
    <w:p>
      <w:pPr>
        <w:ind w:left="1180" w:right="140" w:hanging="436"/>
        <w:spacing w:after="0" w:line="264"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Annual Report on Form </w:t>
      </w:r>
      <w:hyperlink r:id="rId74">
        <w:r>
          <w:rPr>
            <w:rFonts w:ascii="Arial" w:cs="Arial" w:eastAsia="Arial" w:hAnsi="Arial"/>
            <w:sz w:val="18"/>
            <w:szCs w:val="18"/>
            <w:u w:val="single" w:color="auto"/>
            <w:color w:val="0000EE"/>
          </w:rPr>
          <w:t>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 filed with the SEC on March 20, 2019, including portions of our proxy statement relating to our 2019 Annual Meeting of Stockholders to be held on June 10, 2019, to the extent incorporated by reference into such Annual Report on Form 10-K;</w:t>
      </w:r>
    </w:p>
    <w:p>
      <w:pPr>
        <w:spacing w:after="0" w:line="86"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quarters ended March 31, 2019, filed with the SEC on </w:t>
      </w:r>
      <w:hyperlink r:id="rId75">
        <w:r>
          <w:rPr>
            <w:rFonts w:ascii="Arial" w:cs="Arial" w:eastAsia="Arial" w:hAnsi="Arial"/>
            <w:sz w:val="18"/>
            <w:szCs w:val="18"/>
            <w:u w:val="single" w:color="auto"/>
            <w:color w:val="0000EE"/>
          </w:rPr>
          <w:t>May 13,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June 30, 2019, filed with the SEC on </w:t>
      </w:r>
      <w:hyperlink r:id="rId76">
        <w:r>
          <w:rPr>
            <w:rFonts w:ascii="Arial" w:cs="Arial" w:eastAsia="Arial" w:hAnsi="Arial"/>
            <w:sz w:val="18"/>
            <w:szCs w:val="18"/>
            <w:u w:val="single" w:color="auto"/>
            <w:color w:val="0000EE"/>
          </w:rPr>
          <w:t>August 7, 2019</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w:t>
      </w:r>
      <w:hyperlink r:id="rId77">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annual meeting of stockholders, filed with the SEC on April 29, 2019;</w:t>
      </w:r>
    </w:p>
    <w:p>
      <w:pPr>
        <w:spacing w:after="0" w:line="130" w:lineRule="exact"/>
        <w:rPr>
          <w:rFonts w:ascii="Arial" w:cs="Arial" w:eastAsia="Arial" w:hAnsi="Arial"/>
          <w:sz w:val="18"/>
          <w:szCs w:val="18"/>
          <w:color w:val="auto"/>
        </w:rPr>
      </w:pPr>
    </w:p>
    <w:p>
      <w:pPr>
        <w:ind w:left="1180" w:right="860" w:hanging="436"/>
        <w:spacing w:after="0" w:line="277" w:lineRule="auto"/>
        <w:tabs>
          <w:tab w:leader="none" w:pos="1180" w:val="left"/>
        </w:tabs>
        <w:numPr>
          <w:ilvl w:val="0"/>
          <w:numId w:val="49"/>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78">
        <w:r>
          <w:rPr>
            <w:rFonts w:ascii="Arial" w:cs="Arial" w:eastAsia="Arial" w:hAnsi="Arial"/>
            <w:sz w:val="18"/>
            <w:szCs w:val="18"/>
            <w:u w:val="single" w:color="auto"/>
            <w:color w:val="0000EE"/>
          </w:rPr>
          <w:t>January 29, 2019</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EE"/>
          </w:rPr>
          <w:t>March 18, 2019</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EE"/>
          </w:rPr>
          <w:t>April 29, 2019</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June 12,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2">
        <w:r>
          <w:rPr>
            <w:rFonts w:ascii="Arial" w:cs="Arial" w:eastAsia="Arial" w:hAnsi="Arial"/>
            <w:sz w:val="18"/>
            <w:szCs w:val="18"/>
            <w:u w:val="single" w:color="auto"/>
            <w:color w:val="0000EE"/>
          </w:rPr>
          <w:t>September 30,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180" w:right="34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our description of our Common Stock contained in the Registration Statement on </w:t>
      </w:r>
      <w:hyperlink r:id="rId83">
        <w:r>
          <w:rPr>
            <w:rFonts w:ascii="Arial" w:cs="Arial" w:eastAsia="Arial" w:hAnsi="Arial"/>
            <w:sz w:val="18"/>
            <w:szCs w:val="18"/>
            <w:u w:val="single" w:color="auto"/>
            <w:color w:val="0000EE"/>
          </w:rPr>
          <w:t>Form 8-A12B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August 8, 2014, including any subsequent amendments or reports filed for the purpose of updating such description.</w:t>
      </w:r>
    </w:p>
    <w:p>
      <w:pPr>
        <w:spacing w:after="0" w:line="170" w:lineRule="exact"/>
        <w:rPr>
          <w:rFonts w:ascii="Arial" w:cs="Arial" w:eastAsia="Arial" w:hAnsi="Arial"/>
          <w:sz w:val="18"/>
          <w:szCs w:val="18"/>
          <w:color w:val="auto"/>
        </w:rPr>
      </w:pPr>
    </w:p>
    <w:p>
      <w:pPr>
        <w:ind w:left="200" w:right="20"/>
        <w:spacing w:after="0" w:line="257"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88" w:lineRule="exact"/>
        <w:rPr>
          <w:rFonts w:ascii="Arial" w:cs="Arial" w:eastAsia="Arial" w:hAnsi="Arial"/>
          <w:sz w:val="18"/>
          <w:szCs w:val="18"/>
          <w:color w:val="auto"/>
        </w:rPr>
      </w:pPr>
    </w:p>
    <w:p>
      <w:pPr>
        <w:ind w:left="200" w:right="2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83" w:lineRule="exact"/>
        <w:rPr>
          <w:rFonts w:ascii="Arial" w:cs="Arial" w:eastAsia="Arial" w:hAnsi="Arial"/>
          <w:sz w:val="18"/>
          <w:szCs w:val="18"/>
          <w:color w:val="auto"/>
        </w:rPr>
      </w:pPr>
    </w:p>
    <w:p>
      <w:pPr>
        <w:ind w:left="200"/>
        <w:spacing w:after="0" w:line="261" w:lineRule="auto"/>
        <w:rPr>
          <w:sz w:val="20"/>
          <w:szCs w:val="20"/>
          <w:color w:val="auto"/>
        </w:rPr>
      </w:pPr>
      <w:r>
        <w:rPr>
          <w:rFonts w:ascii="Arial" w:cs="Arial" w:eastAsia="Arial" w:hAnsi="Arial"/>
          <w:sz w:val="18"/>
          <w:szCs w:val="18"/>
          <w:b w:val="1"/>
          <w:bCs w:val="1"/>
          <w:color w:val="auto"/>
        </w:rPr>
        <w:t>We will provide to each person, including any beneficial owner, to whom a prospectus is delivered, a copy of this prospectus supplement and any or all of the information that has been incorporated by reference in the prospectus supplement but not delivered herewith. You may request a copy of these filings, excluding the exhibits to such filings which we have not specifically incorporated by reference in such filings, at no cost, by writing to or calling us at:</w:t>
      </w:r>
    </w:p>
    <w:p>
      <w:pPr>
        <w:spacing w:after="0" w:line="396"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b w:val="1"/>
          <w:bCs w:val="1"/>
          <w:color w:val="auto"/>
        </w:rPr>
        <w:t>203 Redwood Shores Pkwy, Suite 500</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b w:val="1"/>
          <w:bCs w:val="1"/>
          <w:color w:val="auto"/>
        </w:rPr>
        <w:t>(650) 213-8444</w:t>
      </w:r>
    </w:p>
    <w:p>
      <w:pPr>
        <w:spacing w:after="0" w:line="211" w:lineRule="exact"/>
        <w:rPr>
          <w:rFonts w:ascii="Arial" w:cs="Arial" w:eastAsia="Arial" w:hAnsi="Arial"/>
          <w:sz w:val="18"/>
          <w:szCs w:val="18"/>
          <w:color w:val="auto"/>
        </w:rPr>
      </w:pPr>
    </w:p>
    <w:p>
      <w:pPr>
        <w:ind w:left="200" w:right="200"/>
        <w:spacing w:after="0" w:line="277" w:lineRule="auto"/>
        <w:rPr>
          <w:sz w:val="20"/>
          <w:szCs w:val="20"/>
          <w:color w:val="auto"/>
        </w:rPr>
      </w:pPr>
      <w:r>
        <w:rPr>
          <w:rFonts w:ascii="Arial" w:cs="Arial" w:eastAsia="Arial" w:hAnsi="Arial"/>
          <w:sz w:val="18"/>
          <w:szCs w:val="18"/>
          <w:color w:val="auto"/>
        </w:rPr>
        <w:t>Except for the specific incorporated documents listed above, no information available on or through our website shall be deemed to be incorporated in this prospectus supplement or the accompanying prospectus.</w:t>
      </w:r>
    </w:p>
    <w:p>
      <w:pPr>
        <w:spacing w:after="0" w:line="103"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172085</wp:posOffset>
            </wp:positionV>
            <wp:extent cx="1286510" cy="523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8651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39"/>
        <w:spacing w:after="0"/>
        <w:rPr>
          <w:sz w:val="20"/>
          <w:szCs w:val="20"/>
          <w:color w:val="auto"/>
        </w:rPr>
      </w:pPr>
      <w:r>
        <w:rPr>
          <w:rFonts w:ascii="Arial" w:cs="Arial" w:eastAsia="Arial" w:hAnsi="Arial"/>
          <w:sz w:val="43"/>
          <w:szCs w:val="43"/>
          <w:b w:val="1"/>
          <w:bCs w:val="1"/>
          <w:color w:val="auto"/>
        </w:rPr>
        <w:t>SOLENO THERAPEUTICS, INC.</w:t>
      </w:r>
    </w:p>
    <w:p>
      <w:pPr>
        <w:spacing w:after="0" w:line="242" w:lineRule="exact"/>
        <w:rPr>
          <w:sz w:val="20"/>
          <w:szCs w:val="20"/>
          <w:color w:val="auto"/>
        </w:rPr>
      </w:pPr>
    </w:p>
    <w:p>
      <w:pPr>
        <w:ind w:left="5020"/>
        <w:spacing w:after="0"/>
        <w:rPr>
          <w:sz w:val="20"/>
          <w:szCs w:val="20"/>
          <w:color w:val="auto"/>
        </w:rPr>
      </w:pPr>
      <w:r>
        <w:rPr>
          <w:rFonts w:ascii="Arial" w:cs="Arial" w:eastAsia="Arial" w:hAnsi="Arial"/>
          <w:sz w:val="25"/>
          <w:szCs w:val="25"/>
          <w:b w:val="1"/>
          <w:bCs w:val="1"/>
          <w:color w:val="auto"/>
        </w:rPr>
        <w:t>$100,000,000</w:t>
      </w:r>
    </w:p>
    <w:p>
      <w:pPr>
        <w:spacing w:after="0" w:line="226"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may offer and sell from time to time, in one or more series or issuances and on terms that we will determine at the time of the offering, any combination of the securities described in this prospectus, up to an aggregate amount of $100,000,000.</w:t>
      </w:r>
    </w:p>
    <w:p>
      <w:pPr>
        <w:spacing w:after="0" w:line="17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This prospectus provides a general description of the securities we may offer. Each time we sell securities, we will provide specific terms of any offering in a supplement to this prospectus. We may also authorize one or more free writing prospectuses to be provided to you in connection with these offerings. Any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or deemed to be incorporated by reference in this prospectus before you purchase any of the securities offered hereby. This prospectus may not be used to consummate a sale of securities by us unless accompanied by the applicable prospectus supplement.</w:t>
      </w:r>
    </w:p>
    <w:p>
      <w:pPr>
        <w:spacing w:after="0" w:line="165"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These securities may be offered and sold in the same offering or in separate offerings; to or through underwriters, dealers, and agents; or directly to institutional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16 of this prospectus.</w:t>
      </w:r>
    </w:p>
    <w:p>
      <w:pPr>
        <w:spacing w:after="0" w:line="17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Common Stock, $0.001 par value per share (“Common Stock”), is listed on the Nasdaq Capital Market under the symbol “SLNO.” We will provide information in any applicable prospectus supplement regarding any listing of securities other than shares of our Common Stock on any securities exchange.</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aggregate market value of our outstanding Common Stock held by non-affiliates was approximately $50.4 million which was calculated based on 20,079,135 shares of outstanding Common Stock held by non-affiliates as of May 24, 2019, and a price per share of $2.51, the closing price of our Common Stock on June 7, 2019. Pursuant to General Instruction I.B.6 of Form S-3, in no event will we sell securities pursuant to this registration statement with a value more than one-third of the aggregate market value of our Common Stock held by non-affiliates in any 12-month period, so long as the aggregate market value of our Common Stock held by non-affiliates is less than $75.0 million. In the event that subsequent to the effective date of this registration statement, the aggregate market value of our outstanding common stock held by non-affiliates equals or exceeds $75.0 million, then the one-third limitation on sales shall not apply to additional sales made pursuant to this registration statement. We have not sold any securities pursuant to General Instruction I.B.6 of Form S-3 during the 12 calendar months prior to, and including,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200660</wp:posOffset>
            </wp:positionV>
            <wp:extent cx="14662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left="200" w:right="26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carefully read and consider the risk factors described in, and incorporated by reference under, “</w:t>
      </w:r>
      <w:hyperlink w:anchor="page6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5 of this prospectus and in the applicable prospectus supplement before investing in any securities.</w:t>
      </w:r>
    </w:p>
    <w:p>
      <w:pPr>
        <w:spacing w:after="0" w:line="186" w:lineRule="exact"/>
        <w:rPr>
          <w:sz w:val="20"/>
          <w:szCs w:val="20"/>
          <w:color w:val="auto"/>
        </w:rPr>
      </w:pPr>
    </w:p>
    <w:p>
      <w:pPr>
        <w:ind w:left="200" w:right="10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185420</wp:posOffset>
            </wp:positionV>
            <wp:extent cx="14662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This prospectus is dated July 23, 2019.</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60" w:type="dxa"/>
            <w:vAlign w:val="bottom"/>
            <w:gridSpan w:val="2"/>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620" w:type="dxa"/>
            <w:vAlign w:val="bottom"/>
            <w:gridSpan w:val="12"/>
            <w:vMerge w:val="restart"/>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About This Prospectus</w:t>
              </w:r>
            </w:hyperlink>
          </w:p>
        </w:tc>
        <w:tc>
          <w:tcPr>
            <w:tcW w:w="7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3620" w:type="dxa"/>
            <w:vAlign w:val="bottom"/>
            <w:gridSpan w:val="12"/>
            <w:vMerge w:val="continue"/>
          </w:tcPr>
          <w:p>
            <w:pPr>
              <w:spacing w:after="0"/>
              <w:rPr>
                <w:sz w:val="14"/>
                <w:szCs w:val="14"/>
                <w:color w:val="auto"/>
              </w:rPr>
            </w:pPr>
          </w:p>
        </w:tc>
        <w:tc>
          <w:tcPr>
            <w:tcW w:w="706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Prospectus Summary</w:t>
              </w:r>
            </w:hyperlink>
          </w:p>
        </w:tc>
        <w:tc>
          <w:tcPr>
            <w:tcW w:w="19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210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Forward-Looking Statements</w:t>
              </w:r>
            </w:hyperlink>
          </w:p>
        </w:tc>
        <w:tc>
          <w:tcPr>
            <w:tcW w:w="15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Use of Proceeds</w:t>
              </w:r>
            </w:hyperlink>
          </w:p>
        </w:tc>
        <w:tc>
          <w:tcPr>
            <w:tcW w:w="2440" w:type="dxa"/>
            <w:vAlign w:val="bottom"/>
            <w:gridSpan w:val="8"/>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Description of Capital Stock</w:t>
              </w:r>
            </w:hyperlink>
          </w:p>
        </w:tc>
        <w:tc>
          <w:tcPr>
            <w:tcW w:w="1560" w:type="dxa"/>
            <w:vAlign w:val="bottom"/>
            <w:gridSpan w:val="3"/>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20" w:type="dxa"/>
            <w:vAlign w:val="bottom"/>
            <w:gridSpan w:val="1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Description of Warrants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Plan of Distribution</w:t>
              </w:r>
            </w:hyperlink>
          </w:p>
        </w:tc>
        <w:tc>
          <w:tcPr>
            <w:tcW w:w="280" w:type="dxa"/>
            <w:vAlign w:val="bottom"/>
            <w:tcBorders>
              <w:top w:val="single" w:sz="8" w:color="0000EE"/>
            </w:tcBorders>
            <w:gridSpan w:val="3"/>
          </w:tcPr>
          <w:p>
            <w:pPr>
              <w:spacing w:after="0"/>
              <w:rPr>
                <w:sz w:val="17"/>
                <w:szCs w:val="17"/>
                <w:color w:val="auto"/>
              </w:rPr>
            </w:pPr>
          </w:p>
        </w:tc>
        <w:tc>
          <w:tcPr>
            <w:tcW w:w="190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620" w:type="dxa"/>
            <w:vAlign w:val="bottom"/>
            <w:gridSpan w:val="1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Legal Matters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Experts</w:t>
              </w:r>
            </w:hyperlink>
          </w:p>
        </w:tc>
        <w:tc>
          <w:tcPr>
            <w:tcW w:w="440" w:type="dxa"/>
            <w:vAlign w:val="bottom"/>
            <w:tcBorders>
              <w:top w:val="single" w:sz="8" w:color="0000EE"/>
            </w:tcBorders>
            <w:gridSpan w:val="2"/>
          </w:tcPr>
          <w:p>
            <w:pPr>
              <w:spacing w:after="0"/>
              <w:rPr>
                <w:sz w:val="17"/>
                <w:szCs w:val="17"/>
                <w:color w:val="auto"/>
              </w:rPr>
            </w:pPr>
          </w:p>
        </w:tc>
        <w:tc>
          <w:tcPr>
            <w:tcW w:w="262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Where You Can Find More Information</w:t>
              </w:r>
            </w:hyperlink>
          </w:p>
        </w:tc>
        <w:tc>
          <w:tcPr>
            <w:tcW w:w="74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Incorporation of Certain Documents by Reference</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United States Securities and Exchange Commission (the “SEC”), using a “shelf” registration process. Under this shelf process, we may, from time to time, offer and sell any combination of the securities described in this prospectus in one or more offerings up to a total amount of $100,000,000.</w:t>
      </w:r>
    </w:p>
    <w:p>
      <w:pPr>
        <w:spacing w:after="0" w:line="18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under this shelf registration, we will, to the extent required by law, provide a prospectus supplement that will contain specific information about the terms of that offering. The prospectus supplement may also add to, update or change information contained in this prospectus and, accordingly, to the extent there are inconsistencies between any prospectus supplement, this prospectus and any documents incorporated by reference, the document with the most recent date will control.</w:t>
      </w:r>
    </w:p>
    <w:p>
      <w:pPr>
        <w:spacing w:after="0" w:line="18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price to the public; the price paid for the securities; net proceeds; and the other specific terms related to the offering of the securities. This prospectus may not be used by us to consummate sales of our securities, unless it is accompanied by a prospectus supplement.</w:t>
      </w:r>
    </w:p>
    <w:p>
      <w:pPr>
        <w:spacing w:after="0" w:line="16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You should only rely on the information contained in, or incorporated by reference into, this prospectus and any prospectus supplement or issuer free writing prospectus relating to a particular offering. We have not authorized any dealer or other person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66"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You should carefully read this entire prospectus, the applicable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deciding to invest in our securities, you should read this entire prospectus carefully, including the sections of this prospectus entitled “Risk Factors” and “Management’s Discussion and Analysis of Financial Condition and Results of Operations” and our financial statements and related notes contained elsewhere in this prospectus. Unless the context otherwise requires, references in this prospectus to the “Company,” “Soleno Therapeutics,” “we,” “us”, and “our” refer to Soleno Therapeutics, Inc.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On March 7, 2017, we completed our merger, or the Merger, with Essentialis, Inc., a Delaware corporation, or Essentialis, in accordance with the Merger Agreement by and between Soleno Therapeutics and Essentialis dated December 22, 2016, or the Merger Agreement. After the Merger, our primary focus has been the development and commercialization of novel therapeutics for the treatment of rare diseases. Essentialis was a privately held, clinical stage biotechnology company focused on the development of breakthrough medicines for the treatment of rare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tablets, or DCCR, as a treatment for Prader-Willi Syndrome, or PWS, a complex metabolic/neurobehavioral disorder. DCCR has orphan designation for the treatment of PWS in the United States, or U.S., as well as in the European Union, or E.U.</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initially established our operations as a diversified healthcare company that developed and commercialized innovative diagnostics, devices and therapeutics addressing unmet medical needs, which consisted of: precision metering of gas flow technology marketed as Serenz</w:t>
      </w:r>
      <w:r>
        <w:rPr>
          <w:rFonts w:ascii="Arial" w:cs="Arial" w:eastAsia="Arial" w:hAnsi="Arial"/>
          <w:sz w:val="15"/>
          <w:szCs w:val="15"/>
          <w:color w:val="auto"/>
        </w:rPr>
        <w:t>®</w:t>
      </w:r>
      <w:r>
        <w:rPr>
          <w:rFonts w:ascii="Arial" w:cs="Arial" w:eastAsia="Arial" w:hAnsi="Arial"/>
          <w:sz w:val="18"/>
          <w:szCs w:val="18"/>
          <w:color w:val="auto"/>
        </w:rPr>
        <w:t xml:space="preserve"> Allergy Relief, or Serenz; the CoSense</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8"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Subsequent to the Merger with Essentialis described above, we determined to divest, sell or dispose of our business efforts focused on the development and commercialization of our Serenz and CoSense technologies. Our current research and development efforts are primarily focused on advancing our lead candidate, DCCR tablets, for the treatment of PWS, through late-stage clinical development.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121" w:lineRule="exact"/>
        <w:rPr>
          <w:sz w:val="20"/>
          <w:szCs w:val="20"/>
          <w:color w:val="auto"/>
        </w:rPr>
      </w:pPr>
    </w:p>
    <w:p>
      <w:pPr>
        <w:jc w:val="both"/>
        <w:ind w:left="200" w:right="140" w:firstLine="441"/>
        <w:spacing w:after="0" w:line="276" w:lineRule="auto"/>
        <w:rPr>
          <w:sz w:val="20"/>
          <w:szCs w:val="20"/>
          <w:color w:val="auto"/>
        </w:rPr>
      </w:pPr>
      <w:r>
        <w:rPr>
          <w:rFonts w:ascii="Arial" w:cs="Arial" w:eastAsia="Arial" w:hAnsi="Arial"/>
          <w:sz w:val="17"/>
          <w:szCs w:val="17"/>
          <w:color w:val="auto"/>
        </w:rPr>
        <w:t>DCCR tablets consist of the active ingredient diazoxide choline, a choline salt of diazoxide, which is a benzothiadiazine. Once solubilized from the formulation, diazoxide choline is rapidly hydrolyzed to diazoxide prior to absorption. Diazoxide acts by stimulating ion flux through ATP-sensitive K</w:t>
      </w:r>
      <w:r>
        <w:rPr>
          <w:rFonts w:ascii="Arial" w:cs="Arial" w:eastAsia="Arial" w:hAnsi="Arial"/>
          <w:sz w:val="14"/>
          <w:szCs w:val="14"/>
          <w:color w:val="auto"/>
        </w:rPr>
        <w:t>+</w:t>
      </w:r>
      <w:r>
        <w:rPr>
          <w:rFonts w:ascii="Arial" w:cs="Arial" w:eastAsia="Arial" w:hAnsi="Arial"/>
          <w:sz w:val="17"/>
          <w:szCs w:val="17"/>
          <w:color w:val="auto"/>
        </w:rPr>
        <w:t xml:space="preserve"> channels (K</w:t>
      </w:r>
      <w:r>
        <w:rPr>
          <w:rFonts w:ascii="Arial" w:cs="Arial" w:eastAsia="Arial" w:hAnsi="Arial"/>
          <w:sz w:val="14"/>
          <w:szCs w:val="14"/>
          <w:color w:val="auto"/>
        </w:rPr>
        <w:t>ATP</w:t>
      </w:r>
      <w:r>
        <w:rPr>
          <w:rFonts w:ascii="Arial" w:cs="Arial" w:eastAsia="Arial" w:hAnsi="Arial"/>
          <w:sz w:val="17"/>
          <w:szCs w:val="17"/>
          <w:color w:val="auto"/>
        </w:rPr>
        <w:t>). The KATP channel links the cellular energy status to the membrane potential. Diazoxide appears to act on signs and symptoms of PWS in a variety of ways. Agonizing the KATP channel in the hypothalamus has the potential to address hyperphagia, which is an insatiable desire to eat. Agonizing the channel in GABAergic neurons improves GABA signaling and may reduce aggressive behaviors.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In the U.S., diazoxide was first approved in 1973 as an intravenous formulation, for the emergency treatment of malignant hypertension. In 1976, immediate-release oral formulations including Proglycem</w:t>
      </w:r>
      <w:r>
        <w:rPr>
          <w:rFonts w:ascii="Arial" w:cs="Arial" w:eastAsia="Arial" w:hAnsi="Arial"/>
          <w:sz w:val="14"/>
          <w:szCs w:val="14"/>
          <w:color w:val="auto"/>
        </w:rPr>
        <w:t>®</w:t>
      </w:r>
      <w:r>
        <w:rPr>
          <w:rFonts w:ascii="Arial" w:cs="Arial" w:eastAsia="Arial" w:hAnsi="Arial"/>
          <w:sz w:val="17"/>
          <w:szCs w:val="17"/>
          <w:color w:val="auto"/>
        </w:rPr>
        <w:t xml:space="preserve"> Oral Suspension and Capsules, or Proglycem, were approved and there has been nearly 40 years of use of the 2-3 times a day orally-administered drug in the approved indications. In addition to the short-term use (&lt;3 months) in the approved indications for Proglycem, there are also extensive data on chronic use in children with congenital hyperinsulinism, or CI, and in adults with insulinoma. Insulinoma patients tend to be older, with 50% of them over 70 years old. Published data have reported the average duration of use of Proglycem in CI and insulinoma patients is 5 years and 7 years, respectively.</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DCCR tablets were formulated with the goals of improving the safety and bioavailability of orally-administered diazoxide and reducing the frequency of daily dosing required by current diazoxide formulations. Diazoxide choline is formulated into an extended-release tablet that lowers peak plasma concentration compared to diazoxide oral suspension and slows release of diazoxide from DCCR, making it suitable for once-a-day dosing. The control of release and absorption of diazoxide achieved using DCCR results in stable and consistent intraday circulating drug levels, and likely, consistent levels of diazoxide in tissues that are the site of action of the drug (the hypothalamus). In circulation, diazoxide is extensively protein bound. Only unbound diazoxide is active. The consistent absorption of diazoxide may also result in some level of disequilibrium in protein binding, potentiating the therapeutic response to treatment. The controlled rate of absorption, level intraday circulating drug levels and the disequilibrium in protein binding likely results in the potential for improved therapeutic response to treatment. Avoiding significant swings in circulating drug levels also has the potential to reduce adverse events which are often associated with transiently high circulating drug levels that often follow rapid absorption from immediate release product formulations.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Prader-Willi Syndrome</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PWS is a rare, complex neurobehavioral/metabolic disorder, which is due to the absence of normally active paternally expressed genes from the chromosome 15q11-q13 region. PWS is an imprinted condition with 70-75% of the cases due to a de novo deletion in the paternally inherited chromosome 15 11-q13 region, 20-30%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and 7% in those over 30 years of age. The mean age of death reported from a 40-year mortality study in the U.S. was 29.5 ± 15 years (range: 2 months - 67 years).</w:t>
      </w:r>
    </w:p>
    <w:p>
      <w:pPr>
        <w:spacing w:after="0" w:line="19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to hyperphagia, typical behavioral disturbances associated with PWS include skin picking, difficulty with change in routine, obsessive and compulsive behaviors and mood fluctuations. In addition,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PWS is typically thought of as a genetic obesity, which is often significant. With increasing awareness among families and caregivers leading to significant control of food intake, many PWS patients today may not be obese. However, they remain hyperphagic and will typically have a higher body fat and lower lean body mass content. They are prone to cardiometabolic issues such as abnormal lipid profiles, diabetes and hypertension.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intellectually disability range with a mean IQ in the 60s to low 70s. The combination of food-related preoccupations and numerous maladaptive behaviors make it difficult for individuals with PWS to perform to their IQ potential.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Clinical Trial of DCCR for PWS</w:t>
      </w:r>
    </w:p>
    <w:p>
      <w:pPr>
        <w:spacing w:after="0" w:line="121"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A Phase III clinical trial is currently being conducted to evaluate the efficacy and safety of DCCR in patients with genetically-confirmed PWS. This study, DESTINY PWS, is a multi-center, randomized, double-blind, placebo-controlled study with enrollment of approximately 105 children and adults with PWS. Subjects who complete the 15-week DESTINY PWS study may enroll in a long-term, safety extension study. On March 14, 2019, the Data Safety Monitoring Board (DSMB) recommended the continuation of our Phase III DESTINY PWS trial without any changes. The DSMB is a group of independent experts monitoring the safety of the DESTINY PWS study. The DSMB reviews safety information and can make recommendations to either continue the study without modification, modify the study or terminate the study due to safety concerns. In July 2018,</w:t>
      </w:r>
    </w:p>
    <w:p>
      <w:pPr>
        <w:spacing w:after="0" w:line="5"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color w:val="auto"/>
        </w:rPr>
        <w:t>the U.S. Food and Drug Administration designated the investigation of DCCR for the treatment of PWS to be a Fast Track development program. Prior to this, diazoxide choline received orphan designation for the treatment of PWS in the U.S. and in the E.U.</w:t>
      </w:r>
    </w:p>
    <w:p>
      <w:pPr>
        <w:spacing w:after="0" w:line="184"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 Phase II clinical trial has been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 label during which subjects were initiated on a DCCR dose that was escalated every 14 days at the discretion of the investigator. Any subject who showed an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8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 The change in triglycerides, while marked, did not reach statistical significance.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were incorporated in Delaware in August of 1999. Our principal executive offices are located at 203 Redwood Shores Pkwy, Suite 500, Redwood City, CA 94065, and our telephone number is (650) 213-8444. Our website address is www.soleno.life.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the Securities We May Offer</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amounts, prices and other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U.S. federal income tax considerations relating to the securities, and the securities exchange, if any, on which the securities will be listed.</w:t>
      </w:r>
    </w:p>
    <w:p>
      <w:pPr>
        <w:spacing w:after="0" w:line="193"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In this prospectus, we refer to the Common Stock and warrants, or any combination of Common Stock and warrants, to be sold by us in a primary offering collectively as “securities.” The total dollar amount of all securities that we may issue under this prospectus will not exceed $100,000,000.</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may not be used by us to consummate a sale of securities unless it is accompanied by a prospectus supplement.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2018 and any updates described in our Quarterly Reports on Form 10-Q, all of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Section 21E of the Securities Exchange Act of 1934, as amended (the “Exchange Act”), and the Private Securities Litigation Reform Act of 1995. These forward-looking statements include, but are not limited to, statements about our plans, objectives, representations and contentions and are not historical facts and typically are identified by use of terms such as “anticipate,” “could,” “expect,” “believe,” “goal,” “plan,” “intend,” “estimate,” “may,” “seek,” “potential,” “predict,” “project,” “continue,” “should,” “would,” “will,” and similar expressions and variations thereof.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above.</w:t>
      </w:r>
    </w:p>
    <w:p>
      <w:pPr>
        <w:spacing w:after="0" w:line="169"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You should be aware that this prospectus, any prospectus supplement and the information incorporated by reference in this prospectus and any prospectus supplement also contain forward-looking statements that are based on management’s current expectations and beliefs, including estimates and projections about our company, industry, financial condition, results of operations and other matters. These statements are not guarantees of future performance and are subject to numerous risks, uncertainties, and assumptions that are difficult to predict.</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Unless otherwise indicated in the prospectus supplement, we will use the net proceeds from the sale of securities offered by this prospectus for general corporate purposes, which may include working capital, capital expenditures, other corporate expenses and acquisitions of complementary products, product candidates, technologies or businesses. However, we currently have no present agreements or commitments for any such acquisitions. The timing and amount of our actual expenditures will be based on many factors, including cash flows from operations and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description of our Common Stock, together with the additional information we include in any applicable prospectus supplements, summarizes the material terms and provisions of the Common Stock that we may offer under this prospectus. It may not contain all the information that is important to you. For the complete terms of our Common Stock, please refer to our amended and restated certificate of incorporation (the “Certificate of Incorporation”) and bylaws, as may be amended from time to time, and which are incorporated by reference into the registration statement which includes this prospectus. The Delaware General Corporation Law (the “DGCL”) may also affect the terms of these securities. While the terms we have summarized below will apply generally to any future Common Stock that we may offer, we will describe the particular terms of the Common Stock in more detail in the applicable prospectus supplement. If we so indicate in a prospectus supplement, the terms of any security we offer under that prospectus supplement may differ from the terms we describe below.</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Our authorized capital stock consists of 110,000,000 shares, all with a par value of $0.001 per share, 100,000,000 of which are designated as Common Stock and 10,000,000 of which are designated Convertible Preferred Stock.</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our amended and restated certificate of incorporation and our amended and restated bylaws.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Holders of Common Stock are entitled to one vote per share on matters on which our stockholders vote. There are no cumulative voting rights. Subject to any preferential dividend rights of any outstanding shares of preferred stock,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are authorized to issue 10,000,000 shares of our Convertible Preferred Stock. Our board of directors has the authority, without further action by our stockholders, to issue these shares of Convertible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Convertible Preferred Stock with voting or conversion rights that could adversely affect the voting power or other rights of the holders of our Common Stock. The purpose of authorizing our board of directors to issue Convertible Preferred Stock and determine its rights and preferences is to eliminate delays associated with a stockholder vote on specific issuances. The issuance of Convertible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Convertible Preferred Stock on the rights of holders of Common Stock until the board of directors determines the specific rights attached to that Convertible Preferred Stock.</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Bylaws</w:t>
      </w:r>
    </w:p>
    <w:p>
      <w:pPr>
        <w:spacing w:after="0" w:line="11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our shares of Common Stock outstanding will be able to elect all of our directors. The directors may be removed by the stockholders only</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for cause upon the vote of holders of a majority of the shares then entitled to vote at an election of directors. Furthermore, the authorized number of directors may be changed only by resolution of our board of directors, and vacancies and newly created directorships on our board of directors may, except as otherwise required by law or determined by our board, only be filled by a majority vote of the directors then serving on our board of directors, even though less than a quorum. Our amended and restated certificate of incorporation and amended and restated bylaws provide that all stockholder actions must be effected at a duly called meeting of stockholders and not by a consent in writing. A special meeting of stockholders may be called only by a majority of our whole board of directors, the chair of our board of directors, our chief executive officer or our president. 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66"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Our amended and restated certificate of incorporation further provides that the affirmative vote of holders of at least 66 2/3% of the voting power of all of the then outstanding shares of voting stock, voting as a single class, will be required to amend certain provisions of our certificate of incorporation, including provisions relating to the structure of our board of directors, the size of our board of directors, removal of directors, special meetings of stockholders, actions by written consent and cumulative voting. The affirmative vote of holders of at least 66 2/3% of the voting power of all of the then outstanding shares of voting stock, voting as a single class, will be required to amend or repeal our bylaws, although our bylaws may be amended by a simple majority vote of our board of directors; provided that any bylaw amendment adopted by our stockholders that specifies the votes necessary for the election of directors will not be further amended or repealed by our board of directors.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foregoing provisions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8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such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subject to Section 203 of the Delaware General Corporation Law,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7" w:lineRule="exact"/>
        <w:rPr>
          <w:sz w:val="20"/>
          <w:szCs w:val="20"/>
          <w:color w:val="auto"/>
        </w:rPr>
      </w:pPr>
    </w:p>
    <w:p>
      <w:pPr>
        <w:ind w:left="1180" w:right="60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180" w:right="220" w:hanging="436"/>
        <w:spacing w:after="0" w:line="276" w:lineRule="auto"/>
        <w:tabs>
          <w:tab w:leader="none" w:pos="1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7" w:lineRule="exact"/>
        <w:rPr>
          <w:rFonts w:ascii="Arial" w:cs="Arial" w:eastAsia="Arial" w:hAnsi="Arial"/>
          <w:sz w:val="17"/>
          <w:szCs w:val="17"/>
          <w:color w:val="auto"/>
        </w:rPr>
      </w:pPr>
    </w:p>
    <w:p>
      <w:pPr>
        <w:ind w:left="1180" w:right="80" w:hanging="436"/>
        <w:spacing w:after="0" w:line="264"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31" w:lineRule="exact"/>
        <w:rPr>
          <w:sz w:val="20"/>
          <w:szCs w:val="20"/>
          <w:color w:val="auto"/>
        </w:rPr>
      </w:pPr>
    </w:p>
    <w:p>
      <w:pPr>
        <w:ind w:left="5660" w:right="3880" w:hanging="4916"/>
        <w:spacing w:after="0" w:line="449" w:lineRule="auto"/>
        <w:tabs>
          <w:tab w:leader="none" w:pos="11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 9</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4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ten percent (10%) or more of the assets of the corporation involving the interested stockholder;</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p>
    <w:p>
      <w:pPr>
        <w:spacing w:after="0" w:line="71" w:lineRule="exact"/>
        <w:rPr>
          <w:sz w:val="20"/>
          <w:szCs w:val="20"/>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In addition to the indemnification required in our amended and restated certificate of incorporation and amended and restated bylaws, we have entered into indemnification agreements with each of our current directors and officers.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78"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Securities Exchange and Commission,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LLC.</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may issue warrants for the purchase of our Common Stock. Warrants may be issued independently or together with our Common Stock and may be attached to or separate from any offered securities. Each series of warrants will be issued under a separate warrant agreement to be entered into between us and one or more banks or trust companies, as warrant agent, reflecting the particular terms and provisions of a series of offered warrants. The warrant agent will act solely as our agent in connection with the warrants. The warrant agent will not have any obligation or relationship of agency or trust for or with any holders or beneficial owners of warrants.</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following briefly summarizes the material provisions of the warrant agreements and the warrants. This summary of certain provisions of the warrants is not complete. For the terms of a particular series of warrants, you should refer to the prospectus supplement for that series of warrants and the warrant agreement for that particular series, which description may modify or replace the general terms described in this section. If there are differences between the prospectus supplement and this prospectus, the prospectus supplement will control. Thus, the statements made in this section may not apply to your warrant. You can obtain a copy of any form of warrant agreement when it has been filed with the SEC or by following the directions outlined in “Where You Can Find More Information” and “Incorporation of Certain Documents by Reference” or by contacting the applicable warrant agent.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will describe the terms of the warrants, including the following:</w:t>
      </w:r>
    </w:p>
    <w:p>
      <w:pPr>
        <w:spacing w:after="0" w:line="76" w:lineRule="exact"/>
        <w:rPr>
          <w:sz w:val="20"/>
          <w:szCs w:val="20"/>
          <w:color w:val="auto"/>
        </w:rPr>
      </w:pPr>
    </w:p>
    <w:p>
      <w:pPr>
        <w:ind w:left="640" w:hanging="32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designation and terms of the Common Stock that may be purchased upon exercise of the warrants;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security;</w:t>
      </w:r>
    </w:p>
    <w:p>
      <w:pPr>
        <w:spacing w:after="0" w:line="153" w:lineRule="exact"/>
        <w:rPr>
          <w:rFonts w:ascii="Arial" w:cs="Arial" w:eastAsia="Arial" w:hAnsi="Arial"/>
          <w:sz w:val="16"/>
          <w:szCs w:val="16"/>
          <w:color w:val="auto"/>
        </w:rPr>
      </w:pPr>
    </w:p>
    <w:p>
      <w:pPr>
        <w:ind w:left="640" w:hanging="32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of Common Stock that may be purchased upon exercise of a warrant and the exercise price for the warrants;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whether the exercise price may be paid in cash, by the exchange of warrants or other securities or both, and the method of exercising the warrants;</w:t>
      </w:r>
    </w:p>
    <w:p>
      <w:pPr>
        <w:spacing w:after="0" w:line="153" w:lineRule="exact"/>
        <w:rPr>
          <w:rFonts w:ascii="Arial" w:cs="Arial" w:eastAsia="Arial" w:hAnsi="Arial"/>
          <w:sz w:val="16"/>
          <w:szCs w:val="16"/>
          <w:color w:val="auto"/>
        </w:rPr>
      </w:pPr>
    </w:p>
    <w:p>
      <w:pPr>
        <w:ind w:left="640" w:hanging="32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warrants will be settled by delivery of the underlying securities or other property or in cash;</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0" w:hanging="328"/>
        <w:spacing w:after="0" w:line="26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and under what circumstances we may cancel the warrants prior to their expiration date, in which case the holders will be entitled to receive only the applicable cancellation amount, which may be either a fixed amount or an amount that varies during the term of the warrants in accordance with a schedule or formula;</w:t>
      </w:r>
    </w:p>
    <w:p>
      <w:pPr>
        <w:spacing w:after="0" w:line="86"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identities of the warrant agent, any depositaries and any paying, transfer, calculation or other agents for the warrants;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securities exchange or quotation system on which the warrants or any securities deliverable upon exercise of the warrants may be listed;</w:t>
      </w:r>
    </w:p>
    <w:p>
      <w:pPr>
        <w:spacing w:after="0" w:line="153" w:lineRule="exact"/>
        <w:rPr>
          <w:rFonts w:ascii="Arial" w:cs="Arial" w:eastAsia="Arial" w:hAnsi="Arial"/>
          <w:sz w:val="16"/>
          <w:szCs w:val="16"/>
          <w:color w:val="auto"/>
        </w:rPr>
      </w:pPr>
    </w:p>
    <w:p>
      <w:pPr>
        <w:ind w:left="640" w:right="100" w:hanging="328"/>
        <w:spacing w:after="0" w:line="277"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and if the warrants are to be sold with the securities of another company or other companies, certain information regarding such company or companies;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142" w:lineRule="exact"/>
        <w:rPr>
          <w:rFonts w:ascii="Arial" w:cs="Arial" w:eastAsia="Arial" w:hAnsi="Arial"/>
          <w:sz w:val="17"/>
          <w:szCs w:val="17"/>
          <w:color w:val="auto"/>
        </w:rPr>
      </w:pPr>
    </w:p>
    <w:p>
      <w:pPr>
        <w:ind w:left="640" w:right="500" w:hanging="328"/>
        <w:spacing w:after="0" w:line="446" w:lineRule="auto"/>
        <w:tabs>
          <w:tab w:leader="none" w:pos="6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ind w:left="640" w:hanging="32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the warrants.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Limit on Issuance of Warrants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warrant agreements will not limit the number of warrants or other securities that we may issue, except for the limitation of the number of shares authorized underlying such warrants.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and the relevant warrant agent may, without the consent of the holders, amend each warrant agreement and the terms of each issue of warrants, for the purpose of curing any ambiguity or of correcting or supplementing any defective or inconsistent provision, or in any other manner that we may deem necessary or desirable and that will not adversely affect the interests of the holders of the outstanding unexercised warrants in any material respect.</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and the relevant warrant agent also may, with the consent of the holders of at least a majority in number of the outstanding unexercised warrants affected, modify or amend the warrant agreement and the terms of the warrants. No such modification or amendment may, without the consent of each holder of an affected warrant:</w:t>
      </w:r>
    </w:p>
    <w:p>
      <w:pPr>
        <w:spacing w:after="0" w:line="87" w:lineRule="exact"/>
        <w:rPr>
          <w:sz w:val="20"/>
          <w:szCs w:val="20"/>
          <w:color w:val="auto"/>
        </w:rPr>
      </w:pPr>
    </w:p>
    <w:p>
      <w:pPr>
        <w:ind w:left="640" w:hanging="32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amount receivable upon exercise, cancellation or expiration;</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shorten the period of time during which the warrants may be exercised;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otherwise materially and adversely affect the exercise rights of the beneficial owners of the warrants; or</w:t>
      </w:r>
    </w:p>
    <w:p>
      <w:pPr>
        <w:spacing w:after="0" w:line="130" w:lineRule="exact"/>
        <w:rPr>
          <w:rFonts w:ascii="Arial" w:cs="Arial" w:eastAsia="Arial" w:hAnsi="Arial"/>
          <w:sz w:val="18"/>
          <w:szCs w:val="18"/>
          <w:color w:val="auto"/>
        </w:rPr>
      </w:pPr>
    </w:p>
    <w:p>
      <w:pPr>
        <w:ind w:left="640" w:right="140" w:hanging="328"/>
        <w:spacing w:after="0" w:line="277"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 the percentage of outstanding warrants whose holders must consent to modification or amendment of the applicable warrant agreement or the terms of the warrants.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and Similar Transactions Permitted; No Restrictive Covenants or Events of Default</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warrant agreements will not restrict our ability to merge or consolidate with, or sell our assets to, another firm or to engage in any other transactions. If at any time there is a merger or consolidation involving us or a sale or other disposition of all or substantially all of our assets, the successor or assuming company will be substituted for us, with the same effect as if it had been named in the warrant agreement and in the warrants. We will be relieved of any further obligation under the warrant agreement or warrants, and, in the event of any such merger, consolidation, sale or other disposition, we as the predecessor corporation may at any time thereafter be dissolved, wound up or liquidated.</w:t>
      </w:r>
    </w:p>
    <w:p>
      <w:pPr>
        <w:spacing w:after="0" w:line="173"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warrant agreements will not include any restrictions on our ability to put liens on our assets, including our interests in our subsidiaries, nor will they provide for any events of default or remedies upon the occurrence of any events of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 Agreements Will Not Be Qualified under Trust Indenture Act</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No warrant agreement will be qualified as an indenture, and no warrant agent will be required to qualify as a trustee, under the Trust Indenture Act. Therefore, holders of warrants issued under a warrant agreement will not have the protection of the Trust Indenture Act with respect to their warrants.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Unless we provide otherwise in the applicable prospectus supplement, the warrants and warrant agreements, and any claim, controversy or dispute arising or related to the warrants or the warrant agreements, will be governed by and constructed in accordance with the laws of the State of Delaware.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7" w:lineRule="exact"/>
        <w:rPr>
          <w:sz w:val="20"/>
          <w:szCs w:val="20"/>
          <w:color w:val="auto"/>
        </w:rPr>
      </w:pPr>
    </w:p>
    <w:p>
      <w:pPr>
        <w:ind w:left="640" w:hanging="32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negotiated prices; or</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combination of these pricing methods.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NASDAQ or any other securities exchange or quotation or trading service on which such securities may be listed, quoted or traded at the time of sale.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at-the-market offerings, if any, may be conducted by underwriters acting as principal or agent.</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76" w:lineRule="exact"/>
        <w:rPr>
          <w:sz w:val="20"/>
          <w:szCs w:val="20"/>
          <w:color w:val="auto"/>
        </w:rPr>
      </w:pPr>
    </w:p>
    <w:p>
      <w:pPr>
        <w:ind w:left="640" w:hanging="32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initial price to the public;</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Any initial price to the public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w:t>
      </w:r>
    </w:p>
    <w:p>
      <w:pPr>
        <w:spacing w:after="0" w:line="18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2"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may provide agents, dealers and underwriters with indemnification against civil liabilities related to this offering, including liabilities under the Securities Act, or contribution with respect to payments that the agents or underwriters may make with respect to these liabilities and to reimburse those persons for certain expenses. Agents and underwriters may engage in transactions with, or perform services for, us in the ordinary course of business for which they receive compensation.</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All securities we offer, other than our Common Stock, will be new issues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securities may or may not be listed on a national securities exchange. To facilitate the offering of securities, 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will bear all costs, expenses and fees in connection with the registration of the securities as well as the expense of all commissions and discounts, if any, attributable to the sales of any of our securities by us.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Wilson Sonsini Goodrich &amp; Rosati, Professional Corporation, Palo Alto, CA, will pass upon the validity of the shares of Common Stock offered hereby. Certain members of, and investment partnerships comprised of members of, and persons associated with, Wilson Sonsini Goodrich &amp; Rosati, Professional Corporation, own an interest representing less than 0.5% of our Common Stock.</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Marcum LLP, an independently registered public accounting firm has audited our financial statements as of and for each of the years in the two-year period ended December 31, 2018, as set forth in their report which includes an explanatory paragraph as to the Company’s ability to continue as a going concern, dated March 19, 2019. We have included our financial statements in the prospectus and elsewhere in the registration statement in reliance on the report of Marcum LLP, given their authority as experts in accounting and auditing.</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40" w:firstLine="441"/>
        <w:spacing w:after="0" w:line="288" w:lineRule="auto"/>
        <w:rPr>
          <w:sz w:val="20"/>
          <w:szCs w:val="20"/>
          <w:color w:val="auto"/>
        </w:rPr>
      </w:pPr>
      <w:r>
        <w:rPr>
          <w:rFonts w:ascii="Arial" w:cs="Arial" w:eastAsia="Arial" w:hAnsi="Arial"/>
          <w:sz w:val="16"/>
          <w:szCs w:val="16"/>
          <w:color w:val="auto"/>
        </w:rPr>
        <w:t>We file annual, quarterly current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w:t>
      </w:r>
    </w:p>
    <w:p>
      <w:pPr>
        <w:ind w:left="200"/>
        <w:spacing w:after="0" w:line="261" w:lineRule="auto"/>
        <w:rPr>
          <w:sz w:val="20"/>
          <w:szCs w:val="20"/>
          <w:color w:val="auto"/>
        </w:rPr>
      </w:pPr>
      <w:r>
        <w:rPr>
          <w:rFonts w:ascii="Arial" w:cs="Arial" w:eastAsia="Arial" w:hAnsi="Arial"/>
          <w:sz w:val="18"/>
          <w:szCs w:val="18"/>
          <w:color w:val="auto"/>
        </w:rPr>
        <w:t>Section 13(a) or 15(d) of the Exchange Act can also be accessed free of charge through the Internet. These filings will be available as soon as reasonably practicable after we electronically file such material with, or furnish it to, the SEC.</w:t>
      </w:r>
    </w:p>
    <w:p>
      <w:pPr>
        <w:spacing w:after="0" w:line="18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SEC at the address listed above. The registration statement and the documents referred to below under “Incorporation of Certain Documents by Reference” are also available on our website, www.soleno.life. We have not incorporated by reference into this prospectus the information on our website, and you should not consider it to be a part of this prospectus.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SEC allows us to “incorporate by reference” much of the information we file with it, which means that we can disclose important information to you by referring you to other documents we have filed or will file with the SEC. The information incorporated by reference is deemed to be part of this prospectus, and any of our subsequent filings with the SEC will automatically update and supersede this information. This means that you must look at all of the SEC filings that we incorporate by reference to determine if any statements in the prospectus or any document previously incorporated by reference have been modified or superseded. This prospectus incorporates by reference the documents set forth below (excluding any portions of any Current Report on Form 8-K that are not deemed “filed” pursuant to the General Instructions of Form 8-K):</w:t>
      </w:r>
    </w:p>
    <w:p>
      <w:pPr>
        <w:spacing w:after="0" w:line="84" w:lineRule="exact"/>
        <w:rPr>
          <w:sz w:val="20"/>
          <w:szCs w:val="20"/>
          <w:color w:val="auto"/>
        </w:rPr>
      </w:pPr>
    </w:p>
    <w:p>
      <w:pPr>
        <w:ind w:left="1180" w:right="140" w:hanging="436"/>
        <w:spacing w:after="0" w:line="264"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 filed with the SEC on March 20, 2019, including portions of our proxy statement relating to our 2019 Annual Meeting of Stockholders to be held on June 10, 2019, to the extent incorporated by reference into such Annual Report on Form 10-K;</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7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13, 2019;</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our </w:t>
      </w:r>
      <w:hyperlink r:id="rId77">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annual meeting of stockholders, filed with the SEC on April 29, 2019;</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78">
        <w:r>
          <w:rPr>
            <w:rFonts w:ascii="Arial" w:cs="Arial" w:eastAsia="Arial" w:hAnsi="Arial"/>
            <w:sz w:val="18"/>
            <w:szCs w:val="18"/>
            <w:u w:val="single" w:color="auto"/>
            <w:color w:val="0000EE"/>
          </w:rPr>
          <w:t>January 29, 2019</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EE"/>
          </w:rPr>
          <w:t>March 18,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0">
        <w:r>
          <w:rPr>
            <w:rFonts w:ascii="Arial" w:cs="Arial" w:eastAsia="Arial" w:hAnsi="Arial"/>
            <w:sz w:val="18"/>
            <w:szCs w:val="18"/>
            <w:u w:val="single" w:color="auto"/>
            <w:color w:val="0000EE"/>
          </w:rPr>
          <w:t>April 29,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our description of our Common Stock contained in the Registration Statement on </w:t>
      </w:r>
      <w:hyperlink r:id="rId83">
        <w:r>
          <w:rPr>
            <w:rFonts w:ascii="Arial" w:cs="Arial" w:eastAsia="Arial" w:hAnsi="Arial"/>
            <w:sz w:val="18"/>
            <w:szCs w:val="18"/>
            <w:u w:val="single" w:color="auto"/>
            <w:color w:val="0000EE"/>
          </w:rPr>
          <w:t>Form 8-A12B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August 8, 2014, including any subsequent amendments or reports filed for the purpose of updating such description.</w:t>
      </w:r>
    </w:p>
    <w:p>
      <w:pPr>
        <w:spacing w:after="0" w:line="170" w:lineRule="exact"/>
        <w:rPr>
          <w:rFonts w:ascii="Arial" w:cs="Arial" w:eastAsia="Arial" w:hAnsi="Arial"/>
          <w:sz w:val="18"/>
          <w:szCs w:val="18"/>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also incorporate by reference all documents we file in the future pursuant to Section 13(a), 13(c), 14 or 15(d) of the Exchange Act after the date of this prospectus and prior to the completion or termination of the offering (including all such documents filed with the SEC after the date of the initial filing of the registration statement that contains this prospectus and prior to effectiveness of the registration statement or after such effectiveness), except in each case the information contained in such document to the extent “furnished” and not “filed.”</w:t>
      </w:r>
    </w:p>
    <w:p>
      <w:pPr>
        <w:spacing w:after="0" w:line="171" w:lineRule="exact"/>
        <w:rPr>
          <w:rFonts w:ascii="Arial" w:cs="Arial" w:eastAsia="Arial" w:hAnsi="Arial"/>
          <w:sz w:val="18"/>
          <w:szCs w:val="18"/>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will provide, upon written or oral request, to each person to whom a prospectus is delivered, including any beneficial owner, a copy of any or all of the information that has been incorporated by reference in the prospectus but not delivered with the prospectus. You may request a copy of these filings, at no cost, by writing or calling us at:</w:t>
      </w:r>
    </w:p>
    <w:p>
      <w:pPr>
        <w:spacing w:after="0" w:line="7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Soleno Therapeutics, Inc.</w:t>
      </w:r>
    </w:p>
    <w:p>
      <w:pPr>
        <w:spacing w:after="0" w:line="2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203 Redwood Shores Pkwy, Suite 500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Redwood City, CA 94065</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Attn: Chief Financial Officer</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(650) 213-8444</w:t>
      </w:r>
    </w:p>
    <w:p>
      <w:pPr>
        <w:spacing w:after="0" w:line="211" w:lineRule="exact"/>
        <w:rPr>
          <w:rFonts w:ascii="Arial" w:cs="Arial" w:eastAsia="Arial" w:hAnsi="Arial"/>
          <w:sz w:val="18"/>
          <w:szCs w:val="18"/>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You may also access the documents incorporated by reference in this prospectus through our website at www.soleno.life. Except for the specific incorporated documents listed above, no information available on or through our website shall be deemed to be incorporated in this prospectus or the registration statement of which it forms a part.</w:t>
      </w:r>
    </w:p>
    <w:p>
      <w:pPr>
        <w:spacing w:after="0" w:line="181" w:lineRule="exact"/>
        <w:rPr>
          <w:rFonts w:ascii="Arial" w:cs="Arial" w:eastAsia="Arial" w:hAnsi="Arial"/>
          <w:sz w:val="18"/>
          <w:szCs w:val="18"/>
          <w:color w:val="auto"/>
        </w:rPr>
      </w:pPr>
    </w:p>
    <w:p>
      <w:pPr>
        <w:ind w:left="200" w:firstLine="441"/>
        <w:spacing w:after="0" w:line="264"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supplement. We have not authorized anyone else to provide you with different information. You should not assume that information in this prospectus or any supplement is accurate as of any date other than the date on the front of these documents.</w:t>
      </w:r>
    </w:p>
    <w:p>
      <w:pPr>
        <w:spacing w:after="0" w:line="114"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1604010</wp:posOffset>
            </wp:positionV>
            <wp:extent cx="1286510" cy="523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128651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SOLENO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11,166,667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October 23,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i w:val="1"/>
          <w:iCs w:val="1"/>
          <w:color w:val="auto"/>
        </w:rPr>
        <w:t>Sole Book-Running Manager</w:t>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Oppenheimer &amp; Co.</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i w:val="1"/>
          <w:iCs w:val="1"/>
          <w:color w:val="auto"/>
        </w:rPr>
        <w:t>Co-Managers</w:t>
      </w:r>
    </w:p>
    <w:p>
      <w:pPr>
        <w:sectPr>
          <w:pgSz w:w="11900" w:h="16838" w:orient="portrait"/>
          <w:cols w:equalWidth="0" w:num="1">
            <w:col w:w="11220"/>
          </w:cols>
          <w:pgMar w:left="240" w:top="459" w:right="439" w:bottom="1440" w:gutter="0" w:footer="0" w:header="0"/>
        </w:sectPr>
      </w:pPr>
    </w:p>
    <w:p>
      <w:pPr>
        <w:spacing w:after="0" w:line="110" w:lineRule="exact"/>
        <w:rPr>
          <w:sz w:val="20"/>
          <w:szCs w:val="20"/>
          <w:color w:val="auto"/>
        </w:rPr>
      </w:pPr>
    </w:p>
    <w:p>
      <w:pPr>
        <w:ind w:left="200"/>
        <w:spacing w:after="0"/>
        <w:tabs>
          <w:tab w:leader="none" w:pos="7800" w:val="left"/>
        </w:tabs>
        <w:rPr>
          <w:sz w:val="20"/>
          <w:szCs w:val="20"/>
          <w:color w:val="auto"/>
        </w:rPr>
      </w:pPr>
      <w:r>
        <w:rPr>
          <w:rFonts w:ascii="Arial" w:cs="Arial" w:eastAsia="Arial" w:hAnsi="Arial"/>
          <w:sz w:val="25"/>
          <w:szCs w:val="25"/>
          <w:b w:val="1"/>
          <w:bCs w:val="1"/>
          <w:color w:val="auto"/>
        </w:rPr>
        <w:t>Roth Capital Partners</w:t>
      </w:r>
      <w:r>
        <w:rPr>
          <w:sz w:val="20"/>
          <w:szCs w:val="20"/>
          <w:color w:val="auto"/>
        </w:rPr>
        <w:tab/>
      </w:r>
      <w:r>
        <w:rPr>
          <w:rFonts w:ascii="Arial" w:cs="Arial" w:eastAsia="Arial" w:hAnsi="Arial"/>
          <w:sz w:val="24"/>
          <w:szCs w:val="24"/>
          <w:b w:val="1"/>
          <w:bCs w:val="1"/>
          <w:color w:val="auto"/>
        </w:rPr>
        <w:t>Laidlaw &amp; Company (UK) Ltd.</w:t>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lowerRoman"/>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Roman"/>
      <w:start w:val="1"/>
    </w:lvl>
    <w:lvl w:ilvl="1">
      <w:lvlJc w:val="left"/>
      <w:lvlText w:val="(%2)"/>
      <w:numFmt w:val="lowerLetter"/>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jpe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jpeg"/><Relationship Id="rId74" Type="http://schemas.openxmlformats.org/officeDocument/2006/relationships/hyperlink" Target="http://www.sec.gov/Archives/edgar/data/1484565/000156459019008508/slno-10k_20181231.htm" TargetMode="External"/><Relationship Id="rId75" Type="http://schemas.openxmlformats.org/officeDocument/2006/relationships/hyperlink" Target="http://www.sec.gov/Archives/edgar/data/1484565/000156459019018686/slno-10q_20190331.htm" TargetMode="External"/><Relationship Id="rId76" Type="http://schemas.openxmlformats.org/officeDocument/2006/relationships/hyperlink" Target="http://www.sec.gov/Archives/edgar/data/1484565/000156459019030078/slno-10q_20190630.htm" TargetMode="External"/><Relationship Id="rId77" Type="http://schemas.openxmlformats.org/officeDocument/2006/relationships/hyperlink" Target="http://www.sec.gov/Archives/edgar/data/1484565/000119312519123582/d692665ddef14a.htm" TargetMode="External"/><Relationship Id="rId78" Type="http://schemas.openxmlformats.org/officeDocument/2006/relationships/hyperlink" Target="http://www.sec.gov/Archives/edgar/data/1484565/000119312519020746/d635359d8k.htm" TargetMode="External"/><Relationship Id="rId79" Type="http://schemas.openxmlformats.org/officeDocument/2006/relationships/hyperlink" Target="http://www.sec.gov/Archives/edgar/data/1484565/000119312519078325/d723120d8k.htm" TargetMode="External"/><Relationship Id="rId80" Type="http://schemas.openxmlformats.org/officeDocument/2006/relationships/hyperlink" Target="http://www.sec.gov/Archives/edgar/data/1484565/000119312519125123/d718929d8k.htm" TargetMode="External"/><Relationship Id="rId81" Type="http://schemas.openxmlformats.org/officeDocument/2006/relationships/hyperlink" Target="http://www.sec.gov/Archives/edgar/data/1484565/000119312519171307/d675221d8k.htm" TargetMode="External"/><Relationship Id="rId82" Type="http://schemas.openxmlformats.org/officeDocument/2006/relationships/hyperlink" Target="http://www.sec.gov/Archives/edgar/data/1484565/000119312519257984/d806514d8k.htm" TargetMode="External"/><Relationship Id="rId83" Type="http://schemas.openxmlformats.org/officeDocument/2006/relationships/hyperlink" Target="http://www.sec.gov/Archives/edgar/data/1484565/000119312514302916/d769843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2019-12-04T22:22:04Z</dcterms:created>
  <dcterms:modified xsi:type="dcterms:W3CDTF">2019-12-04T22:22:04Z</dcterms:modified>
</cp:coreProperties>
</file>