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77-0523891</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74" w:lineRule="exact"/>
        <w:rPr>
          <w:sz w:val="24"/>
          <w:szCs w:val="24"/>
          <w:color w:val="auto"/>
        </w:rPr>
      </w:pPr>
    </w:p>
    <w:p>
      <w:pPr>
        <w:sectPr>
          <w:pgSz w:w="11900" w:h="16838" w:orient="portrait"/>
          <w:cols w:equalWidth="0" w:num="3">
            <w:col w:w="4504" w:space="720"/>
            <w:col w:w="2600" w:space="720"/>
            <w:col w:w="248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100 Marine Parkway, Suite 400 Redwood City, CA 94065</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213-8444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SLNO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with the Securities and Exchange Commission (the “SEC”) on April 6, 2026, Soleno Therapeutics, Inc., a Delaware corporation (the “Company”), entered into an Agreement and Plan of Merger (the “Merger Agreement”), dated as of April 5, 2026, with Neurocrine Biosciences, Inc., a Delaware corporation (“Parent”), and Sigma Merger Sub, Inc., a Delaware corporation and a direct wholly owned subsidiary of Parent (“Purchaser”).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April 20, 2026, Purchaser commenced a tender offer (the “Offer”) to purchase all of the issued and outstanding shares of the common stock of the Company, par value $0.001 per share (the “Shares”), in exchange for $53.00 per Share in cash, without interest (the “Offer Price”), subject to any applicable withholding taxes.</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Offer expired as scheduled one minute following 11:59 p.m. Eastern Time on May 15, 2026 (such date and time, the “Expiration Time”) and was not extended. Equiniti Trust Company, LLC, in its capacity as depositary and paying agent for the Offer, advised Purchaser that, as of the Expiration Time, 46,356,114 Shares had been validly tendered and not validly withdrawn pursuant to the Offer, which represent approximately 88.9% of the issued and outstanding Shares. As of the Expiration Time, the number of Shares tendered satisfied the Minimum Condition (as defined in the Merger Agreement), and all other conditions to the Offer were satisfied or waived. Promptly after the Expiration Time, Purchaser accepted for payment all Shares validly tendered and not validly withdrawn pursuant to the Offer.</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Offer, pursuant to the terms and conditions of the Merger Agreement, in accordance with Section 251(h) of the General Corporation Law of the State of Delaware (the “DGCL”) and without a meeting or a vote of the Company’s stockholders, on May 18, 2026, Purchaser was merged with and into the Company (the “Merger”), with the Company surviving such Merger as a direct wholly owned subsidiary of Parent.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of the Merger (the “Effective Time”), by virtue of the Merger and without any action on the part of the holders thereof, all Shares not validly tendered and issued and outstanding immediately prior to the Effective Time (other than any Shares (1) owned by Parent, Purchaser or the Company or by any of their respective subsidiaries (or held in the Company’s treasury); and (2) as to which the holder is entitled to appraisal rights under the DGCL and has properly exercised and perfected such holder’s demand for appraisal and, as of the Effective Time has not effectively withdrawn or lost such holder’s rights to such appraisal and payment under the DGCL) have been converted into the right to receive the Offer Price, without interest, subject to any applicable withholding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pursuant to the Merger Agreement:</w:t>
      </w:r>
    </w:p>
    <w:p>
      <w:pPr>
        <w:spacing w:after="0" w:line="131" w:lineRule="exact"/>
        <w:rPr>
          <w:sz w:val="20"/>
          <w:szCs w:val="20"/>
          <w:color w:val="auto"/>
        </w:rPr>
      </w:pPr>
    </w:p>
    <w:p>
      <w:pPr>
        <w:jc w:val="both"/>
        <w:ind w:left="960" w:hanging="42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prior to the Effective Time, each option to purchase Shares (each, a “Company Option”) that was outstanding and unexercised as of immediately prior to the Effective Time and that was not an Out of the Money Company Option (as defined below) (an “In the Money Option”), whether or not then vested or exercisable, fully vested and was cancelled and converted into the right to receive an amount in cash, without interest and subject to any applicable withholding taxes, equal to (1) the total number of Shares subject to such Company Option immediately prior to such cancellation multiplied by (2) the excess, if any, of (A) the Offer Price over (B) the exercise price payable per Share underlying such Company Option.</w:t>
      </w:r>
    </w:p>
    <w:p>
      <w:pPr>
        <w:spacing w:after="0" w:line="92" w:lineRule="exact"/>
        <w:rPr>
          <w:rFonts w:ascii="Times New Roman" w:cs="Times New Roman" w:eastAsia="Times New Roman" w:hAnsi="Times New Roman"/>
          <w:sz w:val="18"/>
          <w:szCs w:val="18"/>
          <w:color w:val="auto"/>
        </w:rPr>
      </w:pPr>
    </w:p>
    <w:p>
      <w:pPr>
        <w:jc w:val="both"/>
        <w:ind w:left="960" w:right="2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had an exercise price per Share that is equal to or greater than the Offer Price (an “Out of the Money Company Option”) that was outstanding and unexercised immediately prior to the Effective Time, whether or not then vested or exercisable, was cancelled and no holder thereof was or will be entitled to any payment with respect to such Company Option before or after the Effective Time.</w:t>
      </w:r>
    </w:p>
    <w:p>
      <w:pPr>
        <w:spacing w:after="0" w:line="85" w:lineRule="exact"/>
        <w:rPr>
          <w:rFonts w:ascii="Times New Roman" w:cs="Times New Roman" w:eastAsia="Times New Roman" w:hAnsi="Times New Roman"/>
          <w:sz w:val="18"/>
          <w:szCs w:val="18"/>
          <w:color w:val="auto"/>
        </w:rPr>
      </w:pPr>
    </w:p>
    <w:p>
      <w:pPr>
        <w:jc w:val="both"/>
        <w:ind w:left="9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prior to the Effective Time, each restricted stock unit award with respect to Shares (each, a “Company RSU”) that was outstanding as of immediately prior to the Effective Time, whether or not then vested, fully vested, and was cancelled and converted into the right to receive an amount in cash, without interest and subject to any applicable withholding taxes, equal to the product of (1) the Offer Price and (2) the number of Shares subject to such Company RSU immediately prior to such cancellation.</w:t>
      </w:r>
    </w:p>
    <w:p>
      <w:pPr>
        <w:spacing w:after="0" w:line="85" w:lineRule="exact"/>
        <w:rPr>
          <w:rFonts w:ascii="Times New Roman" w:cs="Times New Roman" w:eastAsia="Times New Roman" w:hAnsi="Times New Roman"/>
          <w:sz w:val="18"/>
          <w:szCs w:val="18"/>
          <w:color w:val="auto"/>
        </w:rPr>
      </w:pPr>
    </w:p>
    <w:p>
      <w:pPr>
        <w:jc w:val="both"/>
        <w:ind w:left="96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prior to the Effective Time, each warrant to purchase Shares (each, a “Company Warrant”) that was outstanding and unexercised immediately prior to the Effective Time, whether vested or unvested, was treated as being simultaneously cashless exercised as of immediately prior to the Effective Time, in accordance with the terms and conditions specified in the applicable Company Warrant and the related warrant termination agreements between the Company and the respective holders of the Company Warrants, subject to deduction for any applicable withholding taxes.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Offer, the Merger and the Merger Agreement does not purport to be complete and is qualified in its entirety by reference to the Merger Agreement, a copy of which was filed as Exhibit 2.1 to the Current Report on Form 8-K filed by the Company with the SEC on April 6, 2026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18, 2026, in connection with the Merger, the Company, as borrower, terminated the Loan and Security Agreement, dated as of December 17, 2024, as amended, by and among the Company, Essentialis, Inc., the lenders from time to time party thereto and Oxford Finance LLC, as collateral agent (the “Loan and Security Agreement”). The Company previously filed the Loan and Security Agreement as Exhibit 10.16 to its Annual Report on Form 10-K for the year ended December 31, 2024, filed with the SEC on February 28, 2025.</w:t>
      </w:r>
    </w:p>
    <w:p>
      <w:pPr>
        <w:sectPr>
          <w:pgSz w:w="11900" w:h="16838" w:orient="portrait"/>
          <w:cols w:equalWidth="0" w:num="1">
            <w:col w:w="11020"/>
          </w:cols>
          <w:pgMar w:left="440" w:top="293"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Employee Stock Purchase Plan</w:t>
      </w:r>
    </w:p>
    <w:p>
      <w:pPr>
        <w:spacing w:after="0" w:line="11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Merger Agreement, effective immediately prior to the Effective Time, the Company terminated its 2014 Employee Stock Purchase Plan (the “ESPP”). The Company previously filed the ESPP as Exhibit 10.5 to its Registration Statement on Form S-1, as amended (File No. 333-196635), originally filed with the SEC on July 1, 2014, and declared effective on November 12, 2014.</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1.02.</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As described in the Introductory Note above, promptly after the Expiration Time, Purchaser irrevocably accepted for payment all Shares validly tendered and not validly withdrawn pursuant to the Offer on or prior to the Expiration Time. On May 18, 2026, the Merger was completed pursuant to Section 251(h) of the DGCL, with no vote of the Company’s stockholders required. Upon the consummation of the Merger, the Company became a direct wholly owned subsidiary of Parent.</w:t>
      </w:r>
    </w:p>
    <w:p>
      <w:pPr>
        <w:spacing w:after="0" w:line="180"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Items 1.02, 5.01 and 5.03 of this Current Report on Form 8-K is incorporated by reference into this Item 2.01.</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May 18, 2026, the Company notified The Nasdaq Capital Market (“Nasdaq”) of the consummation of the Merger and requested that Nasdaq</w:t>
      </w:r>
    </w:p>
    <w:p>
      <w:pPr>
        <w:spacing w:after="0" w:line="27" w:lineRule="exact"/>
        <w:rPr>
          <w:sz w:val="20"/>
          <w:szCs w:val="20"/>
          <w:color w:val="auto"/>
        </w:rPr>
      </w:pPr>
    </w:p>
    <w:p>
      <w:pPr>
        <w:jc w:val="both"/>
        <w:ind w:left="4" w:right="20" w:hanging="4"/>
        <w:spacing w:after="0" w:line="253" w:lineRule="auto"/>
        <w:tabs>
          <w:tab w:leader="none" w:pos="2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trading of and delist the Shares and (ii) file with the SEC a notification of removal from listing and/or registration on Form 25 to effect the delisting of all Shares from Nasdaq and the deregistration of such Shares under Section 12(b) of the Securities Exchange Act of 1934, as amended (the “Exchange Act”). In addition, the Company intends to file a certification and notice of termination of registration on Form 15 with the SEC requesting the termination of registration of the Shares under Section 12(g) of the Exchange Act and the suspension of the Company’s reporting obligations under Sections 13 and 15(d) of the Exchange Act.</w:t>
      </w:r>
    </w:p>
    <w:p>
      <w:pPr>
        <w:spacing w:after="0" w:line="33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Items 2.01, 3.01, 5.01 and 5.03 of this Current Report on Form 8-K is incorporated by reference into this Item 3.03.</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As a result of the completion of the Merger, a change in control of the Company occurred, and the Company became a direct wholly owned subsidiary of Parent. The Offer Consideration was funded through Parent’s cash on hand.</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Items 2.01 and 5.02 of this Current Report on Form 8-K is incorporated by reference into this Item 5.01.</w:t>
      </w:r>
    </w:p>
    <w:p>
      <w:pPr>
        <w:sectPr>
          <w:pgSz w:w="11900" w:h="16838" w:orient="portrait"/>
          <w:cols w:equalWidth="0" w:num="1">
            <w:col w:w="11024"/>
          </w:cols>
          <w:pgMar w:left="436" w:top="295" w:right="439" w:bottom="1440" w:gutter="0" w:footer="0" w:header="0"/>
        </w:sect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64" w:space="440"/>
            <w:col w:w="9820"/>
          </w:cols>
          <w:pgMar w:left="436" w:top="29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5.02.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accordance with the terms of the Merger Agreement, each of Anish Bhatnagar, M.D., Mark Hahn, Matthew Pauls, Birgitte Volck, Andrew Sinclair</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and Dawn Bir resigned from his or her respective positions as a member of the Company’s board of directors and all committees thereof effective as of the Effective Time. Immediately following the Effective Time, Matthew C. Abernethy and Darin M. Lippoldt became the directors of the Company, in each case, as of the Effective Time. The director resignations were tendered in connection with the Merger and were not a result of any disagreement between the Company and the directors on any matter relating to the Company’s operations, policies or practices.</w:t>
      </w:r>
    </w:p>
    <w:p>
      <w:pPr>
        <w:spacing w:after="0" w:line="180"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Merger Agreement, (i) each of Anish Bhatnagar, M.D. (Chief Executive Officer), Jennifer Fulk (Chief Financial Officer), Patricia Hirano (Senior Vice President, Regulatory Affairs), Kristen Yen (Senior Vice President, Global Clinical Operations &amp; Patient Advocacy), Meredith Manning (Chief Commercial Officer), Manher (AJ) Joshi (Chief Development Officer), Kevin Norrett (Chief Business Officer) and Michael Huang (Senior Vice President, Clinical Development) resigned from his or her positions as an officer of the Company, in each case, effective as of the Effective Time. Following the Effective Time, the officers of the Company are as follows: Darin M. Lippoldt (President and Secretary) and Matthew C. Abernethy (Treasurer and Vice President).</w:t>
      </w:r>
    </w:p>
    <w:p>
      <w:pPr>
        <w:spacing w:after="0" w:line="187" w:lineRule="exact"/>
        <w:rPr>
          <w:sz w:val="20"/>
          <w:szCs w:val="20"/>
          <w:color w:val="auto"/>
        </w:rPr>
      </w:pPr>
    </w:p>
    <w:p>
      <w:pPr>
        <w:jc w:val="both"/>
        <w:ind w:left="4" w:right="20"/>
        <w:spacing w:after="0" w:line="266" w:lineRule="auto"/>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Information about Matthew C. Abernethy and Darin M. Lippoldt is contained in the Offer to Purchase, filed by Purchaser and Parent as </w:t>
        </w:r>
        <w:r>
          <w:rPr>
            <w:rFonts w:ascii="Times New Roman" w:cs="Times New Roman" w:eastAsia="Times New Roman" w:hAnsi="Times New Roman"/>
            <w:sz w:val="18"/>
            <w:szCs w:val="18"/>
            <w:u w:val="single" w:color="auto"/>
            <w:color w:val="0000EE"/>
          </w:rPr>
          <w:t>Exhibit (a)(1)</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00"/>
          </w:rPr>
          <w:t>) to the Tender Offer Statement on Schedule TO, originally filed with the SEC on</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April 20, 2026</w:t>
        </w:r>
      </w:hyperlink>
      <w:hyperlink r:id="rId19">
        <w:r>
          <w:rPr>
            <w:rFonts w:ascii="Times New Roman" w:cs="Times New Roman" w:eastAsia="Times New Roman" w:hAnsi="Times New Roman"/>
            <w:sz w:val="18"/>
            <w:szCs w:val="18"/>
            <w:color w:val="000000"/>
          </w:rPr>
          <w:t>, which information is incorporated herein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w:t>
      </w:r>
    </w:p>
    <w:p>
      <w:pPr>
        <w:spacing w:after="0" w:line="176" w:lineRule="exact"/>
        <w:rPr>
          <w:rFonts w:ascii="Times New Roman" w:cs="Times New Roman" w:eastAsia="Times New Roman" w:hAnsi="Times New Roman"/>
          <w:sz w:val="18"/>
          <w:szCs w:val="18"/>
          <w:color w:val="0000EE"/>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The foregoing director and officer resignations were tendered in connection with the Merger and were not a result of any disagreement between the Company and such former directors and officers on any matter relating to the Company’s operations, policies or practices.</w:t>
      </w:r>
    </w:p>
    <w:p>
      <w:pPr>
        <w:sectPr>
          <w:pgSz w:w="11900" w:h="16838" w:orient="portrait"/>
          <w:cols w:equalWidth="0" w:num="1">
            <w:col w:w="11024"/>
          </w:cols>
          <w:pgMar w:left="436" w:top="295" w:right="439" w:bottom="1440" w:gutter="0" w:footer="0" w:header="0"/>
          <w:type w:val="continuous"/>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the Company’s certificate of incorporation and bylaws were each amended and restated in their entirety. Copies of the amended and restated certificate of incorporation and amended and restated bylaws are attached as Exhibit 3.1 and Exhibit 3.2, respectively, to this Current Report on Form 8-K, and are incorporated herein by reference.</w:t>
      </w:r>
    </w:p>
    <w:p>
      <w:pPr>
        <w:sectPr>
          <w:pgSz w:w="11900" w:h="16838" w:orient="portrait"/>
          <w:cols w:equalWidth="0" w:num="1">
            <w:col w:w="11000"/>
          </w:cols>
          <w:pgMar w:left="440" w:top="293" w:right="459" w:bottom="1440" w:gutter="0" w:footer="0" w:header="0"/>
        </w:sectPr>
      </w:pPr>
    </w:p>
    <w:bookmarkStart w:id="4" w:name="page5"/>
    <w:bookmarkEnd w:id="4"/>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4"/>
                <w:szCs w:val="24"/>
                <w:color w:val="auto"/>
              </w:rPr>
            </w:pPr>
          </w:p>
        </w:tc>
        <w:tc>
          <w:tcPr>
            <w:tcW w:w="101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Agreement and Plan of Merger, dated as of April 5, 2026, by and among Soleno Therapeutics, Inc., Neurocrine Biosciences, Inc., and Sigma</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Merger Sub, Inc. (incorporated by reference to Exhibit 2.1 to the Company’s Current Report on Form 8-K filed with the SEC on April 6,</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80" w:type="dxa"/>
            <w:vAlign w:val="bottom"/>
            <w:gridSpan w:val="2"/>
          </w:tcPr>
          <w:p>
            <w:pPr>
              <w:ind w:left="420"/>
              <w:spacing w:after="0" w:line="196" w:lineRule="exact"/>
              <w:rPr>
                <w:rFonts w:ascii="Times New Roman" w:cs="Times New Roman" w:eastAsia="Times New Roman" w:hAnsi="Times New Roman"/>
                <w:sz w:val="18"/>
                <w:szCs w:val="18"/>
                <w:color w:val="0000EE"/>
                <w:w w:val="94"/>
              </w:rPr>
            </w:pPr>
            <w:hyperlink r:id="rId23">
              <w:r>
                <w:rPr>
                  <w:rFonts w:ascii="Times New Roman" w:cs="Times New Roman" w:eastAsia="Times New Roman" w:hAnsi="Times New Roman"/>
                  <w:sz w:val="18"/>
                  <w:szCs w:val="18"/>
                  <w:color w:val="0000EE"/>
                  <w:w w:val="94"/>
                </w:rPr>
                <w:t>2026).</w:t>
              </w:r>
            </w:hyperlink>
          </w:p>
        </w:tc>
        <w:tc>
          <w:tcPr>
            <w:tcW w:w="3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Amended and Restated Certificate of Incorporation of Soleno Therapeutics, Inc.</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5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Amended and Restated Bylaws of Soleno Therapeutics, Inc.</w:t>
            </w:r>
          </w:p>
        </w:tc>
        <w:tc>
          <w:tcPr>
            <w:tcW w:w="4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224" w:hanging="224"/>
        <w:spacing w:after="0" w:line="266"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and schedules have been omitted pursuant to Item 601(a)(5) of Regulation S-K. The Company hereby undertakes to furnish supplemental copies of any of the omitted annexes and schedules upon request by the SEC; provided, however, that the Company may request confidential treatment pursuant to Rule 24b-2 of the Securities and Exchange Act of 1934 for any annexes or schedules so furnished.</w:t>
      </w:r>
    </w:p>
    <w:p>
      <w:pPr>
        <w:sectPr>
          <w:pgSz w:w="11900" w:h="16838" w:orient="portrait"/>
          <w:cols w:equalWidth="0" w:num="1">
            <w:col w:w="11004"/>
          </w:cols>
          <w:pgMar w:left="436" w:top="293"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18,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Darin M. Lippoldt</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President and Secretary</w:t>
      </w:r>
    </w:p>
    <w:p>
      <w:pPr>
        <w:sectPr>
          <w:pgSz w:w="11900" w:h="16838" w:orient="portrait"/>
          <w:cols w:equalWidth="0" w:num="1">
            <w:col w:w="11000"/>
          </w:cols>
          <w:pgMar w:left="440" w:top="293"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Soleno Therapeutics, Inc.</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registered office of the corporation in the State of Delaware is 251 Little Falls Drive, Wilmington, County of New Castle, 19808,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name of the registered agent of the corporation in the State of Delaware at such address is The Corporation Service Company.</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purpose of this corporation is to engage in any lawful act or activity for which a corporation may be organized under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corporation is authorized to issue only one class of stock, to be designated Common Stock. The total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presently authorized is 1,000, each having a par value of $0.001.</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FIFTH.</w:t>
      </w:r>
    </w:p>
    <w:p>
      <w:pPr>
        <w:spacing w:after="0" w:line="117"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 Management by Board of Directors</w:t>
      </w:r>
      <w:r>
        <w:rPr>
          <w:rFonts w:ascii="Times New Roman" w:cs="Times New Roman" w:eastAsia="Times New Roman" w:hAnsi="Times New Roman"/>
          <w:sz w:val="18"/>
          <w:szCs w:val="18"/>
          <w:color w:val="auto"/>
        </w:rPr>
        <w:t>. The management of the business and the conduct of the affairs of the corporation will be vested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The number of directors which will constitute the whole Board of Directors will be fixed by the Board of Directors in the manner provided in the Bylaws. Unless and except to the extent that the bylaws of the corporation so require the election of directors of the corporation need not be by written ballot.</w:t>
      </w:r>
    </w:p>
    <w:p>
      <w:pPr>
        <w:spacing w:after="0" w:line="176"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B. Election of Directors</w:t>
      </w:r>
      <w:r>
        <w:rPr>
          <w:rFonts w:ascii="Times New Roman" w:cs="Times New Roman" w:eastAsia="Times New Roman" w:hAnsi="Times New Roman"/>
          <w:sz w:val="18"/>
          <w:szCs w:val="18"/>
          <w:color w:val="auto"/>
        </w:rPr>
        <w:t>. Directors will be elected at each annual meeting of stockholders to hold office until the next annual meeting.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will hold office either until the expiration of the term for which elected or appointed and until a successor has been elected and qualified, or until such director’s death, resignation or removal. No decrease in the number of directors constituting the Board of Directors will shorten the term of any incumbent director.</w:t>
      </w:r>
    </w:p>
    <w:p>
      <w:pPr>
        <w:spacing w:after="0" w:line="17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 No Cumulative Voting</w:t>
      </w:r>
      <w:r>
        <w:rPr>
          <w:rFonts w:ascii="Times New Roman" w:cs="Times New Roman" w:eastAsia="Times New Roman" w:hAnsi="Times New Roman"/>
          <w:sz w:val="18"/>
          <w:szCs w:val="18"/>
          <w:color w:val="auto"/>
        </w:rPr>
        <w:t>. No person entitled to vote at an election for directors may cumulate votes to which such person is entitled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will be entitled to so cumulate such stockholder’s votes unless (1) the names of such candidate or candidates have been placed in nomination prior to the voting and (2)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8"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D. Removal</w:t>
      </w:r>
      <w:r>
        <w:rPr>
          <w:rFonts w:ascii="Times New Roman" w:cs="Times New Roman" w:eastAsia="Times New Roman" w:hAnsi="Times New Roman"/>
          <w:sz w:val="18"/>
          <w:szCs w:val="18"/>
          <w:color w:val="auto"/>
        </w:rPr>
        <w:t>. Subject to any limitations imposed by applicable law, the Board of Directors or any director may be removed from office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with or without cause, by the affirmative vote of the</w:t>
      </w:r>
    </w:p>
    <w:p>
      <w:pPr>
        <w:sectPr>
          <w:pgSz w:w="11900" w:h="16838" w:orient="portrait"/>
          <w:cols w:equalWidth="0" w:num="1">
            <w:col w:w="11020"/>
          </w:cols>
          <w:pgMar w:left="440" w:top="117" w:right="439" w:bottom="1440" w:gutter="0" w:footer="0" w:header="0"/>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a majority of the voting power of all then-outstanding shares of capital stock of the corporation entitled to vote generally at an election of directors.</w:t>
      </w:r>
    </w:p>
    <w:p>
      <w:pPr>
        <w:spacing w:after="0" w:line="158"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E. Empowerment Regarding Bylaws</w:t>
      </w:r>
      <w:r>
        <w:rPr>
          <w:rFonts w:ascii="Times New Roman" w:cs="Times New Roman" w:eastAsia="Times New Roman" w:hAnsi="Times New Roman"/>
          <w:sz w:val="18"/>
          <w:szCs w:val="18"/>
          <w:color w:val="auto"/>
        </w:rPr>
        <w:t>. The Board of Directors is expressly empowered to adopt, amend or repeal the Bylaws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will also have power to adopt, amend or repeal the Bylaws of the corporation; provided, however, that, in addition to any vote of the holders of any class or series of stock of the corporation required by law or by this Certificate of Incorporation, such action by stockholders will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SIXTH.</w:t>
      </w:r>
    </w:p>
    <w:p>
      <w:pPr>
        <w:spacing w:after="0" w:line="117"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 Liability of Directors and Officers Limited</w:t>
      </w:r>
      <w:r>
        <w:rPr>
          <w:rFonts w:ascii="Times New Roman" w:cs="Times New Roman" w:eastAsia="Times New Roman" w:hAnsi="Times New Roman"/>
          <w:sz w:val="18"/>
          <w:szCs w:val="18"/>
          <w:color w:val="auto"/>
        </w:rPr>
        <w:t>. The liability of the directors and officers for monetary damages for breach of fiduciary duty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or officer is eliminated to the fullest extent under applicable law. If applicable law is amended after the effectiveness of this Article VI to authorize corporate action further eliminating or limiting the personal liability of directors or officers, then the liability of a director or officer to the corporation will be eliminated or limited to the fullest extent permitted by applicable law as so amended. Solely for purposes of this Part A of this Article VI, “officer” shall have the meaning provided in Section 102(b)(7) of the DGCL as amended from time to time.</w:t>
      </w:r>
    </w:p>
    <w:p>
      <w:pPr>
        <w:spacing w:after="0" w:line="17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B. Indemnification Authorized</w:t>
      </w:r>
      <w:r>
        <w:rPr>
          <w:rFonts w:ascii="Times New Roman" w:cs="Times New Roman" w:eastAsia="Times New Roman" w:hAnsi="Times New Roman"/>
          <w:sz w:val="18"/>
          <w:szCs w:val="18"/>
          <w:color w:val="auto"/>
        </w:rPr>
        <w:t>. To the fullest extent permitted by applicable law, the corporation is authorized to provide indemnification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advancement of 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Limitation on Repeal of Article VI</w:t>
      </w:r>
      <w:r>
        <w:rPr>
          <w:rFonts w:ascii="Times New Roman" w:cs="Times New Roman" w:eastAsia="Times New Roman" w:hAnsi="Times New Roman"/>
          <w:sz w:val="18"/>
          <w:szCs w:val="18"/>
          <w:color w:val="auto"/>
        </w:rPr>
        <w:t>. Any repeal or modification of this Article VI is only prospective and does not affect the rights or protections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increase the liability of any officer or director under this Article VI in effect at the time of the alleged occurrence of any act or omission to act giving rise to liability or indemnification.</w:t>
      </w:r>
    </w:p>
    <w:p>
      <w:pPr>
        <w:spacing w:after="0" w:line="171"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now or hereafter prescribed by statute, and all rights conferred upon the stockholders herein are granted subject to this reservation.</w:t>
      </w:r>
    </w:p>
    <w:p>
      <w:pPr>
        <w:spacing w:after="0" w:line="15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Unless the corporation consents in writing to the selection of an alternative forum, the Court of Chancery in the State of Delaware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corporation’s certificate of incorporation or bylaws or (iv) any action asserting a claim against the corporation, its directors, officers or employees governed by the internal affairs doctrine or otherwise related to the internal affairs of the corporation,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w:t>
      </w:r>
    </w:p>
    <w:p>
      <w:pPr>
        <w:sectPr>
          <w:pgSz w:w="11900" w:h="16838" w:orient="portrait"/>
          <w:cols w:equalWidth="0" w:num="1">
            <w:col w:w="11020"/>
          </w:cols>
          <w:pgMar w:left="440" w:top="270" w:right="4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 is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and circumstances will not in any way be affected or impaired thereby.</w:t>
      </w:r>
    </w:p>
    <w:p>
      <w:pPr>
        <w:sectPr>
          <w:pgSz w:w="11900" w:h="16838" w:orient="portrait"/>
          <w:cols w:equalWidth="0" w:num="1">
            <w:col w:w="11000"/>
          </w:cols>
          <w:pgMar w:left="440" w:top="270"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0020"/>
          </w:cols>
          <w:pgMar w:left="1440" w:top="117" w:right="43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 Registered Office</w:t>
      </w:r>
      <w:r>
        <w:rPr>
          <w:rFonts w:ascii="Times New Roman" w:cs="Times New Roman" w:eastAsia="Times New Roman" w:hAnsi="Times New Roman"/>
          <w:sz w:val="18"/>
          <w:szCs w:val="18"/>
          <w:color w:val="auto"/>
        </w:rPr>
        <w:t>. The registered office of the corporation in the State of Delaware is 251 Little Falls Drive, City of Wilmington,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County of New Castle, 19808 or in such other location as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may from time to time determine or the business of the corporation may require.</w:t>
      </w:r>
    </w:p>
    <w:p>
      <w:pPr>
        <w:spacing w:after="0" w:line="171"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 Other Offices</w:t>
      </w:r>
      <w:r>
        <w:rPr>
          <w:rFonts w:ascii="Times New Roman" w:cs="Times New Roman" w:eastAsia="Times New Roman" w:hAnsi="Times New Roman"/>
          <w:sz w:val="18"/>
          <w:szCs w:val="18"/>
          <w:color w:val="auto"/>
        </w:rPr>
        <w:t>. The corporation will also have and maintain an office or principal place of business at such place as may be fixed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3. Corporate Seal</w:t>
      </w:r>
      <w:r>
        <w:rPr>
          <w:rFonts w:ascii="Times New Roman" w:cs="Times New Roman" w:eastAsia="Times New Roman" w:hAnsi="Times New Roman"/>
          <w:sz w:val="18"/>
          <w:szCs w:val="18"/>
          <w:color w:val="auto"/>
        </w:rPr>
        <w:t>. The Board of Directors may adopt a corporate seal. Said seal may be used by causing it or a facsimile thereof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impressed or affixed or reproduced or otherwise.</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4. Place of Meetings</w:t>
      </w:r>
      <w:r>
        <w:rPr>
          <w:rFonts w:ascii="Times New Roman" w:cs="Times New Roman" w:eastAsia="Times New Roman" w:hAnsi="Times New Roman"/>
          <w:sz w:val="18"/>
          <w:szCs w:val="18"/>
          <w:color w:val="auto"/>
        </w:rPr>
        <w:t>. Meetings of the stockholders of the corporation may be held at such place, either within or without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as may be determined from time to time by the Board of Directors. The Board of Directors may, in its sole discretion, determine that the meeting will not be held at any place, but may instead be held solely by means of remote communication as provided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5. Annual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56" w:lineRule="auto"/>
        <w:tabs>
          <w:tab w:leader="none" w:pos="1258"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lawfully come before it, will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spacing w:after="0" w:line="187" w:lineRule="exact"/>
        <w:rPr>
          <w:rFonts w:ascii="Times New Roman" w:cs="Times New Roman" w:eastAsia="Times New Roman" w:hAnsi="Times New Roman"/>
          <w:sz w:val="18"/>
          <w:szCs w:val="18"/>
          <w:b w:val="1"/>
          <w:bCs w:val="1"/>
          <w:color w:val="auto"/>
        </w:rPr>
      </w:pPr>
    </w:p>
    <w:p>
      <w:pPr>
        <w:jc w:val="both"/>
        <w:ind w:left="4" w:firstLine="987"/>
        <w:spacing w:after="0" w:line="261" w:lineRule="auto"/>
        <w:tabs>
          <w:tab w:leader="none" w:pos="1268"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will be conducted as has been properly brought before the meeting. For nominations or other business to be properly brought before an annual meeting by a stockholder pursuant to clause (iii) of paragraph (a) of this Section,</w:t>
      </w:r>
    </w:p>
    <w:p>
      <w:pPr>
        <w:jc w:val="both"/>
        <w:ind w:left="4" w:hanging="4"/>
        <w:spacing w:after="0" w:line="253"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have given timely notice thereof in writing to the Secretary of the corporation, (ii) such other business must be a proper matter for stockholder action under the DGCL and applicable law, (iii) if the stockholder, or the beneficial owner on whose behalf any such proposal or nomination is made, has provided the corporation with a Solicitation Notice (as defined in this paragraph), such stockholder or beneficial owner must, in the case of a proposal, have delivered a proxy statement and form of proxy to</w:t>
      </w:r>
    </w:p>
    <w:p>
      <w:pPr>
        <w:sectPr>
          <w:pgSz w:w="11900" w:h="16838" w:orient="portrait"/>
          <w:cols w:equalWidth="0" w:num="1">
            <w:col w:w="11024"/>
          </w:cols>
          <w:pgMar w:left="436" w:top="266" w:right="439" w:bottom="1440" w:gutter="0" w:footer="0" w:header="0"/>
        </w:sectPr>
      </w:pPr>
    </w:p>
    <w:bookmarkStart w:id="11" w:name="page12"/>
    <w:bookmarkEnd w:id="11"/>
    <w:p>
      <w:pPr>
        <w:jc w:val="both"/>
        <w:spacing w:after="0" w:line="23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will be delivered to the Secretary at the principal executive offices of the corporation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date of the annual meeting is advanced more than 30 days prior to or delayed by more than 30 days after the anniversary of the preceding year’s annual meeting, notice by the stockholder to be timely must be so delivered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In no event will the public announcement of an adjournment of an annual meeting commence a new time period for the giving of a stockholder’s notice as described above. Such stockholder’s notice will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Times New Roman" w:cs="Times New Roman" w:eastAsia="Times New Roman" w:hAnsi="Times New Roman"/>
          <w:sz w:val="18"/>
          <w:szCs w:val="18"/>
          <w:b w:val="1"/>
          <w:bCs w:val="1"/>
          <w:i w:val="1"/>
          <w:iCs w:val="1"/>
          <w:color w:val="auto"/>
        </w:rPr>
        <w:t>Solicitation Notice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987"/>
        <w:spacing w:after="0" w:line="262" w:lineRule="auto"/>
        <w:tabs>
          <w:tab w:leader="none" w:pos="126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will also be considered timely, but only with respect to nominees for any new positions created by such increase, if it is delivered to the Secretary at the principal executive offices of the corporation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such public announcement is first made by the corporation.</w:t>
      </w:r>
    </w:p>
    <w:p>
      <w:pPr>
        <w:spacing w:after="0" w:line="55" w:lineRule="exact"/>
        <w:rPr>
          <w:rFonts w:ascii="Times New Roman" w:cs="Times New Roman" w:eastAsia="Times New Roman" w:hAnsi="Times New Roman"/>
          <w:sz w:val="18"/>
          <w:szCs w:val="18"/>
          <w:b w:val="1"/>
          <w:bCs w:val="1"/>
          <w:color w:val="auto"/>
        </w:rPr>
      </w:pPr>
    </w:p>
    <w:p>
      <w:pPr>
        <w:jc w:val="both"/>
        <w:ind w:right="20" w:firstLine="987"/>
        <w:spacing w:after="0" w:line="261" w:lineRule="auto"/>
        <w:tabs>
          <w:tab w:leader="none" w:pos="126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such persons who are nominated in accordance with the procedures set forth in this Section (or elected or appointed pursuant to Article IV of these Bylaws) will be eligible to serve as directors and only such business will be conducted at a meeting of stockholders as has been brought before the meeting in accordance with the procedures set forth in this Section. Except as otherwise provided by law, the chair of the meeting will have the power and duty to determine whether a nomination or any</w:t>
      </w:r>
    </w:p>
    <w:p>
      <w:pPr>
        <w:sectPr>
          <w:pgSz w:w="11900" w:h="16838" w:orient="portrait"/>
          <w:cols w:equalWidth="0" w:num="1">
            <w:col w:w="11020"/>
          </w:cols>
          <w:pgMar w:left="440" w:top="270" w:right="439" w:bottom="1440" w:gutter="0" w:footer="0" w:header="0"/>
        </w:sectPr>
      </w:pPr>
    </w:p>
    <w:bookmarkStart w:id="12" w:name="page13"/>
    <w:bookmarkEnd w:id="1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will not be presented for stockholder action at the meeting and will be disregarded.</w:t>
      </w:r>
    </w:p>
    <w:p>
      <w:pPr>
        <w:spacing w:after="0" w:line="176" w:lineRule="exact"/>
        <w:rPr>
          <w:sz w:val="20"/>
          <w:szCs w:val="20"/>
          <w:color w:val="auto"/>
        </w:rPr>
      </w:pPr>
    </w:p>
    <w:p>
      <w:pPr>
        <w:jc w:val="both"/>
        <w:ind w:firstLine="987"/>
        <w:spacing w:after="0" w:line="261" w:lineRule="auto"/>
        <w:tabs>
          <w:tab w:leader="none" w:pos="124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is deemed to affect any rights of stockholders to request inclusion of proposals in the corporation proxy statement pursuant to Rule 14a-8 under the 1934 Act.</w:t>
      </w:r>
    </w:p>
    <w:p>
      <w:pPr>
        <w:spacing w:after="0" w:line="179" w:lineRule="exact"/>
        <w:rPr>
          <w:rFonts w:ascii="Times New Roman" w:cs="Times New Roman" w:eastAsia="Times New Roman" w:hAnsi="Times New Roman"/>
          <w:sz w:val="18"/>
          <w:szCs w:val="18"/>
          <w:b w:val="1"/>
          <w:bCs w:val="1"/>
          <w:color w:val="auto"/>
        </w:rPr>
      </w:pPr>
    </w:p>
    <w:p>
      <w:pPr>
        <w:jc w:val="both"/>
        <w:ind w:right="20" w:firstLine="987"/>
        <w:spacing w:after="0" w:line="266" w:lineRule="auto"/>
        <w:tabs>
          <w:tab w:leader="none" w:pos="12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Section, “public announcement” means disclosure in a press release reported by the Dow Jones News Service, Associated Press or comparable national news service or in a document publicly filed by the corporation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pursuant to Section 13, 14 or 15(d) of the 1934 Act.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987"/>
        <w:spacing w:after="0" w:line="256" w:lineRule="auto"/>
        <w:tabs>
          <w:tab w:leader="none" w:pos="125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or purposes, by (i) the Chair of the Board of Directors, (ii) the Chief Executive Officer, (iii) the Board of Directors pursuant to a resolution adopted by directors representing a quorum of the directors then serving on the Board of Directors or (iv) the holders of shares entitled to cast not less than 20% of the voting power of all then-outstanding shares of capital stock of the corporation , and will be held at such place, on such date, and at such time as the Board of Directors will fix. At any time or times that the corporation is subject to Section 2115(b) of the California General Corporation Law (the “</w:t>
      </w:r>
      <w:r>
        <w:rPr>
          <w:rFonts w:ascii="Times New Roman" w:cs="Times New Roman" w:eastAsia="Times New Roman" w:hAnsi="Times New Roman"/>
          <w:sz w:val="18"/>
          <w:szCs w:val="18"/>
          <w:b w:val="1"/>
          <w:bCs w:val="1"/>
          <w:i w:val="1"/>
          <w:iCs w:val="1"/>
          <w:color w:val="auto"/>
        </w:rPr>
        <w:t>CGCL</w:t>
      </w:r>
      <w:r>
        <w:rPr>
          <w:rFonts w:ascii="Times New Roman" w:cs="Times New Roman" w:eastAsia="Times New Roman" w:hAnsi="Times New Roman"/>
          <w:sz w:val="18"/>
          <w:szCs w:val="18"/>
          <w:color w:val="auto"/>
        </w:rPr>
        <w:t>”), stockholders holding 5% or more of the outstanding shares will have the right to call a special meeting of stockholders as set forth in Section 18(b) of these Bylaws.</w:t>
      </w:r>
    </w:p>
    <w:p>
      <w:pPr>
        <w:spacing w:after="0" w:line="187"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7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special meeting is properly called by any person or persons other than the Board of Directors, the request must be in writing, specifying the general nature of the business proposed to be transacted, and must be delivered personally or sent by certified or registered mail, return receipt requested, or by electronic transmission to the Chair of the Board of Directors, the Chief Executive Officer, or the Secretary of the corporation. No business may be transacted at such special meeting otherwise than specified in such notice. The Board of Directors will determine the time and place of such special meeting, which will be held not less than 35 nor more than 120 days after the date of the receipt of the request. Upon determination of the time and place of the meeting, the officer receiving the request will cause notice to be given to the stockholders entitled to vote, in accordance with the provisions of Section 7 of these Bylaws. Nothing contained in this paragraph (b) is to be construed as limiting, fixing, or affecting the time when a meeting of stockholders called by action of the Board of Directors may be held.</w:t>
      </w:r>
    </w:p>
    <w:p>
      <w:pPr>
        <w:spacing w:after="0" w:line="188"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7. Notice of Meetings</w:t>
      </w:r>
      <w:r>
        <w:rPr>
          <w:rFonts w:ascii="Times New Roman" w:cs="Times New Roman" w:eastAsia="Times New Roman" w:hAnsi="Times New Roman"/>
          <w:sz w:val="18"/>
          <w:szCs w:val="18"/>
          <w:color w:val="auto"/>
        </w:rPr>
        <w:t>. Except as otherwise provided by law, notice, given in accordance with Section 232 of the DGCL, of each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will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Notice of the time, place, if any, and purpose of any meeting of stockholders may be waived in writing, signed by the person entitled to notice thereof or by electronic transmission by such person, either before or after such meeting, and will be waived by any stockholder by such stockholder’s attendance thereat in person, by remote communication, if applicable, or by proxy, except when the stockholder attends a meeting for the express purpose of objecting, at the beginning of the meeting, to the transaction of any business because the meeting</w:t>
      </w:r>
    </w:p>
    <w:p>
      <w:pPr>
        <w:sectPr>
          <w:pgSz w:w="11900" w:h="16838" w:orient="portrait"/>
          <w:cols w:equalWidth="0" w:num="1">
            <w:col w:w="11020"/>
          </w:cols>
          <w:pgMar w:left="440" w:top="270" w:right="439" w:bottom="1440" w:gutter="0" w:footer="0" w:header="0"/>
        </w:sectPr>
      </w:pPr>
    </w:p>
    <w:bookmarkStart w:id="13" w:name="page14"/>
    <w:bookmarkEnd w:id="13"/>
    <w:p>
      <w:pPr>
        <w:jc w:val="both"/>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not lawfully called or convened. Any stockholder so waiving notice of such meeting will be bound by the proceedings of any such meeting in all respects as if due notice thereof had been given.</w:t>
      </w:r>
    </w:p>
    <w:p>
      <w:pPr>
        <w:spacing w:after="0" w:line="158" w:lineRule="exact"/>
        <w:rPr>
          <w:sz w:val="20"/>
          <w:szCs w:val="20"/>
          <w:color w:val="auto"/>
        </w:rPr>
      </w:pPr>
    </w:p>
    <w:p>
      <w:pPr>
        <w:jc w:val="both"/>
        <w:ind w:left="4"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8. Quorum</w:t>
      </w:r>
      <w:r>
        <w:rPr>
          <w:rFonts w:ascii="Times New Roman" w:cs="Times New Roman" w:eastAsia="Times New Roman" w:hAnsi="Times New Roman"/>
          <w:sz w:val="18"/>
          <w:szCs w:val="18"/>
          <w:color w:val="auto"/>
        </w:rPr>
        <w:t>. At all meetings of stockholders, except as otherwise provided by statute, the Certificate of Incorporation or these Bylaws,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presence, in person, by remote communication, if applicable, or by proxy duly authorized, of the holders of a majority of the outstanding shares of stock entitled to vote will constitute a quorum for the transaction of business. In the absence of a quorum, any meeting of stockholders may be adjourned, from time to time, either by the chair of the meeting or by vote of the holders of a majority of the shares represented thereat, but no other business will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will be the act of the stockholders. Except as otherwise provided by statute, the Certificate of Incorporation or these Bylaws, directors will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as otherwise provided by statute, the Certificate of Incorporation or these Bylaws, a majority of the outstanding shares of such class or classes or series, present in person, by remote communication, if applicable, or represented by proxy duly authorized, will constitute a quorum entitled to take action with respect to that vote on that matter. Except as otherwise provided by statute, the Certificate of Incorporation or these Bylaws, the affirmative vote of the majority (plurality, in the case of the election of directors) of shares of such class or classes or series present in person, by remote communication, if applicable, or represented by proxy at the meeting will be the act of such class or classes or series.</w:t>
      </w:r>
    </w:p>
    <w:p>
      <w:pPr>
        <w:spacing w:after="0" w:line="195"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9. Adjournment and Notice of Adjourned Meetings</w:t>
      </w:r>
      <w:r>
        <w:rPr>
          <w:rFonts w:ascii="Times New Roman" w:cs="Times New Roman" w:eastAsia="Times New Roman" w:hAnsi="Times New Roman"/>
          <w:sz w:val="18"/>
          <w:szCs w:val="18"/>
          <w:color w:val="auto"/>
        </w:rPr>
        <w:t>. 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 of the meeting or by the vote of a majority of the shares present in person, by remote communication, if applicable, or represented by proxy. When a meeting is adjourned to another time or place (including an adjournment taken to address a technical failure to convene or continue a meeting using remote communication), if any, notice need not be given of the adjourned meeting if the time and place, if any, thereof are</w:t>
      </w:r>
    </w:p>
    <w:p>
      <w:pPr>
        <w:spacing w:after="0" w:line="3" w:lineRule="exact"/>
        <w:rPr>
          <w:sz w:val="20"/>
          <w:szCs w:val="20"/>
          <w:color w:val="auto"/>
        </w:rPr>
      </w:pPr>
    </w:p>
    <w:p>
      <w:pPr>
        <w:jc w:val="both"/>
        <w:ind w:left="4" w:hanging="4"/>
        <w:spacing w:after="0" w:line="252"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of stockholders. At the adjourned meeting, the corporation may transact any business that might have been transacted at the original meeting pursuant to the Certificate of Incorporation, these Bylaws or applicable law. If the adjournment is for more than 30 days or if after the adjournment a new record date is fixed for the adjourned meeting, a notice of the adjourned meeting will be given to each stockholder of record entitled to vote at the meeting.</w:t>
      </w:r>
    </w:p>
    <w:p>
      <w:pPr>
        <w:spacing w:after="0" w:line="186"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10. Voting Rights</w:t>
      </w:r>
      <w:r>
        <w:rPr>
          <w:rFonts w:ascii="Times New Roman" w:cs="Times New Roman" w:eastAsia="Times New Roman" w:hAnsi="Times New Roman"/>
          <w:sz w:val="18"/>
          <w:szCs w:val="18"/>
          <w:color w:val="auto"/>
        </w:rPr>
        <w:t>. For the purpose of determining those stockholders entitled to vote at any meeting of the stockholders,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by law, only persons in whose names shares stand on the stock records of the corporation on the record date, as provided in Section 12 of these Bylaws, will be entitled to vote at any meeting of stockholders. Every person entitled to vote or execute consents will have the right to do so either in person, by remote communication, if applicable, or by an agent or agents authorized by a proxy granted in accordance with Delaware law. An agent so appointed need not be a stockholder. No proxy will be voted after three years from its date of creation unless the proxy provides for a longer period.</w:t>
      </w:r>
    </w:p>
    <w:p>
      <w:pPr>
        <w:sectPr>
          <w:pgSz w:w="11900" w:h="16838" w:orient="portrait"/>
          <w:cols w:equalWidth="0" w:num="1">
            <w:col w:w="11024"/>
          </w:cols>
          <w:pgMar w:left="436" w:top="270" w:right="439" w:bottom="1440" w:gutter="0" w:footer="0" w:header="0"/>
        </w:sectPr>
      </w:pPr>
    </w:p>
    <w:bookmarkStart w:id="14" w:name="page15"/>
    <w:bookmarkEnd w:id="14"/>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Joint Owners of Stock</w:t>
      </w:r>
      <w:r>
        <w:rPr>
          <w:rFonts w:ascii="Times New Roman" w:cs="Times New Roman" w:eastAsia="Times New Roman" w:hAnsi="Times New Roman"/>
          <w:sz w:val="18"/>
          <w:szCs w:val="18"/>
          <w:color w:val="auto"/>
        </w:rPr>
        <w:t>. If shares or other securities having voting power stand of record in the names of two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 it is so provided, their acts with respect to voting (including giving consent pursuant to Section 13) will have the following effect: (a) if only one votes, such person’s act binds all; (b) if more than one votes and the vote is not evenly split,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will be a majority or even-split in interest.</w:t>
      </w:r>
    </w:p>
    <w:p>
      <w:pPr>
        <w:spacing w:after="0" w:line="188"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12. List of Stockholders</w:t>
      </w:r>
      <w:r>
        <w:rPr>
          <w:rFonts w:ascii="Times New Roman" w:cs="Times New Roman" w:eastAsia="Times New Roman" w:hAnsi="Times New Roman"/>
          <w:sz w:val="18"/>
          <w:szCs w:val="18"/>
          <w:color w:val="auto"/>
        </w:rPr>
        <w:t>. The corporation will prepare, no later than the tenth day before each meeting of stockholders, a complete list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entitled to vote at said meeting, arranged in alphabetical order, showing the address of each stockholder and the number of shares registered in the name of each stockholder. Such list will be open to the examination of any stockholder for any purpose germane to the meeting for a period of ten days ending on the day before the meeting date,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 Action Without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8" w:lineRule="auto"/>
        <w:tabs>
          <w:tab w:leader="none" w:pos="127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Certificate of Incorporation, any action required by statute to be taken at any annual or special meeting of the stockholders, or any action that may be taken at any annual or special meeting of the stockholders, may be taken without a meeting, without prior notice and without a vote, if a consent or consents setting forth the action so taken, will be signed by the holders of outstanding stock having not less than the minimum number of votes that would be necessary to authorize or take such action at a meeting at which all shares entitled to vote thereon were present and voted.</w:t>
      </w:r>
    </w:p>
    <w:p>
      <w:pPr>
        <w:spacing w:after="0" w:line="183" w:lineRule="exact"/>
        <w:rPr>
          <w:rFonts w:ascii="Times New Roman" w:cs="Times New Roman" w:eastAsia="Times New Roman" w:hAnsi="Times New Roman"/>
          <w:sz w:val="18"/>
          <w:szCs w:val="18"/>
          <w:b w:val="1"/>
          <w:bCs w:val="1"/>
          <w:color w:val="auto"/>
        </w:rPr>
      </w:pPr>
    </w:p>
    <w:p>
      <w:pPr>
        <w:jc w:val="both"/>
        <w:ind w:firstLine="987"/>
        <w:spacing w:after="0" w:line="261" w:lineRule="auto"/>
        <w:tabs>
          <w:tab w:leader="none" w:pos="125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consent must be set forth in writing or in an electronic transmission. No consent will be effective to take the corporate action referred to therein unless consents signed by a sufficient number of stockholders to take action are delivered to the corporation in the manner required by the DGCL within 60 days of the first date on which a consent is so delivered to the corporation. All references to a consent in this Section mean a consent permitted by Section 228 of the DGCL.</w:t>
      </w:r>
    </w:p>
    <w:p>
      <w:pPr>
        <w:spacing w:after="0" w:line="179" w:lineRule="exact"/>
        <w:rPr>
          <w:rFonts w:ascii="Times New Roman" w:cs="Times New Roman" w:eastAsia="Times New Roman" w:hAnsi="Times New Roman"/>
          <w:sz w:val="18"/>
          <w:szCs w:val="18"/>
          <w:b w:val="1"/>
          <w:bCs w:val="1"/>
          <w:color w:val="auto"/>
        </w:rPr>
      </w:pPr>
    </w:p>
    <w:p>
      <w:pPr>
        <w:jc w:val="both"/>
        <w:ind w:right="20" w:firstLine="987"/>
        <w:spacing w:after="0" w:line="256" w:lineRule="auto"/>
        <w:tabs>
          <w:tab w:leader="none" w:pos="124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action by consent is taken by stockholders by less than unanimous consent, prompt notice of the taking of the action by consent will be given to those stockholders as of the record date for the action by consent who have not consented and who would have been entitled to notice of the meeting if the action had been taken at a meeting and the record date for the notice of the meeting were the record date for the action by consent. If the action to which the stockholders consented is such as would have required the filing of a certificate under any section of the DGCL if such action had been voted on by stockholders at a meeting thereof, then the certificate filed under such section must state, in lieu of any statement required by such section concerning any vote of stockholders, that consent has been given in accordance with Section 228 of the DGCL.</w:t>
      </w:r>
    </w:p>
    <w:p>
      <w:pPr>
        <w:spacing w:after="0" w:line="187"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25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consent permitted by this Section shall be delivered: (i) to the principal place of business of the corporation; (ii) to an officer or agent of the corporation having custody of the book in which</w:t>
      </w:r>
    </w:p>
    <w:p>
      <w:pPr>
        <w:sectPr>
          <w:pgSz w:w="11900" w:h="16838" w:orient="portrait"/>
          <w:cols w:equalWidth="0" w:num="1">
            <w:col w:w="11020"/>
          </w:cols>
          <w:pgMar w:left="440" w:top="266" w:right="4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proceedings of meetings of stockholders are recorded; (iii) to the registered office of the corporation in the State of Delaware by hand or by certified or registered mail, return receipt requested; (iv) subject to the next sentence, in accordance with Section 116 of the DGCL to an information processing system, if any, designated by the corporation for receiving such consents; or (v) when delivered in such other manner that complies with the DGCL. In the case of delivery pursuant to the foregoing clause (iv), such consent must set forth or be delivered with information that enables the corporation to determine the date of delivery of such consent and the identity of the person giving such consent, and, if such consent is given by a person authorized to act for a stockholder or member as proxy, such consent must comply with the applicable provisions of Section 212(c)(2) &amp; (3) of the DGCL.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A consent may be documented and signed in accordance with Section 116 of the DGCL, and when so documented or signed shall be deemed to be in writing for purposes of the DGCL; provided that if such consent is delivered pursuant to clause (i), (ii) or (iii) of subsection (d)(1) of Section 228 of the DGCL, such consent must be reproduced and delivered in paper form.</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14. 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61" w:lineRule="auto"/>
        <w:tabs>
          <w:tab w:leader="none" w:pos="126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 of the Board of Directors, or, if a Chair has not been appointed or is absent, the Chief Executive Officer, or, if the Chief Executive Officer is absent, a chair of the meeting chosen by a majority in interest of the stockholders entitled to vote, present in person or by proxy, will act as chair. The Secretary, or, in the Secretary’s absence, an Assistant Secretary directed to do so by the Chief Executive Officer, will act as secretary of the meeting.</w:t>
      </w:r>
    </w:p>
    <w:p>
      <w:pPr>
        <w:spacing w:after="0" w:line="179" w:lineRule="exact"/>
        <w:rPr>
          <w:rFonts w:ascii="Times New Roman" w:cs="Times New Roman" w:eastAsia="Times New Roman" w:hAnsi="Times New Roman"/>
          <w:sz w:val="18"/>
          <w:szCs w:val="18"/>
          <w:b w:val="1"/>
          <w:bCs w:val="1"/>
          <w:color w:val="auto"/>
        </w:rPr>
      </w:pPr>
    </w:p>
    <w:p>
      <w:pPr>
        <w:jc w:val="both"/>
        <w:ind w:firstLine="987"/>
        <w:spacing w:after="0" w:line="253" w:lineRule="auto"/>
        <w:tabs>
          <w:tab w:leader="none" w:pos="1261"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is entitled to make such rules or regulations for the conduct of meetings of stockholders as it deems necessary, appropriate or convenient. Subject to such rules and regulations of the Board of Directors, if any, the chair of the meeting has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 permits,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will be announced at the meeting. Unless and to the extent determined by the Board of Directors or the chair of the meeting, meetings of stockholders will not be required to be held in accordance with rules of parliamentary procedure.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15. Number and Term of Office</w:t>
      </w:r>
      <w:r>
        <w:rPr>
          <w:rFonts w:ascii="Times New Roman" w:cs="Times New Roman" w:eastAsia="Times New Roman" w:hAnsi="Times New Roman"/>
          <w:sz w:val="18"/>
          <w:szCs w:val="18"/>
          <w:color w:val="auto"/>
        </w:rPr>
        <w:t>. The authorized number of directors of the corporation will be fixed by the Board of Directors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Directors need not be stockholders unless so required by the Certificate of Incorporation. If for any cause, the directors have not been elected at an annual meeting, they may be elected as soon thereafter as convenient.</w:t>
      </w:r>
    </w:p>
    <w:p>
      <w:pPr>
        <w:sectPr>
          <w:pgSz w:w="11900" w:h="16838" w:orient="portrait"/>
          <w:cols w:equalWidth="0" w:num="1">
            <w:col w:w="11020"/>
          </w:cols>
          <w:pgMar w:left="440" w:top="270" w:right="439" w:bottom="1440" w:gutter="0" w:footer="0" w:header="0"/>
        </w:sectPr>
      </w:pPr>
    </w:p>
    <w:bookmarkStart w:id="16" w:name="page17"/>
    <w:bookmarkEnd w:id="1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16. Powers</w:t>
      </w:r>
      <w:r>
        <w:rPr>
          <w:rFonts w:ascii="Times New Roman" w:cs="Times New Roman" w:eastAsia="Times New Roman" w:hAnsi="Times New Roman"/>
          <w:sz w:val="18"/>
          <w:szCs w:val="18"/>
          <w:color w:val="auto"/>
        </w:rPr>
        <w:t>. The business and affairs of the corporation will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by statute or by the Certificate of Incorporation.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17. Term of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987"/>
        <w:spacing w:after="0" w:line="266" w:lineRule="auto"/>
        <w:tabs>
          <w:tab w:leader="none" w:pos="124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directors will be elected at each annual meeting of stockholders to serve until such director’s successor is duly elected and qualified or until such director’s death, resignation or removal. No decrease in the number of directors constituting the Board of Directors will shorten the term of any incumbent director.</w:t>
      </w:r>
    </w:p>
    <w:p>
      <w:pPr>
        <w:spacing w:after="0" w:line="175"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6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will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18. Vacancies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987"/>
        <w:spacing w:after="0" w:line="253" w:lineRule="auto"/>
        <w:tabs>
          <w:tab w:leader="none" w:pos="125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will, unless the Board of Directors determines by resolution that any such vacancies or newly created directorships will be filled by stockholders, be filled only by the affirmative vote of a majority of the directors then in office, even though less than a quorum of the Board of Directors, or by a sole remaining director; provided, however, that whenever the holders of any class or classes of stock or series thereof are entitled to elect one or more directors by the provisions of the Certificate of Incorporation, vacancies and newly created directorships of such class or classes or series will, unless the Board of Directors determines by resolution that any such vacancies or newly created directorships must be filled by stockholders, be filled by a majority of the directors elected by such class or classes or series thereof then in office, or by a sole remaining director so elected. Any director elected in accordance with the preceding sentence will hold office for the remainder of the full term of the director for which the vacancy was created or occurred and until such director’s successor has been elected and qualified. A vacancy in the Board of Directors will be deemed to exist under this Bylaw in the case of the death, removal or resignation of any director.</w:t>
      </w:r>
    </w:p>
    <w:p>
      <w:pPr>
        <w:spacing w:after="0" w:line="191"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6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or times that the corporation is subject to Section 2115(b) of the CGCL, if, after the filling of any vacancy, the directors then in office who have been elected by stockholders constitute less than a majority of the directors then in office, then</w:t>
      </w:r>
    </w:p>
    <w:p>
      <w:pPr>
        <w:sectPr>
          <w:pgSz w:w="11900" w:h="16838" w:orient="portrait"/>
          <w:cols w:equalWidth="0" w:num="1">
            <w:col w:w="11020"/>
          </w:cols>
          <w:pgMar w:left="440" w:top="266" w:right="439" w:bottom="1440" w:gutter="0" w:footer="0" w:header="0"/>
        </w:sectPr>
      </w:pPr>
    </w:p>
    <w:bookmarkStart w:id="17" w:name="page18"/>
    <w:bookmarkEnd w:id="17"/>
    <w:p>
      <w:pPr>
        <w:ind w:right="20" w:firstLine="1428"/>
        <w:spacing w:after="0" w:line="282" w:lineRule="auto"/>
        <w:tabs>
          <w:tab w:leader="none" w:pos="164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holder or holders of an aggregate of 5% or more of the total number of shares at the time outstanding having the right to vote for those directors may call a special meeting of stockholders; or</w:t>
      </w:r>
    </w:p>
    <w:p>
      <w:pPr>
        <w:spacing w:after="0" w:line="161" w:lineRule="exact"/>
        <w:rPr>
          <w:rFonts w:ascii="Times New Roman" w:cs="Times New Roman" w:eastAsia="Times New Roman" w:hAnsi="Times New Roman"/>
          <w:sz w:val="18"/>
          <w:szCs w:val="18"/>
          <w:b w:val="1"/>
          <w:bCs w:val="1"/>
          <w:color w:val="auto"/>
        </w:rPr>
      </w:pPr>
    </w:p>
    <w:p>
      <w:pPr>
        <w:jc w:val="both"/>
        <w:ind w:right="20" w:firstLine="1428"/>
        <w:spacing w:after="0" w:line="266" w:lineRule="auto"/>
        <w:tabs>
          <w:tab w:leader="none" w:pos="171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Superior Court of the proper county will, upon application of such stockholder or stockholders, summarily order a special meeting of the stockholders, to be held to elect the entire board, all in accordance with Section 305(c) of the CGCL, the term of office of any director will terminate upon that election of a successor.</w:t>
      </w:r>
    </w:p>
    <w:p>
      <w:pPr>
        <w:spacing w:after="0" w:line="17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19. Resignation</w:t>
      </w:r>
      <w:r>
        <w:rPr>
          <w:rFonts w:ascii="Times New Roman" w:cs="Times New Roman" w:eastAsia="Times New Roman" w:hAnsi="Times New Roman"/>
          <w:sz w:val="18"/>
          <w:szCs w:val="18"/>
          <w:color w:val="auto"/>
        </w:rPr>
        <w:t>. Any director may resign at any time by delivering such director’s notice in writing or by electronic transmission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such resignation to specify whether it will be effective at a particular time, upon receipt by the Secretary or at the pleasure of the Board of Directors. If no such specification is made, it will be deemed effective at the pleasure of the Board of Directors. Except as otherwise provided in the Certificate of Incorporation or elsewhere in these Bylaws, when one or more directors resigns from the Board of Directors, effective at a future date, a majority of the directors then in office, including those who have so resigned, will have power to fill such vacancy or vacancies, the vote thereon to take effect when such resignation or resignations become effective, and each director so chosen will hold office for the unexpired portion of the term of the director whose place is vacated and until such director’s successor has been duly elected and qualified.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 Removal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987"/>
        <w:spacing w:after="0" w:line="266" w:lineRule="auto"/>
        <w:tabs>
          <w:tab w:leader="none" w:pos="125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limitations imposed by applicable law and unless otherwise provided in the Certificate of Incorporation, the Board of Directors or any director may be removed from office at any time, with or without cause, by the affirmative vote of the holders of a majority of the voting power of all then-outstanding shares of capital stock of the corporation entitled to vote generally at an election of directors.</w:t>
      </w:r>
    </w:p>
    <w:p>
      <w:pPr>
        <w:spacing w:after="0" w:line="175" w:lineRule="exact"/>
        <w:rPr>
          <w:rFonts w:ascii="Times New Roman" w:cs="Times New Roman" w:eastAsia="Times New Roman" w:hAnsi="Times New Roman"/>
          <w:sz w:val="18"/>
          <w:szCs w:val="18"/>
          <w:b w:val="1"/>
          <w:bCs w:val="1"/>
          <w:color w:val="auto"/>
        </w:rPr>
      </w:pPr>
    </w:p>
    <w:p>
      <w:pPr>
        <w:jc w:val="both"/>
        <w:ind w:right="20" w:firstLine="987"/>
        <w:spacing w:after="0" w:line="256" w:lineRule="auto"/>
        <w:tabs>
          <w:tab w:leader="none" w:pos="127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such time or times that the corporation is subject to Section 2115(b) of the CGCL, the Board of Directors or any individual director may be removed from office at any time without cause by the affirmative vote of the holders of a majority of the outstanding shares entitled to vote on such removal;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the entire Board of Directors is removed, no individual director may be removed when the votes cast against such director’s removal, or not consenting in writing to such removal, would be sufficient to elect that director if voted cumulatively at an election in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 Meetings</w:t>
      </w:r>
    </w:p>
    <w:p>
      <w:pPr>
        <w:spacing w:after="0" w:line="117" w:lineRule="exact"/>
        <w:rPr>
          <w:sz w:val="20"/>
          <w:szCs w:val="20"/>
          <w:color w:val="auto"/>
        </w:rPr>
      </w:pPr>
    </w:p>
    <w:p>
      <w:pPr>
        <w:jc w:val="both"/>
        <w:ind w:firstLine="987"/>
        <w:spacing w:after="0" w:line="262" w:lineRule="auto"/>
        <w:tabs>
          <w:tab w:leader="none" w:pos="124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Regular Meetings</w:t>
      </w:r>
      <w:r>
        <w:rPr>
          <w:rFonts w:ascii="Times New Roman" w:cs="Times New Roman" w:eastAsia="Times New Roman" w:hAnsi="Times New Roman"/>
          <w:sz w:val="18"/>
          <w:szCs w:val="18"/>
          <w:color w:val="auto"/>
        </w:rPr>
        <w:t>. Unless otherwise restricted by the Certificate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within or without the State of Delaware that has been designated by the Board of Directors and publicized among all directors, either orally or in writing, including a voice-messaging system or other system designated to record and communicate messages, or by electronic mail or other means of electronic transmission. No further notice will be required for a regular meeting of the Board of Directors.</w:t>
      </w:r>
    </w:p>
    <w:p>
      <w:pPr>
        <w:spacing w:after="0" w:line="176" w:lineRule="exact"/>
        <w:rPr>
          <w:rFonts w:ascii="Times New Roman" w:cs="Times New Roman" w:eastAsia="Times New Roman" w:hAnsi="Times New Roman"/>
          <w:sz w:val="18"/>
          <w:szCs w:val="18"/>
          <w:b w:val="1"/>
          <w:bCs w:val="1"/>
          <w:color w:val="auto"/>
        </w:rPr>
      </w:pPr>
    </w:p>
    <w:p>
      <w:pPr>
        <w:jc w:val="both"/>
        <w:ind w:right="20" w:firstLine="987"/>
        <w:spacing w:after="0" w:line="268" w:lineRule="auto"/>
        <w:tabs>
          <w:tab w:leader="none" w:pos="125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within or without the State of Delaware whenever called by the Chair of the Board of Directors, the Chief Executive Officer (if a director), the President (if a director) or any director.</w:t>
      </w:r>
    </w:p>
    <w:p>
      <w:pPr>
        <w:sectPr>
          <w:pgSz w:w="11900" w:h="16838" w:orient="portrait"/>
          <w:cols w:equalWidth="0" w:num="1">
            <w:col w:w="11020"/>
          </w:cols>
          <w:pgMar w:left="440" w:top="270" w:right="439" w:bottom="1440" w:gutter="0" w:footer="0" w:header="0"/>
        </w:sectPr>
      </w:pPr>
    </w:p>
    <w:bookmarkStart w:id="18" w:name="page19"/>
    <w:bookmarkEnd w:id="18"/>
    <w:p>
      <w:pPr>
        <w:jc w:val="both"/>
        <w:ind w:right="20" w:firstLine="987"/>
        <w:spacing w:after="0" w:line="268" w:lineRule="auto"/>
        <w:tabs>
          <w:tab w:leader="none" w:pos="124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Meetings by Electronic Communications Equipment</w:t>
      </w:r>
      <w:r>
        <w:rPr>
          <w:rFonts w:ascii="Times New Roman" w:cs="Times New Roman" w:eastAsia="Times New Roman" w:hAnsi="Times New Roman"/>
          <w:sz w:val="18"/>
          <w:szCs w:val="18"/>
          <w:color w:val="auto"/>
        </w:rPr>
        <w:t>. 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by means of which all persons participating in the meeting can hear each other, and participation in a meeting by such means constitutes presence in person at such meeting.</w:t>
      </w:r>
    </w:p>
    <w:p>
      <w:pPr>
        <w:spacing w:after="0" w:line="170" w:lineRule="exact"/>
        <w:rPr>
          <w:rFonts w:ascii="Times New Roman" w:cs="Times New Roman" w:eastAsia="Times New Roman" w:hAnsi="Times New Roman"/>
          <w:sz w:val="18"/>
          <w:szCs w:val="18"/>
          <w:b w:val="1"/>
          <w:bCs w:val="1"/>
          <w:color w:val="auto"/>
        </w:rPr>
      </w:pPr>
    </w:p>
    <w:p>
      <w:pPr>
        <w:jc w:val="both"/>
        <w:ind w:right="20" w:firstLine="987"/>
        <w:spacing w:after="0" w:line="256" w:lineRule="auto"/>
        <w:tabs>
          <w:tab w:leader="none" w:pos="125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Special Meetings</w:t>
      </w:r>
      <w:r>
        <w:rPr>
          <w:rFonts w:ascii="Times New Roman" w:cs="Times New Roman" w:eastAsia="Times New Roman" w:hAnsi="Times New Roman"/>
          <w:sz w:val="18"/>
          <w:szCs w:val="18"/>
          <w:color w:val="auto"/>
        </w:rPr>
        <w:t>. Notice of the time and place of all special meetings of the Board of Directors will be orally or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telephone, including a voice messaging system or other system or technology designed to record and communicate messages, or by electronic mail or other means of electronic transmission, during normal business hours, at least 24 hours before the date and time of the meeting. If notice is sent by US mail, it will be sent by first class mail, postage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2" w:lineRule="exact"/>
        <w:rPr>
          <w:rFonts w:ascii="Times New Roman" w:cs="Times New Roman" w:eastAsia="Times New Roman" w:hAnsi="Times New Roman"/>
          <w:sz w:val="18"/>
          <w:szCs w:val="18"/>
          <w:b w:val="1"/>
          <w:bCs w:val="1"/>
          <w:color w:val="auto"/>
        </w:rPr>
      </w:pPr>
    </w:p>
    <w:p>
      <w:pPr>
        <w:jc w:val="both"/>
        <w:ind w:firstLine="987"/>
        <w:spacing w:after="0" w:line="262" w:lineRule="auto"/>
        <w:tabs>
          <w:tab w:leader="none" w:pos="123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of Notice</w:t>
      </w:r>
      <w:r>
        <w:rPr>
          <w:rFonts w:ascii="Times New Roman" w:cs="Times New Roman" w:eastAsia="Times New Roman" w:hAnsi="Times New Roman"/>
          <w:sz w:val="18"/>
          <w:szCs w:val="18"/>
          <w:color w:val="auto"/>
        </w:rPr>
        <w:t>. The transaction of all business at any meeting of the Board of Directors, or any committee thereof, however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noticed, or wherever held, will be as valid as though had at a meeting duly held after regular call and notice, if a quorum be present and if, either before or after the meeting, each of the directors not present who did not receive notice signs a written waiver of notice or waives notice by electronic transmission. All such waivers will be filed with the corporate records or made a part of the minutes of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22. Quorum and Voting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987"/>
        <w:spacing w:after="0" w:line="254" w:lineRule="auto"/>
        <w:tabs>
          <w:tab w:leader="none" w:pos="125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the Certificate of Incorporation requires a greater number, a quorum of the Board of Directors will consist of a majority of the total number of directors then serving;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number will never be less than 1/3 of the total number of directors authorized except that when one director is authorized, then one director will constitute a quorum. At any meeting, whether a quorum be present or otherwise, a majority of the directors present may adjourn from time to time until the time fixed for the next regular meeting of the Board of Directors, without notice other than by announcement at the meeting. If the Certificate of Incorporation provides that one or more directors will have more or less than one vote per director on any matter, every reference in this Section to a majority or other proportion of the directors, including with respect to establishing a quorum for meetings of the Board of Directors or a committee thereof or the requisite vote for approval by directors or the Board of Directors or a committee thereof, will refer to a majority or other proportion of the votes of the directors.</w:t>
      </w:r>
    </w:p>
    <w:p>
      <w:pPr>
        <w:spacing w:after="0" w:line="191"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29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each meeting of the Board of Directors at which a quorum is present, all questions and business will be determined by the affirmative vote of a majority of the directors present, unless a different vote be required by law, the Certificate of Incorporation or these Bylaws.</w:t>
      </w:r>
    </w:p>
    <w:p>
      <w:pPr>
        <w:spacing w:after="0" w:line="158"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23. Action Without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in writing or by electronic transmission. A consent may be documented, signed and delivered in any manner permitted by Section 116 of the DGCL. After an action is taken, the consent or consents relating thereto will be filed with the minutes of the proceedings of the Board of Directors, or the committee thereof, in the same paper or electronic form as the minutes are maintained.</w:t>
      </w:r>
    </w:p>
    <w:p>
      <w:pPr>
        <w:sectPr>
          <w:pgSz w:w="11900" w:h="16838" w:orient="portrait"/>
          <w:cols w:equalWidth="0" w:num="1">
            <w:col w:w="11020"/>
          </w:cols>
          <w:pgMar w:left="440" w:top="266" w:right="439" w:bottom="1440" w:gutter="0" w:footer="0" w:header="0"/>
        </w:sectPr>
      </w:pPr>
    </w:p>
    <w:bookmarkStart w:id="19" w:name="page20"/>
    <w:bookmarkEnd w:id="19"/>
    <w:p>
      <w:pPr>
        <w:jc w:val="both"/>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 Fees and Compensation</w:t>
      </w:r>
      <w:r>
        <w:rPr>
          <w:rFonts w:ascii="Times New Roman" w:cs="Times New Roman" w:eastAsia="Times New Roman" w:hAnsi="Times New Roman"/>
          <w:sz w:val="18"/>
          <w:szCs w:val="18"/>
          <w:color w:val="auto"/>
        </w:rPr>
        <w:t>. Directors will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is to be construed to preclude any director from serving the corporation in any other capacity as an officer, agent, employee, or otherwise and receiving compensation therefor.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25. Committees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firstLine="987"/>
        <w:spacing w:after="0" w:line="256" w:lineRule="auto"/>
        <w:tabs>
          <w:tab w:leader="none" w:pos="125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Committee</w:t>
      </w:r>
      <w:r>
        <w:rPr>
          <w:rFonts w:ascii="Times New Roman" w:cs="Times New Roman" w:eastAsia="Times New Roman" w:hAnsi="Times New Roman"/>
          <w:sz w:val="18"/>
          <w:szCs w:val="18"/>
          <w:color w:val="auto"/>
        </w:rPr>
        <w:t>. The Board of Directors may appoint an Executive Committee to consist of one or more members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The Executive Committee, to the extent permitted by law and provided in the resolution of the Board of Directors, will have and may exercise all the powers and authority of the Board of Directors in the management of the business and affairs of the corporation, and may authorize the seal of the corporation to be affixed to all papers that may require it; but no such committee will have the power or authority in reference to</w:t>
      </w:r>
    </w:p>
    <w:p>
      <w:pPr>
        <w:spacing w:after="0" w:line="3" w:lineRule="exact"/>
        <w:rPr>
          <w:rFonts w:ascii="Times New Roman" w:cs="Times New Roman" w:eastAsia="Times New Roman" w:hAnsi="Times New Roman"/>
          <w:sz w:val="18"/>
          <w:szCs w:val="18"/>
          <w:b w:val="1"/>
          <w:bCs w:val="1"/>
          <w:color w:val="auto"/>
        </w:rPr>
      </w:pPr>
    </w:p>
    <w:p>
      <w:pPr>
        <w:ind w:left="4" w:right="20" w:hanging="4"/>
        <w:spacing w:after="0" w:line="260" w:lineRule="auto"/>
        <w:tabs>
          <w:tab w:leader="none" w:pos="2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77" w:lineRule="exact"/>
        <w:rPr>
          <w:rFonts w:ascii="Times New Roman" w:cs="Times New Roman" w:eastAsia="Times New Roman" w:hAnsi="Times New Roman"/>
          <w:sz w:val="18"/>
          <w:szCs w:val="18"/>
          <w:color w:val="auto"/>
        </w:rPr>
      </w:pPr>
    </w:p>
    <w:p>
      <w:pPr>
        <w:jc w:val="both"/>
        <w:ind w:left="4" w:firstLine="987"/>
        <w:spacing w:after="0" w:line="262" w:lineRule="auto"/>
        <w:tabs>
          <w:tab w:leader="none" w:pos="126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Committees</w:t>
      </w:r>
      <w:r>
        <w:rPr>
          <w:rFonts w:ascii="Times New Roman" w:cs="Times New Roman" w:eastAsia="Times New Roman" w:hAnsi="Times New Roman"/>
          <w:sz w:val="18"/>
          <w:szCs w:val="18"/>
          <w:color w:val="auto"/>
        </w:rPr>
        <w:t>. The Board of Directors may, from time to time, appoint such other committees as may be permitted by law.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committees appointed by the Board of Directors will consist of one or more members of the Board of Directors and will have such powers and perform such duties as may be prescribed by the resolution or resolutions creating such committees, but in no event will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jc w:val="both"/>
        <w:ind w:left="4" w:right="20" w:firstLine="987"/>
        <w:spacing w:after="0" w:line="254" w:lineRule="auto"/>
        <w:tabs>
          <w:tab w:leader="none" w:pos="126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(a) or (b) of this Section may at any time increase or decrease the number of members of a committee or terminate the existence of a committee. The membership of a committee member will terminate on the date of such member’s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8" w:lineRule="exact"/>
        <w:rPr>
          <w:rFonts w:ascii="Times New Roman" w:cs="Times New Roman" w:eastAsia="Times New Roman" w:hAnsi="Times New Roman"/>
          <w:sz w:val="18"/>
          <w:szCs w:val="18"/>
          <w:b w:val="1"/>
          <w:bCs w:val="1"/>
          <w:color w:val="auto"/>
        </w:rPr>
      </w:pPr>
    </w:p>
    <w:p>
      <w:pPr>
        <w:jc w:val="both"/>
        <w:ind w:left="4" w:firstLine="987"/>
        <w:spacing w:after="0" w:line="254" w:lineRule="auto"/>
        <w:tabs>
          <w:tab w:leader="none" w:pos="127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Unless the Board of Directors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will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that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w:t>
      </w:r>
    </w:p>
    <w:p>
      <w:pPr>
        <w:sectPr>
          <w:pgSz w:w="11900" w:h="16838" w:orient="portrait"/>
          <w:cols w:equalWidth="0" w:num="1">
            <w:col w:w="11024"/>
          </w:cols>
          <w:pgMar w:left="436" w:top="266" w:right="4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authorizing the creation of the committee, a majority of the authorized number of members of any such committee will constitute a quorum for the transaction of business, and the act of a majority of those present at any meeting at which a quorum is present will be the act of such committee.</w:t>
      </w:r>
    </w:p>
    <w:p>
      <w:pPr>
        <w:spacing w:after="0" w:line="158"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26. Duties of Chair of the Board of Directors</w:t>
      </w:r>
      <w:r>
        <w:rPr>
          <w:rFonts w:ascii="Times New Roman" w:cs="Times New Roman" w:eastAsia="Times New Roman" w:hAnsi="Times New Roman"/>
          <w:sz w:val="18"/>
          <w:szCs w:val="18"/>
          <w:color w:val="auto"/>
        </w:rPr>
        <w:t>. The Chair of the Board of Directors, when present, will preside at all meetings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the Board of Directors. The Chair of the Board of Directors will perform other duties commonly incident to the office and will also perform such other duties and have such other powers as the Board of Directors designates from time to time. If there is no Chief Executive Officer and no President, then the Chair of the Board of Directors will also serve as the Chief Executive Officer of the corporation and will have the powers and duties prescribed in Section 29(b).</w:t>
      </w:r>
    </w:p>
    <w:p>
      <w:pPr>
        <w:spacing w:after="0" w:line="179"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27. Organization</w:t>
      </w:r>
      <w:r>
        <w:rPr>
          <w:rFonts w:ascii="Times New Roman" w:cs="Times New Roman" w:eastAsia="Times New Roman" w:hAnsi="Times New Roman"/>
          <w:sz w:val="18"/>
          <w:szCs w:val="18"/>
          <w:color w:val="auto"/>
        </w:rPr>
        <w:t>. At every meeting of the directors, the Chair of the Board of Directors, or, if a Chair has not been appointed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absent, the Chief Executive Officer (if a director), or if the Chief Executive Officer is not a director or is absent, the President (if a director), or if the President is not a director or is absent, the most senior Vice President (if a director) or, in the absence of any such person, a chair of the meeting chosen by a majority of the directors present, will preside over the meeting. The Secretary, or in the Secretary’s absence, any Assistant Secretary directed to do so by the Chief Executive Officer or President, will act as secretary of the meeting.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28. Officers Designated</w:t>
      </w:r>
      <w:r>
        <w:rPr>
          <w:rFonts w:ascii="Times New Roman" w:cs="Times New Roman" w:eastAsia="Times New Roman" w:hAnsi="Times New Roman"/>
          <w:sz w:val="18"/>
          <w:szCs w:val="18"/>
          <w:color w:val="auto"/>
        </w:rPr>
        <w:t>. The officers of the corporation will include, if and when designated by the Board of Directors,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the President, one or more Vice Presidents, the Secretary, the Chief Financial Officer, the Treasurer and the Controller, all of whom will be elected or appointed from time to time by the Board of Directors. The Board of Directors may also appoint one or more Assistant Secretaries, Assistant Treasurers, Assistant Controllers and such other officers and agents with such powers and duties as it deems necessary. The Board of Directors may assign such additional titles to one or more of the officers as it deems appropriate. Any one person may hold any number of offices of the corporation at any one time unless specifically prohibited therefrom by law. The salaries and other compensation of the officers of the corporation will be fixed by or in the manner designated by the Board of Directors.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29. Tenure and Duties of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87"/>
        <w:spacing w:after="0" w:line="262" w:lineRule="auto"/>
        <w:tabs>
          <w:tab w:leader="none" w:pos="1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All officers will hold office at the pleasure of the Board of Directors and until their successors have been duly elected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and qualified, unless sooner removed. Any officer elected or appointed by the Board of Directors may be removed at any time by the Board of Directors. If the office of any officer becomes vacant for any reason, the vacancy may be filled by the Board of Directors, or by the Chief Executive Officer or other officer if so authorized by the Board of Directors.</w:t>
      </w:r>
    </w:p>
    <w:p>
      <w:pPr>
        <w:spacing w:after="0" w:line="176" w:lineRule="exact"/>
        <w:rPr>
          <w:rFonts w:ascii="Times New Roman" w:cs="Times New Roman" w:eastAsia="Times New Roman" w:hAnsi="Times New Roman"/>
          <w:sz w:val="18"/>
          <w:szCs w:val="18"/>
          <w:b w:val="1"/>
          <w:bCs w:val="1"/>
          <w:color w:val="auto"/>
        </w:rPr>
      </w:pPr>
    </w:p>
    <w:p>
      <w:pPr>
        <w:jc w:val="both"/>
        <w:ind w:right="20" w:firstLine="987"/>
        <w:spacing w:after="0" w:line="259" w:lineRule="auto"/>
        <w:tabs>
          <w:tab w:leader="none" w:pos="125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Chief Executive Officer</w:t>
      </w:r>
      <w:r>
        <w:rPr>
          <w:rFonts w:ascii="Times New Roman" w:cs="Times New Roman" w:eastAsia="Times New Roman" w:hAnsi="Times New Roman"/>
          <w:sz w:val="18"/>
          <w:szCs w:val="18"/>
          <w:color w:val="auto"/>
        </w:rPr>
        <w:t>. The Chief Executive Officer will preside at all meetings of the stockholders and (if a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Board of Directors, unless the Chair of the Board of Directors has been appointed and is present. The Chief Executive Officer will be the chief executive officer of the corporation and will, subject to the control of the Board of Directors, have general supervision, direction and control of the business and officers of the corporation. The Chief Executive Officer will perform other duties commonly incident to the office and will also perform such other duties and have such other powers as the Board of Directors designates from time to time.</w:t>
      </w:r>
    </w:p>
    <w:p>
      <w:pPr>
        <w:sectPr>
          <w:pgSz w:w="11900" w:h="16838" w:orient="portrait"/>
          <w:cols w:equalWidth="0" w:num="1">
            <w:col w:w="11020"/>
          </w:cols>
          <w:pgMar w:left="440" w:top="270" w:right="439" w:bottom="1440" w:gutter="0" w:footer="0" w:header="0"/>
        </w:sectPr>
      </w:pPr>
    </w:p>
    <w:bookmarkStart w:id="21" w:name="page22"/>
    <w:bookmarkEnd w:id="21"/>
    <w:p>
      <w:pPr>
        <w:jc w:val="both"/>
        <w:ind w:firstLine="987"/>
        <w:spacing w:after="0" w:line="256" w:lineRule="auto"/>
        <w:tabs>
          <w:tab w:leader="none" w:pos="123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 of President</w:t>
      </w:r>
      <w:r>
        <w:rPr>
          <w:rFonts w:ascii="Times New Roman" w:cs="Times New Roman" w:eastAsia="Times New Roman" w:hAnsi="Times New Roman"/>
          <w:sz w:val="18"/>
          <w:szCs w:val="18"/>
          <w:color w:val="auto"/>
        </w:rPr>
        <w:t>. In the absence or disability of the Chief Executive Officer or if the office of Chief Executive Officer is vacant,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will preside at all meetings of the stockholders and (if a director) at all meetings of the Board of Directors, unless the Chair of the Board of Directors has been appointed and is present. If the office of Chief Executive Officer is vacant, the President will be the chief executive officer of the corporation (including for purposes of any reference to Chief Executive Officer in these Bylaws) and will, subject to the control of the Board of Directors, have general supervision, direction and control of the business and officers of the corporation. The President will perform other duties commonly incident to the office and will also perform such other duties and have such other powers as the Board of Directors designates from time to time.</w:t>
      </w:r>
    </w:p>
    <w:p>
      <w:pPr>
        <w:spacing w:after="0" w:line="182" w:lineRule="exact"/>
        <w:rPr>
          <w:rFonts w:ascii="Times New Roman" w:cs="Times New Roman" w:eastAsia="Times New Roman" w:hAnsi="Times New Roman"/>
          <w:sz w:val="18"/>
          <w:szCs w:val="18"/>
          <w:b w:val="1"/>
          <w:bCs w:val="1"/>
          <w:color w:val="auto"/>
        </w:rPr>
      </w:pPr>
    </w:p>
    <w:p>
      <w:pPr>
        <w:jc w:val="both"/>
        <w:ind w:firstLine="987"/>
        <w:spacing w:after="0" w:line="268" w:lineRule="auto"/>
        <w:tabs>
          <w:tab w:leader="none" w:pos="125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Vice Presidents</w:t>
      </w:r>
      <w:r>
        <w:rPr>
          <w:rFonts w:ascii="Times New Roman" w:cs="Times New Roman" w:eastAsia="Times New Roman" w:hAnsi="Times New Roman"/>
          <w:sz w:val="18"/>
          <w:szCs w:val="18"/>
          <w:color w:val="auto"/>
        </w:rPr>
        <w:t>. The Vice Presidents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The Vice Presidents will perform other duties commonly incident to their office and will also perform such other duties and have such other powers as the Board of Directors or the President designates from time to time.</w:t>
      </w:r>
    </w:p>
    <w:p>
      <w:pPr>
        <w:spacing w:after="0" w:line="170" w:lineRule="exact"/>
        <w:rPr>
          <w:rFonts w:ascii="Times New Roman" w:cs="Times New Roman" w:eastAsia="Times New Roman" w:hAnsi="Times New Roman"/>
          <w:sz w:val="18"/>
          <w:szCs w:val="18"/>
          <w:b w:val="1"/>
          <w:bCs w:val="1"/>
          <w:color w:val="auto"/>
        </w:rPr>
      </w:pPr>
    </w:p>
    <w:p>
      <w:pPr>
        <w:jc w:val="both"/>
        <w:ind w:firstLine="987"/>
        <w:spacing w:after="0" w:line="256" w:lineRule="auto"/>
        <w:tabs>
          <w:tab w:leader="none" w:pos="123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Secretary</w:t>
      </w:r>
      <w:r>
        <w:rPr>
          <w:rFonts w:ascii="Times New Roman" w:cs="Times New Roman" w:eastAsia="Times New Roman" w:hAnsi="Times New Roman"/>
          <w:sz w:val="18"/>
          <w:szCs w:val="18"/>
          <w:color w:val="auto"/>
        </w:rPr>
        <w:t>. The Secretary will attend all meetings of the stockholders and of the Board of Directors and will record all 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proceedings thereof in the minute book of the corporation. The Secretary will give notice in conformity with these Bylaws of all meetings of the stockholders and of all meetings of the Board of Directors and any committee thereof requiring notice. The Secretary will perform all other duties provided for in these Bylaws and other duties commonly incident to the office and will also perform such other duties and have such other powers as the Board of Directors will designate from time to time. The Chief Executive Officer may direct any Assistant Secretary to assume and perform the duties of the Secretary in the absence or disability of the Secretary, and each Assistant Secretary will perform other duties commonly incident to the office and will also perform such other duties and have such other powers as the Board of Directors or the Chief Executive Officer designates from time to time.</w:t>
      </w:r>
    </w:p>
    <w:p>
      <w:pPr>
        <w:spacing w:after="0" w:line="182"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1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Chief Financial Officer</w:t>
      </w:r>
      <w:r>
        <w:rPr>
          <w:rFonts w:ascii="Times New Roman" w:cs="Times New Roman" w:eastAsia="Times New Roman" w:hAnsi="Times New Roman"/>
          <w:sz w:val="18"/>
          <w:szCs w:val="18"/>
          <w:color w:val="auto"/>
        </w:rPr>
        <w:t>. The Chief Financial Officer will keep or cause to be kept the books of account of the corporation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thorough and proper manner and will render statements of the financial affairs of the corporation in such form and as often as required by the Board of Directors or the Chief Executive Officer. The Chief Financial Officer, subject to the order of the Board of Directors, will have the custody of all funds and securities of the corporation. The Chief Financial Officer will perform other duties commonly incident to such office and will also perform such other duties and have such other powers as the Board of Directors or the Chief Executive Officer designate from time to time. The Chief Executive Officer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will perform other duties commonly incident to the office and will also perform such other duties and have such other powers as the Board of Directors or the Chief Executive Officer designates from time to time.</w:t>
      </w:r>
    </w:p>
    <w:p>
      <w:pPr>
        <w:spacing w:after="0" w:line="188"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30. Delegation of Authority</w:t>
      </w:r>
      <w:r>
        <w:rPr>
          <w:rFonts w:ascii="Times New Roman" w:cs="Times New Roman" w:eastAsia="Times New Roman" w:hAnsi="Times New Roman"/>
          <w:sz w:val="18"/>
          <w:szCs w:val="18"/>
          <w:color w:val="auto"/>
        </w:rPr>
        <w:t>. The Board of Directors may from time to time delegate the powers or duties of any officer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agent, notwithstanding any provision hereof.</w:t>
      </w:r>
    </w:p>
    <w:p>
      <w:pPr>
        <w:spacing w:after="0" w:line="155"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31. Resignations</w:t>
      </w:r>
      <w:r>
        <w:rPr>
          <w:rFonts w:ascii="Times New Roman" w:cs="Times New Roman" w:eastAsia="Times New Roman" w:hAnsi="Times New Roman"/>
          <w:sz w:val="18"/>
          <w:szCs w:val="18"/>
          <w:color w:val="auto"/>
        </w:rPr>
        <w:t>. Any officer may resign at any time by giving notice in writing or by electronic transmission notice to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to the Chief Executive Officer or to the President or to the Secretary. Any such resignation will be effective when received by the person or persons to whom such notice is given, unless a later time is specified therein, in which event the resignation will become effective at such later time. Unless otherwise specified in such notice, the acceptance of any such resignation will not be necessary to make it effective. Any resignation will be without prejudice to the rights, if any, of the corporation under any contract with the resigning officer.</w:t>
      </w:r>
    </w:p>
    <w:p>
      <w:pPr>
        <w:sectPr>
          <w:pgSz w:w="11900" w:h="16838" w:orient="portrait"/>
          <w:cols w:equalWidth="0" w:num="1">
            <w:col w:w="11020"/>
          </w:cols>
          <w:pgMar w:left="440" w:top="266" w:right="439" w:bottom="1440" w:gutter="0" w:footer="0" w:header="0"/>
        </w:sectPr>
      </w:pPr>
    </w:p>
    <w:bookmarkStart w:id="22" w:name="page23"/>
    <w:bookmarkEnd w:id="22"/>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 Removal</w:t>
      </w:r>
      <w:r>
        <w:rPr>
          <w:rFonts w:ascii="Times New Roman" w:cs="Times New Roman" w:eastAsia="Times New Roman" w:hAnsi="Times New Roman"/>
          <w:sz w:val="18"/>
          <w:szCs w:val="18"/>
          <w:color w:val="auto"/>
        </w:rPr>
        <w:t>. Any officer may be removed from office at any time, either with or without cause, by the affirmative vote of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in office at the time, or by the unanimous written or electronic consent of the directors in office at the time, or by any committee or superior officers upon whom such power of removal may have been conferred by the Board of Directors.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SECURITIES OWNED BY THE CORPORATION</w:t>
      </w:r>
    </w:p>
    <w:p>
      <w:pPr>
        <w:spacing w:after="0" w:line="203"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33. Execution of Corporate Instruments</w:t>
      </w:r>
      <w:r>
        <w:rPr>
          <w:rFonts w:ascii="Times New Roman" w:cs="Times New Roman" w:eastAsia="Times New Roman" w:hAnsi="Times New Roman"/>
          <w:sz w:val="18"/>
          <w:szCs w:val="18"/>
          <w:color w:val="auto"/>
        </w:rPr>
        <w:t>. 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on behalf of the corporation any corporate instrument or document, or to sign on behalf of the corporation the corporate name, or to enter into contracts on behalf of the corporation, except as otherwise provided by law or these Bylaws, and such execution or signature will be binding upon the corporation. All checks and drafts drawn on banks or other depositaries of funds to the credit of the corporation or on special accounts of the corporation will be signed by such person or persons as the Board of Directors authorizes so to do. Unless authorized or ratified by the Board of Directors or within the agency power of an officer, no officer, agent or employee will have any power or authority to bind the corporation by any contract or engagement or to pledge its credit or to render it liable for any purpose or for any amount.</w:t>
      </w:r>
    </w:p>
    <w:p>
      <w:pPr>
        <w:spacing w:after="0" w:line="183"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34. Voting of Securities Owned by the Corporation</w:t>
      </w:r>
      <w:r>
        <w:rPr>
          <w:rFonts w:ascii="Times New Roman" w:cs="Times New Roman" w:eastAsia="Times New Roman" w:hAnsi="Times New Roman"/>
          <w:sz w:val="18"/>
          <w:szCs w:val="18"/>
          <w:color w:val="auto"/>
        </w:rPr>
        <w:t>. All stock and other securities of other corporations owned or held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 itself, or for other parties in any capacity, will be voted, and all proxies with respect thereto will be executed, by the person authorized so to do by resolution of the Board of Directors, or, in the absence of such authorization, by the Chair of the Board of Directors, the Chief Executive Officer, the President, or any Vice President.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35. Form and Execution of Certificates</w:t>
      </w:r>
      <w:r>
        <w:rPr>
          <w:rFonts w:ascii="Times New Roman" w:cs="Times New Roman" w:eastAsia="Times New Roman" w:hAnsi="Times New Roman"/>
          <w:sz w:val="18"/>
          <w:szCs w:val="18"/>
          <w:color w:val="auto"/>
        </w:rPr>
        <w:t>. The shares of the corporation will be represented by certificates, or will be uncertificated.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for the shares of stock, if any, of the corporation will be in such form as is consistent with the Certificate of Incorporation and applicable law. Every holder of shares of stock in the corporation represented by certificate will be entitled to have a certificate signed by or in the name of the corporation by any two authorized officers of the corporation, including but not limited to the Chief Executive Officer, the President, the Chief Financial Officer, any Vice President, the Treasurer or Assistant Treasurer or the Secretary or Assistant Secretary, certifying the number of shares owned by such holder in the corporation. Any or all of the signatures on the certificate may be facsimiles. In case any officer, transfer agent, or registrar who has signed or whose facsimile signature has been placed upon a certificate has ceased to be such officer, transfer agent, or registrar before such certificate is issued, it may be issued with the same effect as if such person were such officer, transfer agent, or registrar at the date of issue.</w:t>
      </w:r>
    </w:p>
    <w:p>
      <w:pPr>
        <w:spacing w:after="0" w:line="185"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36. Lost Certificates</w:t>
      </w:r>
      <w:r>
        <w:rPr>
          <w:rFonts w:ascii="Times New Roman" w:cs="Times New Roman" w:eastAsia="Times New Roman" w:hAnsi="Times New Roman"/>
          <w:sz w:val="18"/>
          <w:szCs w:val="18"/>
          <w:color w:val="auto"/>
        </w:rPr>
        <w:t>. A new certificate or certificates will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requires or to give the corporation</w:t>
      </w:r>
    </w:p>
    <w:p>
      <w:pPr>
        <w:sectPr>
          <w:pgSz w:w="11900" w:h="16838" w:orient="portrait"/>
          <w:cols w:equalWidth="0" w:num="1">
            <w:col w:w="11020"/>
          </w:cols>
          <w:pgMar w:left="440" w:top="266" w:right="439" w:bottom="1440" w:gutter="0" w:footer="0" w:header="0"/>
        </w:sectPr>
      </w:pPr>
    </w:p>
    <w:bookmarkStart w:id="23" w:name="page24"/>
    <w:bookmarkEnd w:id="23"/>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surety bond in such form and amount as it may direct as indemnity against any claim that may be made against the corporation with respect to the certificate alleged to have been lost, stolen, or destroyed.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37. Fixing Record Dates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987"/>
        <w:spacing w:after="0" w:line="254" w:lineRule="auto"/>
        <w:tabs>
          <w:tab w:leader="none" w:pos="126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in advance, a record date, which record date will not precede the date upon which the resolution fixing the record date is adopted by the Board of Directors, and which record date will, subject to applicable law, not be more than 60 nor less than 10 days before the date of such meeting. If no record date is fixed by the Board of Directors, the record date for determining stockholders entitled to notice of or to vote at a meeting of stockholders will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will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w:t>
      </w:r>
    </w:p>
    <w:p>
      <w:pPr>
        <w:spacing w:after="0" w:line="191" w:lineRule="exact"/>
        <w:rPr>
          <w:rFonts w:ascii="Times New Roman" w:cs="Times New Roman" w:eastAsia="Times New Roman" w:hAnsi="Times New Roman"/>
          <w:sz w:val="18"/>
          <w:szCs w:val="18"/>
          <w:b w:val="1"/>
          <w:bCs w:val="1"/>
          <w:color w:val="auto"/>
        </w:rPr>
      </w:pPr>
    </w:p>
    <w:p>
      <w:pPr>
        <w:jc w:val="both"/>
        <w:ind w:firstLine="987"/>
        <w:spacing w:after="0" w:line="253" w:lineRule="auto"/>
        <w:tabs>
          <w:tab w:leader="none" w:pos="126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consent to corporate action without a meeting in accordance with Section 228 of the DGCL, the Board of Directors may fix a record date, which record date will not precede the date upon which the resolution fixing the record date is adopted by the Board of Directors, and which date will not be more than 10 days after the date upon which the resolution fixing the record date is adopted by the Board of Directors. Any stockholder of record seeking to have the stockholders authorize or take corporate action without a meeting in accordance with Section 228 of the DGCL will, by written notice to the Secretary, request the Board of Directors to fix a record date. The Board of Directors will promptly, but in all events within 10 days after the date on which such a request is received, adopt a resolution fixing the record date. If no record date has been fixed by the Board of Directors within 10 days of the date on which such a request is received, the record date for determining stockholders entitled to consent to corporate action without a meeting, when no prior action by the Board of Directors is required by applicable law, will be the first date on which a signed consent setting forth the action taken or proposed to be taken is delivered to the corporation in accordance with the DGCL. If no record date has been fixed by the Board of Directors and prior action by the Board of Directors is required by law, the record date for determining stockholders entitled to consent to corporate action without a meeting will be at the close of business on the day on which the Board of Directors adopts the resolution taking such prior action.</w:t>
      </w:r>
    </w:p>
    <w:p>
      <w:pPr>
        <w:spacing w:after="0" w:line="189" w:lineRule="exact"/>
        <w:rPr>
          <w:rFonts w:ascii="Times New Roman" w:cs="Times New Roman" w:eastAsia="Times New Roman" w:hAnsi="Times New Roman"/>
          <w:sz w:val="18"/>
          <w:szCs w:val="18"/>
          <w:b w:val="1"/>
          <w:bCs w:val="1"/>
          <w:color w:val="auto"/>
        </w:rPr>
      </w:pPr>
    </w:p>
    <w:p>
      <w:pPr>
        <w:jc w:val="both"/>
        <w:ind w:firstLine="987"/>
        <w:spacing w:after="0" w:line="256" w:lineRule="auto"/>
        <w:tabs>
          <w:tab w:leader="none" w:pos="126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will not precede the date upon which the resolution fixing the record date is adopted, and which record date will be not more than 60 days prior to such action. If no record date is fixed, the record date for determining stockholders for any such purpose will be at the close of business on the day on which the Board of Directors adopts the resolution relating thereto.</w:t>
      </w:r>
    </w:p>
    <w:p>
      <w:pPr>
        <w:spacing w:after="0" w:line="183"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38. Registered Stockholders</w:t>
      </w:r>
      <w:r>
        <w:rPr>
          <w:rFonts w:ascii="Times New Roman" w:cs="Times New Roman" w:eastAsia="Times New Roman" w:hAnsi="Times New Roman"/>
          <w:sz w:val="18"/>
          <w:szCs w:val="18"/>
          <w:color w:val="auto"/>
        </w:rPr>
        <w:t>. The corporation is entitled to recognize the exclusive right of a person registered on its books as the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to receive dividends, and to vote as such owner, and is not bound to recognize any equitable or other claim to or interest in such share or shares on the part of any other person whether or not it has express or other notice thereof, except as otherwise provided by the laws of Delaware.</w:t>
      </w:r>
    </w:p>
    <w:p>
      <w:pPr>
        <w:sectPr>
          <w:pgSz w:w="11900" w:h="16838" w:orient="portrait"/>
          <w:cols w:equalWidth="0" w:num="1">
            <w:col w:w="11020"/>
          </w:cols>
          <w:pgMar w:left="440" w:top="270" w:right="4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39. Execution of Other Securities</w:t>
      </w:r>
      <w:r>
        <w:rPr>
          <w:rFonts w:ascii="Times New Roman" w:cs="Times New Roman" w:eastAsia="Times New Roman" w:hAnsi="Times New Roman"/>
          <w:sz w:val="18"/>
          <w:szCs w:val="18"/>
          <w:color w:val="auto"/>
        </w:rPr>
        <w:t>. 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35 of these Bylaws), may be signed by the Chair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is authenticated by the manual signature, or where permissible facsimile signature, of a trustee under an indenture pursuant to which such bond, debenture or other corporate security is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will be signed by the Treasurer or an Assistant Treasurer of the corporation or such other person as may be authorized by the Board of Directors, or bear imprinted thereon the facsimile signature of such person. In case any officer who has signed or attested any bond, debenture or other corporate security, or whose facsimile signature appears thereon or on any such interest coupon, has ceased to be such officer before the bond, debenture or other corporate security so signed or attested has been delivered, such bond, debenture or other corporate security nevertheless may be adopted by the corporation and issued and delivered as though the person who signed the same or whose facsimile signature has been used thereon had not ceased to be such officer of the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40. Declaration of Dividends</w:t>
      </w:r>
      <w:r>
        <w:rPr>
          <w:rFonts w:ascii="Times New Roman" w:cs="Times New Roman" w:eastAsia="Times New Roman" w:hAnsi="Times New Roman"/>
          <w:sz w:val="18"/>
          <w:szCs w:val="18"/>
          <w:color w:val="auto"/>
        </w:rPr>
        <w:t>. 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71"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Section 41. Dividend Reserve</w:t>
      </w:r>
      <w:r>
        <w:rPr>
          <w:rFonts w:ascii="Times New Roman" w:cs="Times New Roman" w:eastAsia="Times New Roman" w:hAnsi="Times New Roman"/>
          <w:sz w:val="17"/>
          <w:szCs w:val="17"/>
          <w:color w:val="auto"/>
        </w:rPr>
        <w:t>. Before payment of any dividend, there may be set aside out of any funds of the corporation available for dividends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thinks conducive to the interests of the corporation, and the Board of Directors may modify or abolish any such reserve in the manner in which it was created.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42. Fiscal Year</w:t>
      </w:r>
      <w:r>
        <w:rPr>
          <w:rFonts w:ascii="Times New Roman" w:cs="Times New Roman" w:eastAsia="Times New Roman" w:hAnsi="Times New Roman"/>
          <w:sz w:val="18"/>
          <w:szCs w:val="18"/>
          <w:color w:val="auto"/>
        </w:rPr>
        <w:t>. The fiscal year of the corporation will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ectPr>
          <w:pgSz w:w="11900" w:h="16838" w:orient="portrait"/>
          <w:cols w:equalWidth="0" w:num="1">
            <w:col w:w="11020"/>
          </w:cols>
          <w:pgMar w:left="440" w:top="266"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43. Indemnification of Directors, Executive Officers, Other Officers, Employees and Other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5" w:lineRule="auto"/>
        <w:tabs>
          <w:tab w:leader="none" w:pos="124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18"/>
          <w:szCs w:val="18"/>
          <w:color w:val="auto"/>
        </w:rPr>
        <w:t>. The corporation will indemnify its directors and executive officers (for the purposes of this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officers” has the meaning defined in Rule 3b-7 promulgated under the 1934 Act) to the fullest extent not prohibited by the DGCL or any other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corporation may modify the extent of such indemnification by individual contracts with its directors and executive officers;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corporation will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paragraph (d) of this Section.</w:t>
      </w:r>
    </w:p>
    <w:p>
      <w:pPr>
        <w:spacing w:after="0" w:line="184" w:lineRule="exact"/>
        <w:rPr>
          <w:rFonts w:ascii="Times New Roman" w:cs="Times New Roman" w:eastAsia="Times New Roman" w:hAnsi="Times New Roman"/>
          <w:sz w:val="18"/>
          <w:szCs w:val="18"/>
          <w:b w:val="1"/>
          <w:bCs w:val="1"/>
          <w:color w:val="auto"/>
        </w:rPr>
      </w:pPr>
    </w:p>
    <w:p>
      <w:pPr>
        <w:jc w:val="both"/>
        <w:ind w:firstLine="987"/>
        <w:spacing w:after="0" w:line="268" w:lineRule="auto"/>
        <w:tabs>
          <w:tab w:leader="none" w:pos="125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Officers, Employees and Other Agents</w:t>
      </w:r>
      <w:r>
        <w:rPr>
          <w:rFonts w:ascii="Times New Roman" w:cs="Times New Roman" w:eastAsia="Times New Roman" w:hAnsi="Times New Roman"/>
          <w:sz w:val="18"/>
          <w:szCs w:val="18"/>
          <w:color w:val="auto"/>
        </w:rPr>
        <w:t>. The corporation will have power to indemnify its other officers, employees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as set forth in the DGCL or any other applicable law. The Board of Directors will have the power to delegate the determination of whether indemnification will be given to any such person except executive officers to such officers or other persons as the Board of Directors determines.</w:t>
      </w:r>
    </w:p>
    <w:p>
      <w:pPr>
        <w:spacing w:after="0" w:line="170"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49"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The corporation will advance to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DGCL requires, an advancement of expenses incurred by a director or officer in such director’s or officer’s capacity as a director or officer (and not in any other capacity in which service was or is rendered by such indemnitee, including, without limitation, service to an employee benefit plan)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for such expenses under this Section or otherwise.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paragraph (e) of this Section, no advance will be made by the corporation to an executive officer of the corporation (except by reason of the fact that such executive officer is or was a director of the corporation, in which event this paragraph will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ectPr>
          <w:pgSz w:w="11900" w:h="16838" w:orient="portrait"/>
          <w:cols w:equalWidth="0" w:num="1">
            <w:col w:w="11020"/>
          </w:cols>
          <w:pgMar w:left="440" w:top="266" w:right="439" w:bottom="1440" w:gutter="0" w:footer="0" w:header="0"/>
        </w:sectPr>
      </w:pPr>
    </w:p>
    <w:bookmarkStart w:id="26" w:name="page27"/>
    <w:bookmarkEnd w:id="26"/>
    <w:p>
      <w:pPr>
        <w:jc w:val="both"/>
        <w:ind w:left="-987" w:firstLine="987"/>
        <w:spacing w:after="0" w:line="252" w:lineRule="auto"/>
        <w:tabs>
          <w:tab w:leader="none" w:pos="28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Times New Roman" w:cs="Times New Roman" w:eastAsia="Times New Roman" w:hAnsi="Times New Roman"/>
          <w:sz w:val="18"/>
          <w:szCs w:val="18"/>
          <w:color w:val="auto"/>
        </w:rPr>
        <w:t>. Without the necessity of entering into an express contract, all rights to indemnification and advances to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under this Section will be deemed to be contractual rights and be effective to the same extent and as if provided for in a contract between the corporation and the director or executive officer. Any right to indemnification or advances granted by this Section to a director or executive officer will be enforceable by or on behalf of the person holding such right in any court of competent jurisdiction if (i) the claim for indemnification or advances is denied, in whole or in part, or (ii) no disposition of such claim is made within 90 days of request therefor. The claimant in such enforcement action, if successful in whole or in part, will be entitled to be paid also the expense of prosecuting the claim. In connection with any claim for indemnification, the corporation will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will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such person’s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will be a defense to the action or create a presumption that claimant has not met the applicable standard of conduct.</w:t>
      </w:r>
    </w:p>
    <w:p>
      <w:pPr>
        <w:spacing w:after="0" w:line="193" w:lineRule="exact"/>
        <w:rPr>
          <w:rFonts w:ascii="Times New Roman" w:cs="Times New Roman" w:eastAsia="Times New Roman" w:hAnsi="Times New Roman"/>
          <w:sz w:val="18"/>
          <w:szCs w:val="18"/>
          <w:b w:val="1"/>
          <w:bCs w:val="1"/>
          <w:color w:val="auto"/>
        </w:rPr>
      </w:pPr>
    </w:p>
    <w:p>
      <w:pPr>
        <w:jc w:val="both"/>
        <w:ind w:left="-987" w:right="20" w:firstLine="987"/>
        <w:spacing w:after="0" w:line="259" w:lineRule="auto"/>
        <w:tabs>
          <w:tab w:leader="none" w:pos="26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Rights</w:t>
      </w:r>
      <w:r>
        <w:rPr>
          <w:rFonts w:ascii="Times New Roman" w:cs="Times New Roman" w:eastAsia="Times New Roman" w:hAnsi="Times New Roman"/>
          <w:sz w:val="18"/>
          <w:szCs w:val="18"/>
          <w:color w:val="auto"/>
        </w:rPr>
        <w:t>. The rights conferred on any person by this Section are not exclusive of any other right that such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have or hereafter acquire under any applicable statute, provision of the Certificate of Incorporation,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79" w:lineRule="exact"/>
        <w:rPr>
          <w:rFonts w:ascii="Times New Roman" w:cs="Times New Roman" w:eastAsia="Times New Roman" w:hAnsi="Times New Roman"/>
          <w:sz w:val="18"/>
          <w:szCs w:val="18"/>
          <w:b w:val="1"/>
          <w:bCs w:val="1"/>
          <w:color w:val="auto"/>
        </w:rPr>
      </w:pPr>
    </w:p>
    <w:p>
      <w:pPr>
        <w:ind w:left="-987" w:firstLine="987"/>
        <w:spacing w:after="0" w:line="286" w:lineRule="auto"/>
        <w:tabs>
          <w:tab w:leader="none" w:pos="22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of Rights</w:t>
      </w:r>
      <w:r>
        <w:rPr>
          <w:rFonts w:ascii="Times New Roman" w:cs="Times New Roman" w:eastAsia="Times New Roman" w:hAnsi="Times New Roman"/>
          <w:sz w:val="18"/>
          <w:szCs w:val="18"/>
          <w:color w:val="auto"/>
        </w:rPr>
        <w:t>. The rights conferred on any person by this Section will continue as to a person who has ceased to be a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will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left="-987" w:right="20" w:firstLine="987"/>
        <w:spacing w:after="0" w:line="286" w:lineRule="auto"/>
        <w:tabs>
          <w:tab w:leader="none" w:pos="25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To the fullest extent permitted by the DGCL,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insurance on behalf of any person required or permitted to be indemnified pursuant to this Section.</w:t>
      </w:r>
    </w:p>
    <w:p>
      <w:pPr>
        <w:spacing w:after="0" w:line="154" w:lineRule="exact"/>
        <w:rPr>
          <w:rFonts w:ascii="Times New Roman" w:cs="Times New Roman" w:eastAsia="Times New Roman" w:hAnsi="Times New Roman"/>
          <w:sz w:val="18"/>
          <w:szCs w:val="18"/>
          <w:b w:val="1"/>
          <w:bCs w:val="1"/>
          <w:color w:val="auto"/>
        </w:rPr>
      </w:pPr>
    </w:p>
    <w:p>
      <w:pPr>
        <w:jc w:val="both"/>
        <w:ind w:left="-987" w:right="20" w:firstLine="987"/>
        <w:spacing w:after="0" w:line="268" w:lineRule="auto"/>
        <w:tabs>
          <w:tab w:leader="none" w:pos="28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Any repeal, amendment or modification of this Section is only prospective and does not affect the rights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 in effect at the time of the alleged occurrence of any action or omission to act that is the cause of any proceeding against any agent of the corporation.</w:t>
      </w:r>
    </w:p>
    <w:p>
      <w:pPr>
        <w:spacing w:after="0" w:line="170" w:lineRule="exact"/>
        <w:rPr>
          <w:rFonts w:ascii="Times New Roman" w:cs="Times New Roman" w:eastAsia="Times New Roman" w:hAnsi="Times New Roman"/>
          <w:sz w:val="18"/>
          <w:szCs w:val="18"/>
          <w:b w:val="1"/>
          <w:bCs w:val="1"/>
          <w:color w:val="auto"/>
        </w:rPr>
      </w:pPr>
    </w:p>
    <w:p>
      <w:pPr>
        <w:jc w:val="both"/>
        <w:ind w:left="-987" w:firstLine="987"/>
        <w:spacing w:after="0" w:line="262" w:lineRule="auto"/>
        <w:tabs>
          <w:tab w:leader="none" w:pos="23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Saving Clause</w:t>
      </w:r>
      <w:r>
        <w:rPr>
          <w:rFonts w:ascii="Times New Roman" w:cs="Times New Roman" w:eastAsia="Times New Roman" w:hAnsi="Times New Roman"/>
          <w:sz w:val="18"/>
          <w:szCs w:val="18"/>
          <w:color w:val="auto"/>
        </w:rPr>
        <w:t>. If this Section or any portion hereof is invalidated on any ground by any court of competent jurisdiction,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will nevertheless indemnify each director and executive officer to the full extent not prohibited by any applicable portion of this Bylaw that has not been invalidated, or by any other applicable law. If this Section is invalid due to the application of the indemnification provisions of another jurisdiction, then the corporation will indemnify each director and executive officer to the full extent under applicable law.</w:t>
      </w:r>
    </w:p>
    <w:p>
      <w:pPr>
        <w:sectPr>
          <w:pgSz w:w="11900" w:h="16838" w:orient="portrait"/>
          <w:cols w:equalWidth="0" w:num="1">
            <w:col w:w="10033"/>
          </w:cols>
          <w:pgMar w:left="1427" w:top="266" w:right="439" w:bottom="1440" w:gutter="0" w:footer="0" w:header="0"/>
        </w:sectPr>
      </w:pPr>
    </w:p>
    <w:bookmarkStart w:id="27" w:name="page28"/>
    <w:bookmarkEnd w:id="27"/>
    <w:p>
      <w:pPr>
        <w:ind w:left="1220" w:hanging="233"/>
        <w:spacing w:after="0"/>
        <w:tabs>
          <w:tab w:leader="none" w:pos="12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Definitions</w:t>
      </w:r>
      <w:r>
        <w:rPr>
          <w:rFonts w:ascii="Times New Roman" w:cs="Times New Roman" w:eastAsia="Times New Roman" w:hAnsi="Times New Roman"/>
          <w:sz w:val="18"/>
          <w:szCs w:val="18"/>
          <w:color w:val="auto"/>
        </w:rPr>
        <w:t>. For the purposes of this Section, the following definitions apply:</w:t>
      </w:r>
    </w:p>
    <w:p>
      <w:pPr>
        <w:spacing w:after="0" w:line="229" w:lineRule="exact"/>
        <w:rPr>
          <w:rFonts w:ascii="Times New Roman" w:cs="Times New Roman" w:eastAsia="Times New Roman" w:hAnsi="Times New Roman"/>
          <w:sz w:val="18"/>
          <w:szCs w:val="18"/>
          <w:b w:val="1"/>
          <w:bCs w:val="1"/>
          <w:color w:val="auto"/>
        </w:rPr>
      </w:pPr>
    </w:p>
    <w:p>
      <w:pPr>
        <w:jc w:val="both"/>
        <w:ind w:right="20" w:firstLine="1428"/>
        <w:spacing w:after="0" w:line="266" w:lineRule="auto"/>
        <w:tabs>
          <w:tab w:leader="none" w:pos="1703"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“proceeding” is to be broadly construed and includes,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693"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“expenses” is to be broadly construed and includes, without limitation, court costs, attorneys’ fees, witness fees, fines, amounts paid in settlement or judgment and any other costs and expenses of any nature or kind incurred in connection with any proceeding.</w:t>
      </w:r>
    </w:p>
    <w:p>
      <w:pPr>
        <w:spacing w:after="0" w:line="161" w:lineRule="exact"/>
        <w:rPr>
          <w:rFonts w:ascii="Times New Roman" w:cs="Times New Roman" w:eastAsia="Times New Roman" w:hAnsi="Times New Roman"/>
          <w:sz w:val="18"/>
          <w:szCs w:val="18"/>
          <w:b w:val="1"/>
          <w:bCs w:val="1"/>
          <w:color w:val="auto"/>
        </w:rPr>
      </w:pPr>
    </w:p>
    <w:p>
      <w:pPr>
        <w:jc w:val="both"/>
        <w:ind w:firstLine="1428"/>
        <w:spacing w:after="0" w:line="256" w:lineRule="auto"/>
        <w:tabs>
          <w:tab w:leader="none" w:pos="1731"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“corporation” includes,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this Section with respect to the resulting or surviving corporation as such person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b w:val="1"/>
          <w:bCs w:val="1"/>
          <w:color w:val="auto"/>
        </w:rPr>
      </w:pPr>
    </w:p>
    <w:p>
      <w:pPr>
        <w:jc w:val="both"/>
        <w:ind w:right="20" w:firstLine="1428"/>
        <w:spacing w:after="0" w:line="266" w:lineRule="auto"/>
        <w:tabs>
          <w:tab w:leader="none" w:pos="1697"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“director,” “executive officer,” “officer,” “employee,” or “agent” of the corporation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5" w:lineRule="exact"/>
        <w:rPr>
          <w:rFonts w:ascii="Times New Roman" w:cs="Times New Roman" w:eastAsia="Times New Roman" w:hAnsi="Times New Roman"/>
          <w:sz w:val="18"/>
          <w:szCs w:val="18"/>
          <w:b w:val="1"/>
          <w:bCs w:val="1"/>
          <w:color w:val="auto"/>
        </w:rPr>
      </w:pPr>
    </w:p>
    <w:p>
      <w:pPr>
        <w:jc w:val="both"/>
        <w:ind w:right="20" w:firstLine="1428"/>
        <w:spacing w:after="0" w:line="256" w:lineRule="auto"/>
        <w:tabs>
          <w:tab w:leader="none" w:pos="1702"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“other enterprises” include employee benefit plans; references to “fines” include any excise taxes assessed on a person with respect to an employee benefit plan; and references to “serving at the request of the corporation”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is deemed to have acted in a manner “not opposed to the best interests of the corporation” as referred to in this Section.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44. 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87"/>
        <w:spacing w:after="0" w:line="257" w:lineRule="auto"/>
        <w:tabs>
          <w:tab w:leader="none" w:pos="124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Stockholders</w:t>
      </w:r>
      <w:r>
        <w:rPr>
          <w:rFonts w:ascii="Times New Roman" w:cs="Times New Roman" w:eastAsia="Times New Roman" w:hAnsi="Times New Roman"/>
          <w:sz w:val="18"/>
          <w:szCs w:val="18"/>
          <w:color w:val="auto"/>
        </w:rPr>
        <w:t>. Without limiting the manner by which notice otherwise may be given effectively to stockholders, and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otherwise required by law, any notice to stockholders may be given in writing directed to the stockholder’s mailing address (or by electronic transmission directed to the stockholder’s electronic mail address) as it appears on the records of the corporation and will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w:t>
      </w:r>
    </w:p>
    <w:p>
      <w:pPr>
        <w:sectPr>
          <w:pgSz w:w="11900" w:h="16838" w:orient="portrait"/>
          <w:cols w:equalWidth="0" w:num="1">
            <w:col w:w="11020"/>
          </w:cols>
          <w:pgMar w:left="440" w:top="266" w:right="4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receiving notice by electronic mail or such notice is prohibited by the DGCL. A notice by electronic mail must include a prominent legend that the communication is an important notice regarding the corporation.</w:t>
      </w:r>
    </w:p>
    <w:p>
      <w:pPr>
        <w:spacing w:after="0" w:line="158" w:lineRule="exact"/>
        <w:rPr>
          <w:sz w:val="20"/>
          <w:szCs w:val="20"/>
          <w:color w:val="auto"/>
        </w:rPr>
      </w:pPr>
    </w:p>
    <w:p>
      <w:pPr>
        <w:jc w:val="both"/>
        <w:ind w:firstLine="987"/>
        <w:spacing w:after="0" w:line="268" w:lineRule="auto"/>
        <w:tabs>
          <w:tab w:leader="none" w:pos="12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Directors</w:t>
      </w:r>
      <w:r>
        <w:rPr>
          <w:rFonts w:ascii="Times New Roman" w:cs="Times New Roman" w:eastAsia="Times New Roman" w:hAnsi="Times New Roman"/>
          <w:sz w:val="18"/>
          <w:szCs w:val="18"/>
          <w:color w:val="auto"/>
        </w:rPr>
        <w:t>. Any notice required to be given to any director may be given by the method stated in paragraph (a)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or as provided for in Section 21 of these Bylaws. If such notice is not delivered personally, it will be sent to such address as such director has filed in writing with the Secretary, or, in the absence of such filing, to the last known address of such director.</w:t>
      </w:r>
    </w:p>
    <w:p>
      <w:pPr>
        <w:spacing w:after="0" w:line="170" w:lineRule="exact"/>
        <w:rPr>
          <w:rFonts w:ascii="Times New Roman" w:cs="Times New Roman" w:eastAsia="Times New Roman" w:hAnsi="Times New Roman"/>
          <w:sz w:val="18"/>
          <w:szCs w:val="18"/>
          <w:b w:val="1"/>
          <w:bCs w:val="1"/>
          <w:color w:val="auto"/>
        </w:rPr>
      </w:pPr>
    </w:p>
    <w:p>
      <w:pPr>
        <w:jc w:val="both"/>
        <w:ind w:firstLine="987"/>
        <w:spacing w:after="0" w:line="262" w:lineRule="auto"/>
        <w:tabs>
          <w:tab w:leader="none" w:pos="123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Affidavit of Mailing</w:t>
      </w:r>
      <w:r>
        <w:rPr>
          <w:rFonts w:ascii="Times New Roman" w:cs="Times New Roman" w:eastAsia="Times New Roman" w:hAnsi="Times New Roman"/>
          <w:sz w:val="18"/>
          <w:szCs w:val="18"/>
          <w:color w:val="auto"/>
        </w:rPr>
        <w:t>. 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will in the absence of fraud, be prima facie evidence of the facts stated therein.</w:t>
      </w:r>
    </w:p>
    <w:p>
      <w:pPr>
        <w:spacing w:after="0" w:line="176" w:lineRule="exact"/>
        <w:rPr>
          <w:rFonts w:ascii="Times New Roman" w:cs="Times New Roman" w:eastAsia="Times New Roman" w:hAnsi="Times New Roman"/>
          <w:sz w:val="18"/>
          <w:szCs w:val="18"/>
          <w:b w:val="1"/>
          <w:bCs w:val="1"/>
          <w:color w:val="auto"/>
        </w:rPr>
      </w:pPr>
    </w:p>
    <w:p>
      <w:pPr>
        <w:jc w:val="both"/>
        <w:ind w:firstLine="987"/>
        <w:spacing w:after="0" w:line="268" w:lineRule="auto"/>
        <w:tabs>
          <w:tab w:leader="none" w:pos="125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Methods of Notice</w:t>
      </w:r>
      <w:r>
        <w:rPr>
          <w:rFonts w:ascii="Times New Roman" w:cs="Times New Roman" w:eastAsia="Times New Roman" w:hAnsi="Times New Roman"/>
          <w:sz w:val="18"/>
          <w:szCs w:val="18"/>
          <w:color w:val="auto"/>
        </w:rPr>
        <w:t>. It is not necessary that the same method of giving notice be employed in respect of all recipients of notice, but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jc w:val="both"/>
        <w:ind w:firstLine="987"/>
        <w:spacing w:after="0" w:line="256" w:lineRule="auto"/>
        <w:tabs>
          <w:tab w:leader="none" w:pos="123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Person with Whom Communication Is Unlawful</w:t>
      </w:r>
      <w:r>
        <w:rPr>
          <w:rFonts w:ascii="Times New Roman" w:cs="Times New Roman" w:eastAsia="Times New Roman" w:hAnsi="Times New Roman"/>
          <w:sz w:val="18"/>
          <w:szCs w:val="18"/>
          <w:color w:val="auto"/>
        </w:rPr>
        <w:t>. Whenever notice is required to be given, under any provision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Certificate of Incorporation or Bylaws of the corporation, to any person with whom communication is unlawful, the giving of such notice to such person is not required and there is no duty to apply to any governmental authority or agency for a license or permit to give such notice to such person. Any action or meeting that is taken or held without notice to any such person with whom communication is unlawful has the same force and effect as if such notice had been duly given. In the event that the action taken by the corporation is such as to require the filing of a certificate under any provision of the DGCL, the certificate will state, if such is the fact and if notice is required, that notice was given to all persons entitled to receive notice except such persons with whom communication is unlawful.</w:t>
      </w:r>
    </w:p>
    <w:p>
      <w:pPr>
        <w:spacing w:after="0" w:line="182" w:lineRule="exact"/>
        <w:rPr>
          <w:rFonts w:ascii="Times New Roman" w:cs="Times New Roman" w:eastAsia="Times New Roman" w:hAnsi="Times New Roman"/>
          <w:sz w:val="18"/>
          <w:szCs w:val="18"/>
          <w:b w:val="1"/>
          <w:bCs w:val="1"/>
          <w:color w:val="auto"/>
        </w:rPr>
      </w:pPr>
    </w:p>
    <w:p>
      <w:pPr>
        <w:jc w:val="both"/>
        <w:ind w:firstLine="987"/>
        <w:spacing w:after="0" w:line="259" w:lineRule="auto"/>
        <w:tabs>
          <w:tab w:leader="none" w:pos="121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Stockholders Sharing an Address</w:t>
      </w:r>
      <w:r>
        <w:rPr>
          <w:rFonts w:ascii="Times New Roman" w:cs="Times New Roman" w:eastAsia="Times New Roman" w:hAnsi="Times New Roman"/>
          <w:sz w:val="18"/>
          <w:szCs w:val="18"/>
          <w:color w:val="auto"/>
        </w:rPr>
        <w:t>. Except as otherwise prohibited under DGCL, any notice given under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the Certificate of Incorporation or the Bylaws will be effective if given by a single written notice to stockholders who share an address if consented to by the stockholders at that address to whom such notice is given. Such consent is deemed to have been given if such stockholder fails to object in writing to the corporation within 60 days of having been given notice by the corporation of its intention to send the single notice. Any consent is revocable by the stockholder by written notice to the corporation.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45. Amendments</w:t>
      </w:r>
      <w:r>
        <w:rPr>
          <w:rFonts w:ascii="Times New Roman" w:cs="Times New Roman" w:eastAsia="Times New Roman" w:hAnsi="Times New Roman"/>
          <w:sz w:val="18"/>
          <w:szCs w:val="18"/>
          <w:color w:val="auto"/>
        </w:rPr>
        <w:t>. The Board of Directors is expressly empowered to adopt, amend or repeal Bylaws of the corporation.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also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addition to any vote of the holders of any class or series of stock of the corporation required by law or by the Certificate of Incorporation, such action by stockholders requires the affirmative vote of the holders of a majority of the voting power of all then-outstanding shares of capital stock of the corporation entitled to vote generally in the election of directors, voting together as a single class.</w:t>
      </w:r>
    </w:p>
    <w:p>
      <w:pPr>
        <w:sectPr>
          <w:pgSz w:w="11900" w:h="16838" w:orient="portrait"/>
          <w:cols w:equalWidth="0" w:num="1">
            <w:col w:w="11000"/>
          </w:cols>
          <w:pgMar w:left="440" w:top="270"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25" w:lineRule="exact"/>
        <w:rPr>
          <w:sz w:val="20"/>
          <w:szCs w:val="20"/>
          <w:color w:val="auto"/>
        </w:rPr>
      </w:pPr>
    </w:p>
    <w:p>
      <w:pPr>
        <w:jc w:val="both"/>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46. Loans to Officers</w:t>
      </w:r>
      <w:r>
        <w:rPr>
          <w:rFonts w:ascii="Times New Roman" w:cs="Times New Roman" w:eastAsia="Times New Roman" w:hAnsi="Times New Roman"/>
          <w:sz w:val="18"/>
          <w:szCs w:val="18"/>
          <w:color w:val="auto"/>
        </w:rPr>
        <w:t>. Except as otherwise prohibited under applicable law, the corporation may lend money to, or guarantee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approves, including, without limitation, a pledge of shares of stock of the corporation. Nothing in these Bylaws is deemed to deny, limit or restrict the powers of guaranty or warranty of the corporation at common law or under any statute.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47. Annual Report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987"/>
        <w:spacing w:after="0" w:line="254" w:lineRule="auto"/>
        <w:tabs>
          <w:tab w:leader="none" w:pos="124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paragraph (b) of this Section, during such time or times that the corporation is subject to Section 2115(b) of the CGCL, the Board of Directors will cause an annual report to be sent to each stockholder of the corporation not later than 120 days after the close of the corporation’s fiscal year. Such report will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100 or more stockholders of record of the corporation’s shares, as determined by Section 605 of the CGCL, additional information as required by Section 1501(b) of the CGCL will also be contained in such report, provided that if the corporation has a class of securities registered under Section 12 of the 1934 Act, the 1934 Act will take precedence. Such report will be sent to stockholders at least 15 (or, if sent by third-class mail, 35) days prior to the next annual meeting of stockholders after the end of the fiscal year to which it relates.</w:t>
      </w:r>
    </w:p>
    <w:p>
      <w:pPr>
        <w:spacing w:after="0" w:line="188"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26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58" w:lineRule="exact"/>
        <w:rPr>
          <w:sz w:val="20"/>
          <w:szCs w:val="20"/>
          <w:color w:val="auto"/>
        </w:rPr>
      </w:pPr>
    </w:p>
    <w:p>
      <w:pPr>
        <w:jc w:val="both"/>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48. Forum</w:t>
      </w:r>
      <w:r>
        <w:rPr>
          <w:rFonts w:ascii="Times New Roman" w:cs="Times New Roman" w:eastAsia="Times New Roman" w:hAnsi="Times New Roman"/>
          <w:sz w:val="18"/>
          <w:szCs w:val="18"/>
          <w:color w:val="auto"/>
        </w:rPr>
        <w:t>. Unless the corporation consents in writing to the selection of an alternative forum, the Court of Chancery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is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Roman"/>
      <w:start w:val="1"/>
    </w:lvl>
  </w:abstractNum>
  <w:abstractNum w:abstractNumId="3">
    <w:nsid w:val="519B500D"/>
    <w:multiLevelType w:val="hybridMultilevel"/>
    <w:lvl w:ilvl="0">
      <w:lvlJc w:val="left"/>
      <w:lvlText w:val="(%1)"/>
      <w:numFmt w:val="lowerLetter"/>
      <w:start w:val="4"/>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lowerLetter"/>
      <w:start w:val="1"/>
    </w:lvl>
    <w:lvl w:ilvl="1">
      <w:lvlJc w:val="left"/>
      <w:lvlText w:val="(%2)"/>
      <w:numFmt w:val="lowerLetter"/>
      <w:start w:val="1"/>
    </w:lvl>
  </w:abstractNum>
  <w:abstractNum w:abstractNumId="6">
    <w:nsid w:val="7C83E458"/>
    <w:multiLevelType w:val="hybridMultilevel"/>
    <w:lvl w:ilvl="0">
      <w:lvlJc w:val="left"/>
      <w:lvlText w:val="(%1)"/>
      <w:numFmt w:val="lowerLetter"/>
      <w:start w:val="9"/>
    </w:lvl>
    <w:lvl w:ilvl="1">
      <w:lvlJc w:val="left"/>
      <w:lvlText w:val="%2"/>
      <w:numFmt w:val="lowerLetter"/>
      <w:start w:val="1"/>
    </w:lvl>
  </w:abstractNum>
  <w:abstractNum w:abstractNumId="7">
    <w:nsid w:val="257130A3"/>
    <w:multiLevelType w:val="hybridMultilevel"/>
    <w:lvl w:ilvl="0">
      <w:lvlJc w:val="left"/>
      <w:lvlText w:val="(%1)"/>
      <w:numFmt w:val="lowerLetter"/>
      <w:start w:val="3"/>
    </w:lvl>
  </w:abstractNum>
  <w:abstractNum w:abstractNumId="8">
    <w:nsid w:val="62BBD95A"/>
    <w:multiLevelType w:val="hybridMultilevel"/>
    <w:lvl w:ilvl="0">
      <w:lvlJc w:val="left"/>
      <w:lvlText w:val="(%1)"/>
      <w:numFmt w:val="lowerLetter"/>
      <w:start w:val="5"/>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Roman"/>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3"/>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lvl w:ilvl="1">
      <w:lvlJc w:val="left"/>
      <w:lvlText w:val="(%2)"/>
      <w:numFmt w:val="lowerLetter"/>
      <w:start w:val="1"/>
    </w:lvl>
  </w:abstractNum>
  <w:abstractNum w:abstractNumId="21">
    <w:nsid w:val="189A769B"/>
    <w:multiLevelType w:val="hybridMultilevel"/>
    <w:lvl w:ilvl="0">
      <w:lvlJc w:val="left"/>
      <w:lvlText w:val="(%1)"/>
      <w:numFmt w:val="lowerLetter"/>
      <w:start w:val="9"/>
    </w:lvl>
    <w:lvl w:ilvl="1">
      <w:lvlJc w:val="left"/>
      <w:lvlText w:val="(%2)"/>
      <w:numFmt w:val="lowerLetter"/>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3"/>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4"/>
    </w:lvl>
  </w:abstractNum>
  <w:abstractNum w:abstractNumId="27">
    <w:nsid w:val="3A95F874"/>
    <w:multiLevelType w:val="hybridMultilevel"/>
    <w:lvl w:ilvl="0">
      <w:lvlJc w:val="left"/>
      <w:lvlText w:val="(%1)"/>
      <w:numFmt w:val="lowerLetter"/>
      <w:start w:val="10"/>
    </w:lvl>
    <w:lvl w:ilvl="1">
      <w:lvlJc w:val="left"/>
      <w:lvlText w:val="(%2)"/>
      <w:numFmt w:val="decimal"/>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2"/>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19" Type="http://schemas.openxmlformats.org/officeDocument/2006/relationships/hyperlink" Target="http://www.sec.gov/Archives/edgar/data/914475/000119312526162715/d140647dex99a1a.htm" TargetMode="External"/><Relationship Id="rId20" Type="http://schemas.openxmlformats.org/officeDocument/2006/relationships/hyperlink" Target="http://www.sec.gov/Archives/edgar/data/914475/000119312526162715/d140647dsctot.htm" TargetMode="External"/><Relationship Id="rId23" Type="http://schemas.openxmlformats.org/officeDocument/2006/relationships/hyperlink" Target="http://www.sec.gov/Archives/edgar/data/1484565/000119312526142911/d14298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2026-05-18T08:08:27Z</dcterms:created>
  <dcterms:modified xsi:type="dcterms:W3CDTF">2026-05-18T08:08:27Z</dcterms:modified>
</cp:coreProperties>
</file>