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March 23, 2023</w:t>
      </w:r>
    </w:p>
    <w:p>
      <w:pPr>
        <w:spacing w:after="0" w:line="27" w:lineRule="exact"/>
        <w:rPr>
          <w:sz w:val="24"/>
          <w:szCs w:val="24"/>
          <w:color w:val="auto"/>
        </w:rPr>
      </w:pPr>
    </w:p>
    <w:p>
      <w:pPr>
        <w:ind w:left="902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SOLENO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840" w:type="dxa"/>
        <w:tblCellMar>
          <w:top w:w="0" w:type="dxa"/>
          <w:left w:w="0" w:type="dxa"/>
          <w:bottom w:w="0" w:type="dxa"/>
          <w:right w:w="0" w:type="dxa"/>
        </w:tblCellMar>
      </w:tblPr>
      <w:tr>
        <w:trPr>
          <w:trHeight w:val="212"/>
        </w:trPr>
        <w:tc>
          <w:tcPr>
            <w:tcW w:w="5700" w:type="dxa"/>
            <w:vAlign w:val="bottom"/>
            <w:gridSpan w:val="3"/>
          </w:tcPr>
          <w:p>
            <w:pPr>
              <w:jc w:val="center"/>
              <w:ind w:right="3820"/>
              <w:spacing w:after="0"/>
              <w:rPr>
                <w:sz w:val="20"/>
                <w:szCs w:val="20"/>
                <w:color w:val="auto"/>
              </w:rPr>
            </w:pPr>
            <w:r>
              <w:rPr>
                <w:rFonts w:ascii="Arial" w:cs="Arial" w:eastAsia="Arial" w:hAnsi="Arial"/>
                <w:sz w:val="18"/>
                <w:szCs w:val="18"/>
                <w:b w:val="1"/>
                <w:bCs w:val="1"/>
                <w:color w:val="auto"/>
                <w:w w:val="91"/>
              </w:rPr>
              <w:t>Delaware</w:t>
            </w:r>
          </w:p>
        </w:tc>
        <w:tc>
          <w:tcPr>
            <w:tcW w:w="1520" w:type="dxa"/>
            <w:vAlign w:val="bottom"/>
          </w:tcPr>
          <w:p>
            <w:pPr>
              <w:jc w:val="center"/>
              <w:ind w:left="2"/>
              <w:spacing w:after="0"/>
              <w:rPr>
                <w:sz w:val="20"/>
                <w:szCs w:val="20"/>
                <w:color w:val="auto"/>
              </w:rPr>
            </w:pPr>
            <w:r>
              <w:rPr>
                <w:rFonts w:ascii="Arial" w:cs="Arial" w:eastAsia="Arial" w:hAnsi="Arial"/>
                <w:sz w:val="18"/>
                <w:szCs w:val="18"/>
                <w:b w:val="1"/>
                <w:bCs w:val="1"/>
                <w:color w:val="auto"/>
                <w:w w:val="91"/>
              </w:rPr>
              <w:t>77-0523891</w:t>
            </w:r>
          </w:p>
        </w:tc>
      </w:tr>
      <w:tr>
        <w:trPr>
          <w:trHeight w:val="148"/>
        </w:trPr>
        <w:tc>
          <w:tcPr>
            <w:tcW w:w="5700" w:type="dxa"/>
            <w:vAlign w:val="bottom"/>
            <w:gridSpan w:val="3"/>
          </w:tcPr>
          <w:p>
            <w:pPr>
              <w:jc w:val="center"/>
              <w:ind w:right="382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520" w:type="dxa"/>
            <w:vAlign w:val="bottom"/>
          </w:tcPr>
          <w:p>
            <w:pPr>
              <w:jc w:val="center"/>
              <w:ind w:left="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700" w:type="dxa"/>
            <w:vAlign w:val="bottom"/>
            <w:gridSpan w:val="3"/>
          </w:tcPr>
          <w:p>
            <w:pPr>
              <w:jc w:val="center"/>
              <w:ind w:right="3820"/>
              <w:spacing w:after="0"/>
              <w:rPr>
                <w:sz w:val="20"/>
                <w:szCs w:val="20"/>
                <w:color w:val="auto"/>
              </w:rPr>
            </w:pPr>
            <w:r>
              <w:rPr>
                <w:rFonts w:ascii="Arial" w:cs="Arial" w:eastAsia="Arial" w:hAnsi="Arial"/>
                <w:sz w:val="14"/>
                <w:szCs w:val="14"/>
                <w:b w:val="1"/>
                <w:bCs w:val="1"/>
                <w:color w:val="auto"/>
                <w:w w:val="94"/>
              </w:rPr>
              <w:t>incorporation or organization)</w:t>
            </w:r>
          </w:p>
        </w:tc>
        <w:tc>
          <w:tcPr>
            <w:tcW w:w="1520" w:type="dxa"/>
            <w:vAlign w:val="bottom"/>
          </w:tcPr>
          <w:p>
            <w:pPr>
              <w:jc w:val="center"/>
              <w:ind w:left="2"/>
              <w:spacing w:after="0"/>
              <w:rPr>
                <w:sz w:val="20"/>
                <w:szCs w:val="20"/>
                <w:color w:val="auto"/>
              </w:rPr>
            </w:pPr>
            <w:r>
              <w:rPr>
                <w:rFonts w:ascii="Arial" w:cs="Arial" w:eastAsia="Arial" w:hAnsi="Arial"/>
                <w:sz w:val="14"/>
                <w:szCs w:val="14"/>
                <w:b w:val="1"/>
                <w:bCs w:val="1"/>
                <w:color w:val="auto"/>
                <w:w w:val="96"/>
              </w:rPr>
              <w:t>Identification Number)</w:t>
            </w:r>
          </w:p>
        </w:tc>
      </w:tr>
      <w:tr>
        <w:trPr>
          <w:trHeight w:val="412"/>
        </w:trPr>
        <w:tc>
          <w:tcPr>
            <w:tcW w:w="5700" w:type="dxa"/>
            <w:vAlign w:val="bottom"/>
            <w:gridSpan w:val="3"/>
          </w:tcPr>
          <w:p>
            <w:pPr>
              <w:jc w:val="center"/>
              <w:ind w:left="1560"/>
              <w:spacing w:after="0"/>
              <w:rPr>
                <w:sz w:val="20"/>
                <w:szCs w:val="20"/>
                <w:color w:val="auto"/>
              </w:rPr>
            </w:pPr>
            <w:r>
              <w:rPr>
                <w:rFonts w:ascii="Arial" w:cs="Arial" w:eastAsia="Arial" w:hAnsi="Arial"/>
                <w:sz w:val="18"/>
                <w:szCs w:val="18"/>
                <w:b w:val="1"/>
                <w:bCs w:val="1"/>
                <w:color w:val="auto"/>
                <w:w w:val="88"/>
              </w:rPr>
              <w:t>203 Redwood Shores Pkwy, Suite 500</w:t>
            </w:r>
          </w:p>
        </w:tc>
        <w:tc>
          <w:tcPr>
            <w:tcW w:w="1520" w:type="dxa"/>
            <w:vAlign w:val="bottom"/>
          </w:tcPr>
          <w:p>
            <w:pPr>
              <w:spacing w:after="0"/>
              <w:rPr>
                <w:sz w:val="24"/>
                <w:szCs w:val="24"/>
                <w:color w:val="auto"/>
              </w:rPr>
            </w:pPr>
          </w:p>
        </w:tc>
      </w:tr>
      <w:tr>
        <w:trPr>
          <w:trHeight w:val="212"/>
        </w:trPr>
        <w:tc>
          <w:tcPr>
            <w:tcW w:w="2500" w:type="dxa"/>
            <w:vAlign w:val="bottom"/>
          </w:tcPr>
          <w:p>
            <w:pPr>
              <w:spacing w:after="0"/>
              <w:rPr>
                <w:sz w:val="18"/>
                <w:szCs w:val="18"/>
                <w:color w:val="auto"/>
              </w:rPr>
            </w:pPr>
          </w:p>
        </w:tc>
        <w:tc>
          <w:tcPr>
            <w:tcW w:w="320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90"/>
              </w:rPr>
              <w:t>Redwood City, CA 94065</w:t>
            </w:r>
          </w:p>
        </w:tc>
        <w:tc>
          <w:tcPr>
            <w:tcW w:w="1520" w:type="dxa"/>
            <w:vAlign w:val="bottom"/>
          </w:tcPr>
          <w:p>
            <w:pPr>
              <w:spacing w:after="0"/>
              <w:rPr>
                <w:sz w:val="18"/>
                <w:szCs w:val="18"/>
                <w:color w:val="auto"/>
              </w:rPr>
            </w:pPr>
          </w:p>
        </w:tc>
      </w:tr>
      <w:tr>
        <w:trPr>
          <w:trHeight w:val="186"/>
        </w:trPr>
        <w:tc>
          <w:tcPr>
            <w:tcW w:w="5700" w:type="dxa"/>
            <w:vAlign w:val="bottom"/>
            <w:gridSpan w:val="3"/>
          </w:tcPr>
          <w:p>
            <w:pPr>
              <w:jc w:val="center"/>
              <w:ind w:left="1540"/>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1520" w:type="dxa"/>
            <w:vAlign w:val="bottom"/>
          </w:tcPr>
          <w:p>
            <w:pPr>
              <w:spacing w:after="0"/>
              <w:rPr>
                <w:sz w:val="16"/>
                <w:szCs w:val="16"/>
                <w:color w:val="auto"/>
              </w:rPr>
            </w:pPr>
          </w:p>
        </w:tc>
      </w:tr>
      <w:tr>
        <w:trPr>
          <w:trHeight w:val="399"/>
        </w:trPr>
        <w:tc>
          <w:tcPr>
            <w:tcW w:w="5700" w:type="dxa"/>
            <w:vAlign w:val="bottom"/>
            <w:gridSpan w:val="3"/>
          </w:tcPr>
          <w:p>
            <w:pPr>
              <w:jc w:val="center"/>
              <w:ind w:left="1540"/>
              <w:spacing w:after="0"/>
              <w:rPr>
                <w:sz w:val="20"/>
                <w:szCs w:val="20"/>
                <w:color w:val="auto"/>
              </w:rPr>
            </w:pPr>
            <w:r>
              <w:rPr>
                <w:rFonts w:ascii="Arial" w:cs="Arial" w:eastAsia="Arial" w:hAnsi="Arial"/>
                <w:sz w:val="18"/>
                <w:szCs w:val="18"/>
                <w:b w:val="1"/>
                <w:bCs w:val="1"/>
                <w:color w:val="auto"/>
                <w:w w:val="90"/>
              </w:rPr>
              <w:t>Amended and Restated 2014 Equity Incentive Plan</w:t>
            </w:r>
          </w:p>
        </w:tc>
        <w:tc>
          <w:tcPr>
            <w:tcW w:w="1520" w:type="dxa"/>
            <w:vAlign w:val="bottom"/>
          </w:tcPr>
          <w:p>
            <w:pPr>
              <w:spacing w:after="0"/>
              <w:rPr>
                <w:sz w:val="24"/>
                <w:szCs w:val="24"/>
                <w:color w:val="auto"/>
              </w:rPr>
            </w:pPr>
          </w:p>
        </w:tc>
      </w:tr>
      <w:tr>
        <w:trPr>
          <w:trHeight w:val="212"/>
        </w:trPr>
        <w:tc>
          <w:tcPr>
            <w:tcW w:w="5700" w:type="dxa"/>
            <w:vAlign w:val="bottom"/>
            <w:gridSpan w:val="3"/>
          </w:tcPr>
          <w:p>
            <w:pPr>
              <w:jc w:val="center"/>
              <w:ind w:left="1540"/>
              <w:spacing w:after="0"/>
              <w:rPr>
                <w:sz w:val="20"/>
                <w:szCs w:val="20"/>
                <w:color w:val="auto"/>
              </w:rPr>
            </w:pPr>
            <w:r>
              <w:rPr>
                <w:rFonts w:ascii="Arial" w:cs="Arial" w:eastAsia="Arial" w:hAnsi="Arial"/>
                <w:sz w:val="18"/>
                <w:szCs w:val="18"/>
                <w:b w:val="1"/>
                <w:bCs w:val="1"/>
                <w:color w:val="auto"/>
                <w:w w:val="91"/>
              </w:rPr>
              <w:t>2020 Inducement Equity Incentive Plan</w:t>
            </w:r>
          </w:p>
        </w:tc>
        <w:tc>
          <w:tcPr>
            <w:tcW w:w="1520" w:type="dxa"/>
            <w:vAlign w:val="bottom"/>
          </w:tcPr>
          <w:p>
            <w:pPr>
              <w:spacing w:after="0"/>
              <w:rPr>
                <w:sz w:val="18"/>
                <w:szCs w:val="18"/>
                <w:color w:val="auto"/>
              </w:rPr>
            </w:pPr>
          </w:p>
        </w:tc>
      </w:tr>
      <w:tr>
        <w:trPr>
          <w:trHeight w:val="186"/>
        </w:trPr>
        <w:tc>
          <w:tcPr>
            <w:tcW w:w="2500" w:type="dxa"/>
            <w:vAlign w:val="bottom"/>
          </w:tcPr>
          <w:p>
            <w:pPr>
              <w:spacing w:after="0"/>
              <w:rPr>
                <w:sz w:val="16"/>
                <w:szCs w:val="16"/>
                <w:color w:val="auto"/>
              </w:rPr>
            </w:pPr>
          </w:p>
        </w:tc>
        <w:tc>
          <w:tcPr>
            <w:tcW w:w="320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5"/>
              </w:rPr>
              <w:t>(Full title of the plan)</w:t>
            </w:r>
          </w:p>
        </w:tc>
        <w:tc>
          <w:tcPr>
            <w:tcW w:w="1520" w:type="dxa"/>
            <w:vAlign w:val="bottom"/>
          </w:tcPr>
          <w:p>
            <w:pPr>
              <w:spacing w:after="0"/>
              <w:rPr>
                <w:sz w:val="16"/>
                <w:szCs w:val="16"/>
                <w:color w:val="auto"/>
              </w:rPr>
            </w:pPr>
          </w:p>
        </w:tc>
      </w:tr>
      <w:tr>
        <w:trPr>
          <w:trHeight w:val="327"/>
        </w:trPr>
        <w:tc>
          <w:tcPr>
            <w:tcW w:w="2500" w:type="dxa"/>
            <w:vAlign w:val="bottom"/>
          </w:tcPr>
          <w:p>
            <w:pPr>
              <w:spacing w:after="0"/>
              <w:rPr>
                <w:sz w:val="24"/>
                <w:szCs w:val="24"/>
                <w:color w:val="auto"/>
              </w:rPr>
            </w:pPr>
          </w:p>
        </w:tc>
        <w:tc>
          <w:tcPr>
            <w:tcW w:w="320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2"/>
              </w:rPr>
              <w:t>Anish Bhatnagar</w:t>
            </w:r>
          </w:p>
        </w:tc>
        <w:tc>
          <w:tcPr>
            <w:tcW w:w="1520" w:type="dxa"/>
            <w:vAlign w:val="bottom"/>
          </w:tcPr>
          <w:p>
            <w:pPr>
              <w:spacing w:after="0"/>
              <w:rPr>
                <w:sz w:val="24"/>
                <w:szCs w:val="24"/>
                <w:color w:val="auto"/>
              </w:rPr>
            </w:pPr>
          </w:p>
        </w:tc>
      </w:tr>
      <w:tr>
        <w:trPr>
          <w:trHeight w:val="148"/>
        </w:trPr>
        <w:tc>
          <w:tcPr>
            <w:tcW w:w="2500" w:type="dxa"/>
            <w:vAlign w:val="bottom"/>
          </w:tcPr>
          <w:p>
            <w:pPr>
              <w:spacing w:after="0"/>
              <w:rPr>
                <w:sz w:val="12"/>
                <w:szCs w:val="12"/>
                <w:color w:val="auto"/>
              </w:rPr>
            </w:pPr>
          </w:p>
        </w:tc>
        <w:tc>
          <w:tcPr>
            <w:tcW w:w="320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93"/>
              </w:rPr>
              <w:t>Chief Executive Officer</w:t>
            </w:r>
          </w:p>
        </w:tc>
        <w:tc>
          <w:tcPr>
            <w:tcW w:w="1520" w:type="dxa"/>
            <w:vAlign w:val="bottom"/>
          </w:tcPr>
          <w:p>
            <w:pPr>
              <w:spacing w:after="0"/>
              <w:rPr>
                <w:sz w:val="12"/>
                <w:szCs w:val="12"/>
                <w:color w:val="auto"/>
              </w:rPr>
            </w:pPr>
          </w:p>
        </w:tc>
      </w:tr>
      <w:tr>
        <w:trPr>
          <w:trHeight w:val="149"/>
        </w:trPr>
        <w:tc>
          <w:tcPr>
            <w:tcW w:w="2500" w:type="dxa"/>
            <w:vAlign w:val="bottom"/>
          </w:tcPr>
          <w:p>
            <w:pPr>
              <w:spacing w:after="0"/>
              <w:rPr>
                <w:sz w:val="12"/>
                <w:szCs w:val="12"/>
                <w:color w:val="auto"/>
              </w:rPr>
            </w:pPr>
          </w:p>
        </w:tc>
        <w:tc>
          <w:tcPr>
            <w:tcW w:w="320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91"/>
              </w:rPr>
              <w:t>Soleno Therapeutics, Inc.</w:t>
            </w:r>
          </w:p>
        </w:tc>
        <w:tc>
          <w:tcPr>
            <w:tcW w:w="1520" w:type="dxa"/>
            <w:vAlign w:val="bottom"/>
          </w:tcPr>
          <w:p>
            <w:pPr>
              <w:spacing w:after="0"/>
              <w:rPr>
                <w:sz w:val="12"/>
                <w:szCs w:val="12"/>
                <w:color w:val="auto"/>
              </w:rPr>
            </w:pPr>
          </w:p>
        </w:tc>
      </w:tr>
      <w:tr>
        <w:trPr>
          <w:trHeight w:val="148"/>
        </w:trPr>
        <w:tc>
          <w:tcPr>
            <w:tcW w:w="2500" w:type="dxa"/>
            <w:vAlign w:val="bottom"/>
          </w:tcPr>
          <w:p>
            <w:pPr>
              <w:spacing w:after="0"/>
              <w:rPr>
                <w:sz w:val="12"/>
                <w:szCs w:val="12"/>
                <w:color w:val="auto"/>
              </w:rPr>
            </w:pPr>
          </w:p>
        </w:tc>
        <w:tc>
          <w:tcPr>
            <w:tcW w:w="320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90"/>
              </w:rPr>
              <w:t>203 Redwood Shores Pkwy, Suite 500</w:t>
            </w:r>
          </w:p>
        </w:tc>
        <w:tc>
          <w:tcPr>
            <w:tcW w:w="1520" w:type="dxa"/>
            <w:vAlign w:val="bottom"/>
          </w:tcPr>
          <w:p>
            <w:pPr>
              <w:spacing w:after="0"/>
              <w:rPr>
                <w:sz w:val="12"/>
                <w:szCs w:val="12"/>
                <w:color w:val="auto"/>
              </w:rPr>
            </w:pPr>
          </w:p>
        </w:tc>
      </w:tr>
      <w:tr>
        <w:trPr>
          <w:trHeight w:val="149"/>
        </w:trPr>
        <w:tc>
          <w:tcPr>
            <w:tcW w:w="2500" w:type="dxa"/>
            <w:vAlign w:val="bottom"/>
          </w:tcPr>
          <w:p>
            <w:pPr>
              <w:spacing w:after="0"/>
              <w:rPr>
                <w:sz w:val="12"/>
                <w:szCs w:val="12"/>
                <w:color w:val="auto"/>
              </w:rPr>
            </w:pPr>
          </w:p>
        </w:tc>
        <w:tc>
          <w:tcPr>
            <w:tcW w:w="320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3"/>
              </w:rPr>
              <w:t>Redwood City, CA 94065</w:t>
            </w:r>
          </w:p>
        </w:tc>
        <w:tc>
          <w:tcPr>
            <w:tcW w:w="1520" w:type="dxa"/>
            <w:vAlign w:val="bottom"/>
          </w:tcPr>
          <w:p>
            <w:pPr>
              <w:spacing w:after="0"/>
              <w:rPr>
                <w:sz w:val="12"/>
                <w:szCs w:val="12"/>
                <w:color w:val="auto"/>
              </w:rPr>
            </w:pPr>
          </w:p>
        </w:tc>
      </w:tr>
      <w:tr>
        <w:trPr>
          <w:trHeight w:val="186"/>
        </w:trPr>
        <w:tc>
          <w:tcPr>
            <w:tcW w:w="5700" w:type="dxa"/>
            <w:vAlign w:val="bottom"/>
            <w:gridSpan w:val="3"/>
          </w:tcPr>
          <w:p>
            <w:pPr>
              <w:jc w:val="center"/>
              <w:ind w:left="1540"/>
              <w:spacing w:after="0"/>
              <w:rPr>
                <w:sz w:val="20"/>
                <w:szCs w:val="20"/>
                <w:color w:val="auto"/>
              </w:rPr>
            </w:pPr>
            <w:r>
              <w:rPr>
                <w:rFonts w:ascii="Arial" w:cs="Arial" w:eastAsia="Arial" w:hAnsi="Arial"/>
                <w:sz w:val="14"/>
                <w:szCs w:val="14"/>
                <w:b w:val="1"/>
                <w:bCs w:val="1"/>
                <w:color w:val="auto"/>
                <w:w w:val="91"/>
              </w:rPr>
              <w:t>(Name and address of agent for service)</w:t>
            </w:r>
          </w:p>
        </w:tc>
        <w:tc>
          <w:tcPr>
            <w:tcW w:w="1520" w:type="dxa"/>
            <w:vAlign w:val="bottom"/>
          </w:tcPr>
          <w:p>
            <w:pPr>
              <w:spacing w:after="0"/>
              <w:rPr>
                <w:sz w:val="16"/>
                <w:szCs w:val="16"/>
                <w:color w:val="auto"/>
              </w:rPr>
            </w:pPr>
          </w:p>
        </w:tc>
      </w:tr>
      <w:tr>
        <w:trPr>
          <w:trHeight w:val="394"/>
        </w:trPr>
        <w:tc>
          <w:tcPr>
            <w:tcW w:w="4820" w:type="dxa"/>
            <w:vAlign w:val="bottom"/>
            <w:gridSpan w:val="2"/>
          </w:tcPr>
          <w:p>
            <w:pPr>
              <w:jc w:val="right"/>
              <w:ind w:right="525"/>
              <w:spacing w:after="0"/>
              <w:rPr>
                <w:sz w:val="20"/>
                <w:szCs w:val="20"/>
                <w:color w:val="auto"/>
              </w:rPr>
            </w:pPr>
            <w:r>
              <w:rPr>
                <w:rFonts w:ascii="Arial" w:cs="Arial" w:eastAsia="Arial" w:hAnsi="Arial"/>
                <w:sz w:val="18"/>
                <w:szCs w:val="18"/>
                <w:b w:val="1"/>
                <w:bCs w:val="1"/>
                <w:color w:val="auto"/>
              </w:rPr>
              <w:t>(650) 213-8444</w:t>
            </w:r>
          </w:p>
        </w:tc>
        <w:tc>
          <w:tcPr>
            <w:tcW w:w="8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86"/>
        </w:trPr>
        <w:tc>
          <w:tcPr>
            <w:tcW w:w="5700" w:type="dxa"/>
            <w:vAlign w:val="bottom"/>
            <w:gridSpan w:val="3"/>
          </w:tcPr>
          <w:p>
            <w:pPr>
              <w:jc w:val="center"/>
              <w:ind w:left="1560"/>
              <w:spacing w:after="0"/>
              <w:rPr>
                <w:sz w:val="20"/>
                <w:szCs w:val="20"/>
                <w:color w:val="auto"/>
              </w:rPr>
            </w:pPr>
            <w:r>
              <w:rPr>
                <w:rFonts w:ascii="Arial" w:cs="Arial" w:eastAsia="Arial" w:hAnsi="Arial"/>
                <w:sz w:val="14"/>
                <w:szCs w:val="14"/>
                <w:b w:val="1"/>
                <w:bCs w:val="1"/>
                <w:color w:val="auto"/>
                <w:w w:val="91"/>
              </w:rPr>
              <w:t>(Telephone number, including area code, of agent for service)</w:t>
            </w:r>
          </w:p>
        </w:tc>
        <w:tc>
          <w:tcPr>
            <w:tcW w:w="1520" w:type="dxa"/>
            <w:vAlign w:val="bottom"/>
          </w:tcPr>
          <w:p>
            <w:pPr>
              <w:spacing w:after="0"/>
              <w:rPr>
                <w:sz w:val="16"/>
                <w:szCs w:val="16"/>
                <w:color w:val="auto"/>
              </w:rPr>
            </w:pPr>
          </w:p>
        </w:tc>
      </w:tr>
      <w:tr>
        <w:trPr>
          <w:trHeight w:val="349"/>
        </w:trPr>
        <w:tc>
          <w:tcPr>
            <w:tcW w:w="250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26"/>
        </w:trPr>
        <w:tc>
          <w:tcPr>
            <w:tcW w:w="2500" w:type="dxa"/>
            <w:vAlign w:val="bottom"/>
          </w:tcPr>
          <w:p>
            <w:pPr>
              <w:spacing w:after="0"/>
              <w:rPr>
                <w:sz w:val="24"/>
                <w:szCs w:val="24"/>
                <w:color w:val="auto"/>
              </w:rPr>
            </w:pPr>
          </w:p>
        </w:tc>
        <w:tc>
          <w:tcPr>
            <w:tcW w:w="3200" w:type="dxa"/>
            <w:vAlign w:val="bottom"/>
            <w:gridSpan w:val="2"/>
          </w:tcPr>
          <w:p>
            <w:pPr>
              <w:jc w:val="center"/>
              <w:ind w:right="860"/>
              <w:spacing w:after="0"/>
              <w:rPr>
                <w:sz w:val="20"/>
                <w:szCs w:val="20"/>
                <w:color w:val="auto"/>
              </w:rPr>
            </w:pPr>
            <w:r>
              <w:rPr>
                <w:rFonts w:ascii="Arial" w:cs="Arial" w:eastAsia="Arial" w:hAnsi="Arial"/>
                <w:sz w:val="18"/>
                <w:szCs w:val="18"/>
                <w:b w:val="1"/>
                <w:bCs w:val="1"/>
                <w:i w:val="1"/>
                <w:iCs w:val="1"/>
                <w:color w:val="auto"/>
                <w:w w:val="84"/>
              </w:rPr>
              <w:t>Copies to:</w:t>
            </w:r>
          </w:p>
        </w:tc>
        <w:tc>
          <w:tcPr>
            <w:tcW w:w="1520" w:type="dxa"/>
            <w:vAlign w:val="bottom"/>
          </w:tcPr>
          <w:p>
            <w:pPr>
              <w:spacing w:after="0"/>
              <w:rPr>
                <w:sz w:val="24"/>
                <w:szCs w:val="24"/>
                <w:color w:val="auto"/>
              </w:rPr>
            </w:pPr>
          </w:p>
        </w:tc>
      </w:tr>
      <w:tr>
        <w:trPr>
          <w:trHeight w:val="234"/>
        </w:trPr>
        <w:tc>
          <w:tcPr>
            <w:tcW w:w="2500" w:type="dxa"/>
            <w:vAlign w:val="bottom"/>
          </w:tcPr>
          <w:p>
            <w:pPr>
              <w:spacing w:after="0"/>
              <w:rPr>
                <w:sz w:val="20"/>
                <w:szCs w:val="20"/>
                <w:color w:val="auto"/>
              </w:rPr>
            </w:pPr>
          </w:p>
        </w:tc>
        <w:tc>
          <w:tcPr>
            <w:tcW w:w="320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2"/>
              </w:rPr>
              <w:t>Elton Satusky</w:t>
            </w:r>
          </w:p>
        </w:tc>
        <w:tc>
          <w:tcPr>
            <w:tcW w:w="1520" w:type="dxa"/>
            <w:vAlign w:val="bottom"/>
          </w:tcPr>
          <w:p>
            <w:pPr>
              <w:spacing w:after="0"/>
              <w:rPr>
                <w:sz w:val="20"/>
                <w:szCs w:val="20"/>
                <w:color w:val="auto"/>
              </w:rPr>
            </w:pPr>
          </w:p>
        </w:tc>
      </w:tr>
      <w:tr>
        <w:trPr>
          <w:trHeight w:val="149"/>
        </w:trPr>
        <w:tc>
          <w:tcPr>
            <w:tcW w:w="2500" w:type="dxa"/>
            <w:vAlign w:val="bottom"/>
          </w:tcPr>
          <w:p>
            <w:pPr>
              <w:spacing w:after="0"/>
              <w:rPr>
                <w:sz w:val="12"/>
                <w:szCs w:val="12"/>
                <w:color w:val="auto"/>
              </w:rPr>
            </w:pPr>
          </w:p>
        </w:tc>
        <w:tc>
          <w:tcPr>
            <w:tcW w:w="320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7"/>
              </w:rPr>
              <w:t>Jesse Schumaker</w:t>
            </w:r>
          </w:p>
        </w:tc>
        <w:tc>
          <w:tcPr>
            <w:tcW w:w="1520" w:type="dxa"/>
            <w:vAlign w:val="bottom"/>
          </w:tcPr>
          <w:p>
            <w:pPr>
              <w:spacing w:after="0"/>
              <w:rPr>
                <w:sz w:val="12"/>
                <w:szCs w:val="12"/>
                <w:color w:val="auto"/>
              </w:rPr>
            </w:pPr>
          </w:p>
        </w:tc>
      </w:tr>
      <w:tr>
        <w:trPr>
          <w:trHeight w:val="148"/>
        </w:trPr>
        <w:tc>
          <w:tcPr>
            <w:tcW w:w="2500" w:type="dxa"/>
            <w:vAlign w:val="bottom"/>
          </w:tcPr>
          <w:p>
            <w:pPr>
              <w:spacing w:after="0"/>
              <w:rPr>
                <w:sz w:val="12"/>
                <w:szCs w:val="12"/>
                <w:color w:val="auto"/>
              </w:rPr>
            </w:pPr>
          </w:p>
        </w:tc>
        <w:tc>
          <w:tcPr>
            <w:tcW w:w="320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93"/>
              </w:rPr>
              <w:t>Wilson Sonsini Goodrich &amp; Rosati</w:t>
            </w:r>
          </w:p>
        </w:tc>
        <w:tc>
          <w:tcPr>
            <w:tcW w:w="1520" w:type="dxa"/>
            <w:vAlign w:val="bottom"/>
          </w:tcPr>
          <w:p>
            <w:pPr>
              <w:spacing w:after="0"/>
              <w:rPr>
                <w:sz w:val="12"/>
                <w:szCs w:val="12"/>
                <w:color w:val="auto"/>
              </w:rPr>
            </w:pPr>
          </w:p>
        </w:tc>
      </w:tr>
      <w:tr>
        <w:trPr>
          <w:trHeight w:val="149"/>
        </w:trPr>
        <w:tc>
          <w:tcPr>
            <w:tcW w:w="2500" w:type="dxa"/>
            <w:vAlign w:val="bottom"/>
          </w:tcPr>
          <w:p>
            <w:pPr>
              <w:spacing w:after="0"/>
              <w:rPr>
                <w:sz w:val="12"/>
                <w:szCs w:val="12"/>
                <w:color w:val="auto"/>
              </w:rPr>
            </w:pPr>
          </w:p>
        </w:tc>
        <w:tc>
          <w:tcPr>
            <w:tcW w:w="320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92"/>
              </w:rPr>
              <w:t>Professional Corporation</w:t>
            </w:r>
          </w:p>
        </w:tc>
        <w:tc>
          <w:tcPr>
            <w:tcW w:w="1520" w:type="dxa"/>
            <w:vAlign w:val="bottom"/>
          </w:tcPr>
          <w:p>
            <w:pPr>
              <w:spacing w:after="0"/>
              <w:rPr>
                <w:sz w:val="12"/>
                <w:szCs w:val="12"/>
                <w:color w:val="auto"/>
              </w:rPr>
            </w:pPr>
          </w:p>
        </w:tc>
      </w:tr>
      <w:tr>
        <w:trPr>
          <w:trHeight w:val="148"/>
        </w:trPr>
        <w:tc>
          <w:tcPr>
            <w:tcW w:w="2500" w:type="dxa"/>
            <w:vAlign w:val="bottom"/>
          </w:tcPr>
          <w:p>
            <w:pPr>
              <w:spacing w:after="0"/>
              <w:rPr>
                <w:sz w:val="12"/>
                <w:szCs w:val="12"/>
                <w:color w:val="auto"/>
              </w:rPr>
            </w:pPr>
          </w:p>
        </w:tc>
        <w:tc>
          <w:tcPr>
            <w:tcW w:w="320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94"/>
              </w:rPr>
              <w:t>650 Page Mill Road</w:t>
            </w:r>
          </w:p>
        </w:tc>
        <w:tc>
          <w:tcPr>
            <w:tcW w:w="1520" w:type="dxa"/>
            <w:vAlign w:val="bottom"/>
          </w:tcPr>
          <w:p>
            <w:pPr>
              <w:spacing w:after="0"/>
              <w:rPr>
                <w:sz w:val="12"/>
                <w:szCs w:val="12"/>
                <w:color w:val="auto"/>
              </w:rPr>
            </w:pPr>
          </w:p>
        </w:tc>
      </w:tr>
      <w:tr>
        <w:trPr>
          <w:trHeight w:val="148"/>
        </w:trPr>
        <w:tc>
          <w:tcPr>
            <w:tcW w:w="2500" w:type="dxa"/>
            <w:vAlign w:val="bottom"/>
          </w:tcPr>
          <w:p>
            <w:pPr>
              <w:spacing w:after="0"/>
              <w:rPr>
                <w:sz w:val="12"/>
                <w:szCs w:val="12"/>
                <w:color w:val="auto"/>
              </w:rPr>
            </w:pPr>
          </w:p>
        </w:tc>
        <w:tc>
          <w:tcPr>
            <w:tcW w:w="320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4"/>
              </w:rPr>
              <w:t>Palo Alto, California 94304</w:t>
            </w:r>
          </w:p>
        </w:tc>
        <w:tc>
          <w:tcPr>
            <w:tcW w:w="1520" w:type="dxa"/>
            <w:vAlign w:val="bottom"/>
          </w:tcPr>
          <w:p>
            <w:pPr>
              <w:spacing w:after="0"/>
              <w:rPr>
                <w:sz w:val="12"/>
                <w:szCs w:val="12"/>
                <w:color w:val="auto"/>
              </w:rPr>
            </w:pPr>
          </w:p>
        </w:tc>
      </w:tr>
      <w:tr>
        <w:trPr>
          <w:trHeight w:val="186"/>
        </w:trPr>
        <w:tc>
          <w:tcPr>
            <w:tcW w:w="4820" w:type="dxa"/>
            <w:vAlign w:val="bottom"/>
            <w:gridSpan w:val="2"/>
          </w:tcPr>
          <w:p>
            <w:pPr>
              <w:jc w:val="right"/>
              <w:ind w:right="625"/>
              <w:spacing w:after="0"/>
              <w:rPr>
                <w:sz w:val="20"/>
                <w:szCs w:val="20"/>
                <w:color w:val="auto"/>
              </w:rPr>
            </w:pPr>
            <w:r>
              <w:rPr>
                <w:rFonts w:ascii="Arial" w:cs="Arial" w:eastAsia="Arial" w:hAnsi="Arial"/>
                <w:sz w:val="14"/>
                <w:szCs w:val="14"/>
                <w:b w:val="1"/>
                <w:bCs w:val="1"/>
                <w:color w:val="auto"/>
              </w:rPr>
              <w:t>(650) 493-9300</w:t>
            </w:r>
          </w:p>
        </w:tc>
        <w:tc>
          <w:tcPr>
            <w:tcW w:w="880" w:type="dxa"/>
            <w:vAlign w:val="bottom"/>
          </w:tcPr>
          <w:p>
            <w:pPr>
              <w:spacing w:after="0"/>
              <w:rPr>
                <w:sz w:val="16"/>
                <w:szCs w:val="16"/>
                <w:color w:val="auto"/>
              </w:rPr>
            </w:pPr>
          </w:p>
        </w:tc>
        <w:tc>
          <w:tcPr>
            <w:tcW w:w="15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213360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00"/>
          </w:cols>
          <w:pgMar w:left="440" w:top="229" w:right="45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5"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This Registration Statement on Form S-8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registers shares of Common Stock (“</w:t>
      </w:r>
      <w:r>
        <w:rPr>
          <w:rFonts w:ascii="Arial" w:cs="Arial" w:eastAsia="Arial" w:hAnsi="Arial"/>
          <w:sz w:val="18"/>
          <w:szCs w:val="18"/>
          <w:b w:val="1"/>
          <w:bCs w:val="1"/>
          <w:color w:val="auto"/>
        </w:rPr>
        <w:t>Shares</w:t>
      </w:r>
      <w:r>
        <w:rPr>
          <w:rFonts w:ascii="Arial" w:cs="Arial" w:eastAsia="Arial" w:hAnsi="Arial"/>
          <w:sz w:val="18"/>
          <w:szCs w:val="18"/>
          <w:color w:val="auto"/>
        </w:rPr>
        <w:t>”) of Soleno Therapeutics, Inc. (the “</w:t>
      </w:r>
      <w:r>
        <w:rPr>
          <w:rFonts w:ascii="Arial" w:cs="Arial" w:eastAsia="Arial" w:hAnsi="Arial"/>
          <w:sz w:val="18"/>
          <w:szCs w:val="18"/>
          <w:b w:val="1"/>
          <w:bCs w:val="1"/>
          <w:color w:val="auto"/>
        </w:rPr>
        <w:t>Registrant</w:t>
      </w:r>
      <w:r>
        <w:rPr>
          <w:rFonts w:ascii="Arial" w:cs="Arial" w:eastAsia="Arial" w:hAnsi="Arial"/>
          <w:sz w:val="18"/>
          <w:szCs w:val="18"/>
          <w:color w:val="auto"/>
        </w:rPr>
        <w:t>”) reserved for issuance under the Registrant’s Amended and Restated 2014 Equity Incentive Plan (the “</w:t>
      </w:r>
      <w:r>
        <w:rPr>
          <w:rFonts w:ascii="Arial" w:cs="Arial" w:eastAsia="Arial" w:hAnsi="Arial"/>
          <w:sz w:val="18"/>
          <w:szCs w:val="18"/>
          <w:b w:val="1"/>
          <w:bCs w:val="1"/>
          <w:color w:val="auto"/>
        </w:rPr>
        <w:t>2014 Plan</w:t>
      </w:r>
      <w:r>
        <w:rPr>
          <w:rFonts w:ascii="Arial" w:cs="Arial" w:eastAsia="Arial" w:hAnsi="Arial"/>
          <w:sz w:val="18"/>
          <w:szCs w:val="18"/>
          <w:color w:val="auto"/>
        </w:rPr>
        <w:t>”) and 2020 Inducement Equity Incentive Plan (the “</w:t>
      </w:r>
      <w:r>
        <w:rPr>
          <w:rFonts w:ascii="Arial" w:cs="Arial" w:eastAsia="Arial" w:hAnsi="Arial"/>
          <w:sz w:val="18"/>
          <w:szCs w:val="18"/>
          <w:b w:val="1"/>
          <w:bCs w:val="1"/>
          <w:color w:val="auto"/>
        </w:rPr>
        <w:t>Inducement Plan</w:t>
      </w:r>
      <w:r>
        <w:rPr>
          <w:rFonts w:ascii="Arial" w:cs="Arial" w:eastAsia="Arial" w:hAnsi="Arial"/>
          <w:sz w:val="18"/>
          <w:szCs w:val="18"/>
          <w:color w:val="auto"/>
        </w:rPr>
        <w:t>”). The number of Shares available for grant and issuance under the 2014 Plan is subject to an annual increase on the first day of each fiscal year, by an amount equal to the least of (i) 238,329 Shares, (ii) four percent (4%) of the outstanding shares of all classes of the Registrant’s common stock on the last day of the immediately preceding fiscal year and (iii) such number of Shares determined by the Registrant’s board of directors. The number of Shares available for grant and issuance under the Inducement Plan has been determined by the Registrant’s board of directors.</w:t>
      </w:r>
    </w:p>
    <w:p>
      <w:pPr>
        <w:spacing w:after="0" w:line="193"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This Registration Statement registers (i) 238,329 Shares available for grant and issuance under the 2014 Plan, all of which became available for grant and issuance under the 2014 Plan on January 1, 2023 and (ii) 500,000 Shares available for issuance under the Inducement Plan, all of which became available for grant and issuance under the Inducement Plan on February 17, 2023.</w:t>
      </w:r>
    </w:p>
    <w:p>
      <w:pPr>
        <w:sectPr>
          <w:pgSz w:w="11900" w:h="16838" w:orient="portrait"/>
          <w:cols w:equalWidth="0" w:num="1">
            <w:col w:w="10960"/>
          </w:cols>
          <w:pgMar w:left="440" w:top="270" w:right="4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information specified in Item 1 and Item 2 of Part I of Form S-8 is omitted from this Registration Statement in accordance with the provisions of Rule 428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and the introductory note to Part I of Form S-8. The documents containing the information specified in Part I of Form S-8 will be delivered to the participants in the equity benefit plans covered by this Registration Statement as specified by Rule 428(b)(1) under the Securities Act.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Registrant hereby incorporates by reference into this Registration Statement the following documents previously filed with the Securities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w:t>
      </w:r>
    </w:p>
    <w:p>
      <w:pPr>
        <w:spacing w:after="0" w:line="112" w:lineRule="exact"/>
        <w:rPr>
          <w:sz w:val="20"/>
          <w:szCs w:val="20"/>
          <w:color w:val="auto"/>
        </w:rPr>
      </w:pPr>
    </w:p>
    <w:p>
      <w:pPr>
        <w:ind w:left="960" w:right="320" w:hanging="532"/>
        <w:spacing w:after="0" w:line="266"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Registrant’s Annual Report on </w:t>
      </w:r>
      <w:hyperlink r:id="rId18">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2022 (the “</w:t>
      </w:r>
      <w:r>
        <w:rPr>
          <w:rFonts w:ascii="Arial" w:cs="Arial" w:eastAsia="Arial" w:hAnsi="Arial"/>
          <w:sz w:val="18"/>
          <w:szCs w:val="18"/>
          <w:b w:val="1"/>
          <w:bCs w:val="1"/>
          <w:color w:val="auto"/>
        </w:rPr>
        <w:t>Annual Report</w:t>
      </w:r>
      <w:r>
        <w:rPr>
          <w:rFonts w:ascii="Arial" w:cs="Arial" w:eastAsia="Arial" w:hAnsi="Arial"/>
          <w:sz w:val="18"/>
          <w:szCs w:val="18"/>
          <w:color w:val="auto"/>
        </w:rPr>
        <w:t>”), as filed with the Commission on March 22, 2023 pursuant to Sections 13 or 15(d) of the Securities Exchange Act of 1934, as amended (the “</w:t>
      </w:r>
      <w:r>
        <w:rPr>
          <w:rFonts w:ascii="Arial" w:cs="Arial" w:eastAsia="Arial" w:hAnsi="Arial"/>
          <w:sz w:val="18"/>
          <w:szCs w:val="18"/>
          <w:b w:val="1"/>
          <w:bCs w:val="1"/>
          <w:color w:val="auto"/>
        </w:rPr>
        <w:t>Exchange</w:t>
      </w:r>
      <w:r>
        <w:rPr>
          <w:rFonts w:ascii="Arial" w:cs="Arial" w:eastAsia="Arial" w:hAnsi="Arial"/>
          <w:sz w:val="18"/>
          <w:szCs w:val="18"/>
          <w:color w:val="auto"/>
        </w:rPr>
        <w:t xml:space="preserve"> </w:t>
      </w:r>
      <w:r>
        <w:rPr>
          <w:rFonts w:ascii="Arial" w:cs="Arial" w:eastAsia="Arial" w:hAnsi="Arial"/>
          <w:sz w:val="18"/>
          <w:szCs w:val="18"/>
          <w:b w:val="1"/>
          <w:bCs w:val="1"/>
          <w:color w:val="auto"/>
        </w:rPr>
        <w:t>Act</w:t>
      </w:r>
      <w:r>
        <w:rPr>
          <w:rFonts w:ascii="Arial" w:cs="Arial" w:eastAsia="Arial" w:hAnsi="Arial"/>
          <w:sz w:val="18"/>
          <w:szCs w:val="18"/>
          <w:color w:val="auto"/>
        </w:rPr>
        <w:t>”);</w:t>
      </w:r>
    </w:p>
    <w:p>
      <w:pPr>
        <w:spacing w:after="0" w:line="85" w:lineRule="exact"/>
        <w:rPr>
          <w:rFonts w:ascii="Arial" w:cs="Arial" w:eastAsia="Arial" w:hAnsi="Arial"/>
          <w:sz w:val="18"/>
          <w:szCs w:val="18"/>
          <w:color w:val="auto"/>
        </w:rPr>
      </w:pPr>
    </w:p>
    <w:p>
      <w:pPr>
        <w:ind w:left="960" w:hanging="532"/>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All other reports filed with the Commission pursuant to Section 13(a) or 15(d) of the Exchange Act since the end of the fiscal year covered by the Annual Report; and</w:t>
      </w:r>
    </w:p>
    <w:p>
      <w:pPr>
        <w:spacing w:after="0" w:line="75" w:lineRule="exact"/>
        <w:rPr>
          <w:rFonts w:ascii="Arial" w:cs="Arial" w:eastAsia="Arial" w:hAnsi="Arial"/>
          <w:sz w:val="18"/>
          <w:szCs w:val="18"/>
          <w:color w:val="auto"/>
        </w:rPr>
      </w:pPr>
    </w:p>
    <w:p>
      <w:pPr>
        <w:ind w:left="960" w:right="780" w:hanging="532"/>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description of the Registrant’s common stock contained in the </w:t>
      </w:r>
      <w:hyperlink r:id="rId19">
        <w:r>
          <w:rPr>
            <w:rFonts w:ascii="Arial" w:cs="Arial" w:eastAsia="Arial" w:hAnsi="Arial"/>
            <w:sz w:val="18"/>
            <w:szCs w:val="18"/>
            <w:u w:val="single" w:color="auto"/>
            <w:color w:val="0000EE"/>
          </w:rPr>
          <w:t>Exhibit 4.29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Registrant’s Annual Report, filed with the Commission on March 22, 2023.</w:t>
      </w:r>
    </w:p>
    <w:p>
      <w:pPr>
        <w:spacing w:after="0" w:line="170" w:lineRule="exact"/>
        <w:rPr>
          <w:rFonts w:ascii="Arial" w:cs="Arial" w:eastAsia="Arial" w:hAnsi="Arial"/>
          <w:sz w:val="18"/>
          <w:szCs w:val="18"/>
          <w:color w:val="auto"/>
        </w:rPr>
      </w:pPr>
    </w:p>
    <w:p>
      <w:pPr>
        <w:ind w:right="20" w:firstLine="440"/>
        <w:spacing w:after="0" w:line="270" w:lineRule="auto"/>
        <w:rPr>
          <w:sz w:val="20"/>
          <w:szCs w:val="20"/>
          <w:color w:val="auto"/>
        </w:rPr>
      </w:pPr>
      <w:r>
        <w:rPr>
          <w:rFonts w:ascii="Arial" w:cs="Arial" w:eastAsia="Arial" w:hAnsi="Arial"/>
          <w:sz w:val="17"/>
          <w:szCs w:val="17"/>
          <w:color w:val="auto"/>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documents or information deemed to have been furnished and not filed in accordance with the rules of the Commission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81" w:lineRule="exact"/>
        <w:rPr>
          <w:rFonts w:ascii="Arial" w:cs="Arial" w:eastAsia="Arial" w:hAnsi="Arial"/>
          <w:sz w:val="18"/>
          <w:szCs w:val="18"/>
          <w:color w:val="auto"/>
        </w:rPr>
      </w:pPr>
    </w:p>
    <w:p>
      <w:pPr>
        <w:ind w:right="40" w:firstLine="440"/>
        <w:spacing w:after="0" w:line="277" w:lineRule="auto"/>
        <w:rPr>
          <w:sz w:val="20"/>
          <w:szCs w:val="20"/>
          <w:color w:val="auto"/>
        </w:rPr>
      </w:pPr>
      <w:r>
        <w:rPr>
          <w:rFonts w:ascii="Arial" w:cs="Arial" w:eastAsia="Arial" w:hAnsi="Arial"/>
          <w:sz w:val="18"/>
          <w:szCs w:val="18"/>
          <w:color w:val="auto"/>
        </w:rPr>
        <w:t>Under no circumstances will any information furnished under current items 2.02 or 7.01 of Form 8-K be deemed incorporated herein by reference unless such Form 8-K expressly provides to the contrary.</w:t>
      </w:r>
    </w:p>
    <w:p>
      <w:pPr>
        <w:spacing w:after="0" w:line="274"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121" w:lineRule="exact"/>
        <w:rPr>
          <w:rFonts w:ascii="Arial" w:cs="Arial" w:eastAsia="Arial" w:hAnsi="Arial"/>
          <w:sz w:val="18"/>
          <w:szCs w:val="18"/>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29"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21" w:lineRule="exact"/>
        <w:rPr>
          <w:rFonts w:ascii="Arial" w:cs="Arial" w:eastAsia="Arial" w:hAnsi="Arial"/>
          <w:sz w:val="18"/>
          <w:szCs w:val="18"/>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29"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21" w:lineRule="exact"/>
        <w:rPr>
          <w:rFonts w:ascii="Arial" w:cs="Arial" w:eastAsia="Arial" w:hAnsi="Arial"/>
          <w:sz w:val="18"/>
          <w:szCs w:val="18"/>
          <w:color w:val="auto"/>
        </w:rPr>
      </w:pPr>
    </w:p>
    <w:p>
      <w:pPr>
        <w:ind w:right="380" w:firstLine="440"/>
        <w:spacing w:after="0" w:line="277" w:lineRule="auto"/>
        <w:rPr>
          <w:sz w:val="20"/>
          <w:szCs w:val="20"/>
          <w:color w:val="auto"/>
        </w:rPr>
      </w:pPr>
      <w:r>
        <w:rPr>
          <w:rFonts w:ascii="Arial" w:cs="Arial" w:eastAsia="Arial" w:hAnsi="Arial"/>
          <w:sz w:val="18"/>
          <w:szCs w:val="18"/>
          <w:color w:val="auto"/>
        </w:rPr>
        <w:t>Section 145 of the Delaware General Corporation Law authorizes a corporation’s board of directors to grant, and authorizes a court to award, indemnity to officers, directors and other corporate agents.</w:t>
      </w:r>
    </w:p>
    <w:p>
      <w:pPr>
        <w:spacing w:after="0" w:line="170" w:lineRule="exact"/>
        <w:rPr>
          <w:rFonts w:ascii="Arial" w:cs="Arial" w:eastAsia="Arial" w:hAnsi="Arial"/>
          <w:sz w:val="18"/>
          <w:szCs w:val="18"/>
          <w:color w:val="auto"/>
        </w:rPr>
      </w:pPr>
    </w:p>
    <w:p>
      <w:pPr>
        <w:jc w:val="both"/>
        <w:ind w:right="200" w:firstLine="440"/>
        <w:spacing w:after="0" w:line="263" w:lineRule="auto"/>
        <w:rPr>
          <w:sz w:val="20"/>
          <w:szCs w:val="20"/>
          <w:color w:val="auto"/>
        </w:rPr>
      </w:pPr>
      <w:r>
        <w:rPr>
          <w:rFonts w:ascii="Arial" w:cs="Arial" w:eastAsia="Arial" w:hAnsi="Arial"/>
          <w:sz w:val="18"/>
          <w:szCs w:val="18"/>
          <w:color w:val="auto"/>
        </w:rPr>
        <w:t>As permitted by Section 102(b)(7) of the Delaware General Corporation Law, the Registrant’s amended and restated certificate of incorporation includes provisions that eliminate the personal liability of its directors for monetary damages for breach of their fiduciary duty as directors, excluding liability for any breach of the duty of loyalty.</w:t>
      </w:r>
    </w:p>
    <w:p>
      <w:pPr>
        <w:sectPr>
          <w:pgSz w:w="11900" w:h="16838" w:orient="portrait"/>
          <w:cols w:equalWidth="0" w:num="1">
            <w:col w:w="10980"/>
          </w:cols>
          <w:pgMar w:left="440" w:top="270" w:right="479" w:bottom="1440" w:gutter="0" w:footer="0" w:header="0"/>
        </w:sectPr>
      </w:pPr>
    </w:p>
    <w:bookmarkStart w:id="3" w:name="page4"/>
    <w:bookmarkEnd w:id="3"/>
    <w:p>
      <w:pPr>
        <w:ind w:right="4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as permitted by Section 145 of the Delaware General Corporation Law, the amended and restated certificate of incorporation and amended and restated bylaws of the Registrant provide that:</w:t>
      </w:r>
    </w:p>
    <w:p>
      <w:pPr>
        <w:spacing w:after="0" w:line="76" w:lineRule="exact"/>
        <w:rPr>
          <w:sz w:val="20"/>
          <w:szCs w:val="20"/>
          <w:color w:val="auto"/>
        </w:rPr>
      </w:pPr>
    </w:p>
    <w:p>
      <w:pPr>
        <w:ind w:left="960" w:right="80" w:hanging="532"/>
        <w:spacing w:after="0" w:line="25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 shall indemnify its directors and officers for serving the Registrant in those capacities or for serving other business enterprises at the Registrant’s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93" w:lineRule="exact"/>
        <w:rPr>
          <w:rFonts w:ascii="Arial" w:cs="Arial" w:eastAsia="Arial" w:hAnsi="Arial"/>
          <w:sz w:val="18"/>
          <w:szCs w:val="18"/>
          <w:color w:val="auto"/>
        </w:rPr>
      </w:pPr>
    </w:p>
    <w:p>
      <w:pPr>
        <w:ind w:left="960" w:right="520" w:hanging="532"/>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 may, in its discretion, indemnify employees and agents in those circumstances where indemnification is permitted by applicable law.</w:t>
      </w:r>
    </w:p>
    <w:p>
      <w:pPr>
        <w:spacing w:after="0" w:line="75" w:lineRule="exact"/>
        <w:rPr>
          <w:rFonts w:ascii="Arial" w:cs="Arial" w:eastAsia="Arial" w:hAnsi="Arial"/>
          <w:sz w:val="18"/>
          <w:szCs w:val="18"/>
          <w:color w:val="auto"/>
        </w:rPr>
      </w:pPr>
    </w:p>
    <w:p>
      <w:pPr>
        <w:ind w:left="960" w:right="80" w:hanging="532"/>
        <w:spacing w:after="0" w:line="263"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 is required to advance expenses, as incurred, to its directors and officers in connection with defending a proceeding, except that such director or officer shall undertake to repay such advances if it is ultimately determined that such person is not entitled to indemnification.</w:t>
      </w:r>
    </w:p>
    <w:p>
      <w:pPr>
        <w:spacing w:after="0" w:line="89" w:lineRule="exact"/>
        <w:rPr>
          <w:rFonts w:ascii="Arial" w:cs="Arial" w:eastAsia="Arial" w:hAnsi="Arial"/>
          <w:sz w:val="18"/>
          <w:szCs w:val="18"/>
          <w:color w:val="auto"/>
        </w:rPr>
      </w:pPr>
    </w:p>
    <w:p>
      <w:pPr>
        <w:ind w:left="960" w:right="40" w:hanging="532"/>
        <w:spacing w:after="0" w:line="263"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 will not be obligated pursuant to the amended and restated bylaws to indemnify a person with respect to proceedings initiated by that person, except with respect to proceedings authorized by the Registrant’s board of directors or brought to enforce a right to indemnification.</w:t>
      </w:r>
    </w:p>
    <w:p>
      <w:pPr>
        <w:spacing w:after="0" w:line="89" w:lineRule="exact"/>
        <w:rPr>
          <w:rFonts w:ascii="Arial" w:cs="Arial" w:eastAsia="Arial" w:hAnsi="Arial"/>
          <w:sz w:val="18"/>
          <w:szCs w:val="18"/>
          <w:color w:val="auto"/>
        </w:rPr>
      </w:pPr>
    </w:p>
    <w:p>
      <w:pPr>
        <w:ind w:left="960" w:right="100" w:hanging="532"/>
        <w:spacing w:after="0" w:line="263"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rights conferred in the amended and restated certificate of incorporation and amended and restated bylaws are not exclusive, and the Registrant is authorized to enter into indemnification agreements with its directors, officers, employees and agents and to obtain insurance to indemnify such persons.</w:t>
      </w:r>
    </w:p>
    <w:p>
      <w:pPr>
        <w:spacing w:after="0" w:line="89" w:lineRule="exact"/>
        <w:rPr>
          <w:rFonts w:ascii="Arial" w:cs="Arial" w:eastAsia="Arial" w:hAnsi="Arial"/>
          <w:sz w:val="18"/>
          <w:szCs w:val="18"/>
          <w:color w:val="auto"/>
        </w:rPr>
      </w:pPr>
    </w:p>
    <w:p>
      <w:pPr>
        <w:ind w:left="960" w:right="20" w:hanging="532"/>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 may not retroactively amend the bylaw provisions to reduce its indemnification obligations to directors, officers, employees and agents.</w:t>
      </w:r>
    </w:p>
    <w:p>
      <w:pPr>
        <w:spacing w:after="0" w:line="170" w:lineRule="exact"/>
        <w:rPr>
          <w:sz w:val="20"/>
          <w:szCs w:val="20"/>
          <w:color w:val="auto"/>
        </w:rPr>
      </w:pPr>
    </w:p>
    <w:p>
      <w:pPr>
        <w:ind w:right="200" w:firstLine="440"/>
        <w:spacing w:after="0" w:line="311" w:lineRule="auto"/>
        <w:rPr>
          <w:sz w:val="20"/>
          <w:szCs w:val="20"/>
          <w:color w:val="auto"/>
        </w:rPr>
      </w:pPr>
      <w:r>
        <w:rPr>
          <w:rFonts w:ascii="Arial" w:cs="Arial" w:eastAsia="Arial" w:hAnsi="Arial"/>
          <w:sz w:val="16"/>
          <w:szCs w:val="16"/>
          <w:color w:val="auto"/>
        </w:rPr>
        <w:t>The Registrant has entered into separate indemnification agreements with each of its directors and officers that provide the maximum indemnity allowed to directors and executive officers by Section 145 of the Delaware General Corporation Law and also to provide for certain additional procedural protections. The Registrant also maintains directors and officers insurance to insure such persons against certain liabilities.</w:t>
      </w:r>
    </w:p>
    <w:p>
      <w:pPr>
        <w:spacing w:after="0" w:line="149"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These indemnification provisions and the indemnification agreements entered into between the Registrant and its officers and directors may be sufficiently broad to permit indemnification of the Registrant’s officers and directors for liabilities (including reimbursement of expenses incurred) arising under the Securities Act.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also the undertakings set out in response to Item 9 herein.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8"/>
              </w:rPr>
              <w:t>Exhibit</w:t>
            </w:r>
          </w:p>
        </w:tc>
        <w:tc>
          <w:tcPr>
            <w:tcW w:w="3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06"/>
        </w:trPr>
        <w:tc>
          <w:tcPr>
            <w:tcW w:w="5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6920" w:type="dxa"/>
            <w:vAlign w:val="bottom"/>
            <w:gridSpan w:val="4"/>
            <w:vMerge w:val="restart"/>
          </w:tcPr>
          <w:p>
            <w:pPr>
              <w:ind w:left="310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9"/>
                <w:szCs w:val="9"/>
                <w:color w:val="auto"/>
              </w:rPr>
            </w:pPr>
          </w:p>
        </w:tc>
        <w:tc>
          <w:tcPr>
            <w:tcW w:w="4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9"/>
                <w:szCs w:val="9"/>
                <w:color w:val="auto"/>
              </w:rPr>
            </w:pPr>
          </w:p>
        </w:tc>
        <w:tc>
          <w:tcPr>
            <w:tcW w:w="9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File No.</w:t>
            </w:r>
          </w:p>
        </w:tc>
        <w:tc>
          <w:tcPr>
            <w:tcW w:w="100" w:type="dxa"/>
            <w:vAlign w:val="bottom"/>
          </w:tcPr>
          <w:p>
            <w:pPr>
              <w:spacing w:after="0"/>
              <w:rPr>
                <w:sz w:val="9"/>
                <w:szCs w:val="9"/>
                <w:color w:val="auto"/>
              </w:rPr>
            </w:pPr>
          </w:p>
        </w:tc>
        <w:tc>
          <w:tcPr>
            <w:tcW w:w="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9"/>
                <w:szCs w:val="9"/>
                <w:color w:val="auto"/>
              </w:rPr>
            </w:pPr>
          </w:p>
        </w:tc>
        <w:tc>
          <w:tcPr>
            <w:tcW w:w="8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7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320" w:type="dxa"/>
            <w:vAlign w:val="bottom"/>
          </w:tcPr>
          <w:p>
            <w:pPr>
              <w:spacing w:after="0"/>
              <w:rPr>
                <w:sz w:val="14"/>
                <w:szCs w:val="14"/>
                <w:color w:val="auto"/>
              </w:rPr>
            </w:pPr>
          </w:p>
        </w:tc>
        <w:tc>
          <w:tcPr>
            <w:tcW w:w="6920" w:type="dxa"/>
            <w:vAlign w:val="bottom"/>
            <w:tcBorders>
              <w:bottom w:val="single" w:sz="8" w:color="auto"/>
            </w:tcBorders>
            <w:gridSpan w:val="4"/>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2"/>
                <w:szCs w:val="22"/>
                <w:color w:val="auto"/>
              </w:rPr>
            </w:pPr>
          </w:p>
        </w:tc>
        <w:tc>
          <w:tcPr>
            <w:tcW w:w="3620" w:type="dxa"/>
            <w:vAlign w:val="bottom"/>
            <w:tcBorders>
              <w:bottom w:val="single" w:sz="8" w:color="0000EE"/>
            </w:tcBorders>
          </w:tcPr>
          <w:p>
            <w:pPr>
              <w:spacing w:after="0"/>
              <w:rPr>
                <w:rFonts w:ascii="Arial" w:cs="Arial" w:eastAsia="Arial" w:hAnsi="Arial"/>
                <w:sz w:val="18"/>
                <w:szCs w:val="18"/>
                <w:color w:val="0000EE"/>
                <w:w w:val="91"/>
              </w:rPr>
            </w:pPr>
            <w:hyperlink r:id="rId21">
              <w:r>
                <w:rPr>
                  <w:rFonts w:ascii="Arial" w:cs="Arial" w:eastAsia="Arial" w:hAnsi="Arial"/>
                  <w:sz w:val="18"/>
                  <w:szCs w:val="18"/>
                  <w:color w:val="0000EE"/>
                  <w:w w:val="91"/>
                </w:rPr>
                <w:t>Form of the Registrant’s common stock certificate</w:t>
              </w:r>
            </w:hyperlink>
          </w:p>
        </w:tc>
        <w:tc>
          <w:tcPr>
            <w:tcW w:w="3420" w:type="dxa"/>
            <w:vAlign w:val="bottom"/>
            <w:gridSpan w:val="4"/>
          </w:tcPr>
          <w:p>
            <w:pPr>
              <w:spacing w:after="0"/>
              <w:rPr>
                <w:sz w:val="22"/>
                <w:szCs w:val="22"/>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auto"/>
              </w:rPr>
              <w:t>S-1/A</w:t>
            </w:r>
          </w:p>
        </w:tc>
        <w:tc>
          <w:tcPr>
            <w:tcW w:w="980" w:type="dxa"/>
            <w:vAlign w:val="bottom"/>
          </w:tcPr>
          <w:p>
            <w:pPr>
              <w:spacing w:after="0"/>
              <w:rPr>
                <w:sz w:val="20"/>
                <w:szCs w:val="20"/>
                <w:color w:val="auto"/>
              </w:rPr>
            </w:pPr>
            <w:r>
              <w:rPr>
                <w:rFonts w:ascii="Arial" w:cs="Arial" w:eastAsia="Arial" w:hAnsi="Arial"/>
                <w:sz w:val="18"/>
                <w:szCs w:val="18"/>
                <w:color w:val="auto"/>
                <w:w w:val="99"/>
              </w:rPr>
              <w:t>333-196635</w:t>
            </w:r>
          </w:p>
        </w:tc>
        <w:tc>
          <w:tcPr>
            <w:tcW w:w="640" w:type="dxa"/>
            <w:vAlign w:val="bottom"/>
            <w:gridSpan w:val="2"/>
          </w:tcPr>
          <w:p>
            <w:pPr>
              <w:ind w:left="100"/>
              <w:spacing w:after="0"/>
              <w:rPr>
                <w:sz w:val="20"/>
                <w:szCs w:val="20"/>
                <w:color w:val="auto"/>
              </w:rPr>
            </w:pPr>
            <w:r>
              <w:rPr>
                <w:rFonts w:ascii="Arial" w:cs="Arial" w:eastAsia="Arial" w:hAnsi="Arial"/>
                <w:sz w:val="18"/>
                <w:szCs w:val="18"/>
                <w:color w:val="auto"/>
              </w:rPr>
              <w:t>4.1</w:t>
            </w:r>
          </w:p>
        </w:tc>
        <w:tc>
          <w:tcPr>
            <w:tcW w:w="1000" w:type="dxa"/>
            <w:vAlign w:val="bottom"/>
            <w:gridSpan w:val="2"/>
          </w:tcPr>
          <w:p>
            <w:pPr>
              <w:ind w:left="120"/>
              <w:spacing w:after="0"/>
              <w:rPr>
                <w:sz w:val="20"/>
                <w:szCs w:val="20"/>
                <w:color w:val="auto"/>
              </w:rPr>
            </w:pPr>
            <w:r>
              <w:rPr>
                <w:rFonts w:ascii="Arial" w:cs="Arial" w:eastAsia="Arial" w:hAnsi="Arial"/>
                <w:sz w:val="18"/>
                <w:szCs w:val="18"/>
                <w:color w:val="auto"/>
                <w:w w:val="95"/>
              </w:rPr>
              <w:t>08/05/2014</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24"/>
                <w:szCs w:val="24"/>
                <w:color w:val="auto"/>
              </w:rPr>
            </w:pPr>
          </w:p>
        </w:tc>
        <w:tc>
          <w:tcPr>
            <w:tcW w:w="6260" w:type="dxa"/>
            <w:vAlign w:val="bottom"/>
            <w:tcBorders>
              <w:bottom w:val="single" w:sz="8" w:color="0000EE"/>
            </w:tcBorders>
            <w:gridSpan w:val="2"/>
          </w:tcPr>
          <w:p>
            <w:pPr>
              <w:spacing w:after="0"/>
              <w:rPr>
                <w:rFonts w:ascii="Arial" w:cs="Arial" w:eastAsia="Arial" w:hAnsi="Arial"/>
                <w:sz w:val="18"/>
                <w:szCs w:val="18"/>
                <w:color w:val="0000EE"/>
                <w:w w:val="89"/>
              </w:rPr>
            </w:pPr>
            <w:hyperlink r:id="rId22">
              <w:r>
                <w:rPr>
                  <w:rFonts w:ascii="Arial" w:cs="Arial" w:eastAsia="Arial" w:hAnsi="Arial"/>
                  <w:sz w:val="18"/>
                  <w:szCs w:val="18"/>
                  <w:color w:val="0000EE"/>
                  <w:w w:val="89"/>
                </w:rPr>
                <w:t>Amended and Restated 2014 Equity Incentive Plan and forms of agreement thereunder</w:t>
              </w:r>
            </w:hyperlink>
          </w:p>
        </w:tc>
        <w:tc>
          <w:tcPr>
            <w:tcW w:w="780" w:type="dxa"/>
            <w:vAlign w:val="bottom"/>
            <w:gridSpan w:val="3"/>
          </w:tcPr>
          <w:p>
            <w:pPr>
              <w:spacing w:after="0"/>
              <w:rPr>
                <w:sz w:val="24"/>
                <w:szCs w:val="24"/>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auto"/>
              </w:rPr>
              <w:t>S-8</w:t>
            </w:r>
          </w:p>
        </w:tc>
        <w:tc>
          <w:tcPr>
            <w:tcW w:w="980" w:type="dxa"/>
            <w:vAlign w:val="bottom"/>
          </w:tcPr>
          <w:p>
            <w:pPr>
              <w:spacing w:after="0"/>
              <w:rPr>
                <w:sz w:val="20"/>
                <w:szCs w:val="20"/>
                <w:color w:val="auto"/>
              </w:rPr>
            </w:pPr>
            <w:r>
              <w:rPr>
                <w:rFonts w:ascii="Arial" w:cs="Arial" w:eastAsia="Arial" w:hAnsi="Arial"/>
                <w:sz w:val="18"/>
                <w:szCs w:val="18"/>
                <w:color w:val="auto"/>
                <w:w w:val="99"/>
              </w:rPr>
              <w:t>333-239496</w:t>
            </w:r>
          </w:p>
        </w:tc>
        <w:tc>
          <w:tcPr>
            <w:tcW w:w="640" w:type="dxa"/>
            <w:vAlign w:val="bottom"/>
            <w:gridSpan w:val="2"/>
          </w:tcPr>
          <w:p>
            <w:pPr>
              <w:ind w:left="100"/>
              <w:spacing w:after="0"/>
              <w:rPr>
                <w:sz w:val="20"/>
                <w:szCs w:val="20"/>
                <w:color w:val="auto"/>
              </w:rPr>
            </w:pPr>
            <w:r>
              <w:rPr>
                <w:rFonts w:ascii="Arial" w:cs="Arial" w:eastAsia="Arial" w:hAnsi="Arial"/>
                <w:sz w:val="18"/>
                <w:szCs w:val="18"/>
                <w:color w:val="auto"/>
              </w:rPr>
              <w:t>4.2</w:t>
            </w:r>
          </w:p>
        </w:tc>
        <w:tc>
          <w:tcPr>
            <w:tcW w:w="1000" w:type="dxa"/>
            <w:vAlign w:val="bottom"/>
            <w:gridSpan w:val="2"/>
          </w:tcPr>
          <w:p>
            <w:pPr>
              <w:ind w:left="120"/>
              <w:spacing w:after="0"/>
              <w:rPr>
                <w:sz w:val="20"/>
                <w:szCs w:val="20"/>
                <w:color w:val="auto"/>
              </w:rPr>
            </w:pPr>
            <w:r>
              <w:rPr>
                <w:rFonts w:ascii="Arial" w:cs="Arial" w:eastAsia="Arial" w:hAnsi="Arial"/>
                <w:sz w:val="18"/>
                <w:szCs w:val="18"/>
                <w:color w:val="auto"/>
                <w:w w:val="95"/>
              </w:rPr>
              <w:t>06/26/2020</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24"/>
                <w:szCs w:val="24"/>
                <w:color w:val="auto"/>
              </w:rPr>
            </w:pPr>
          </w:p>
        </w:tc>
        <w:tc>
          <w:tcPr>
            <w:tcW w:w="7040" w:type="dxa"/>
            <w:vAlign w:val="bottom"/>
            <w:gridSpan w:val="5"/>
          </w:tcPr>
          <w:p>
            <w:pPr>
              <w:spacing w:after="0"/>
              <w:rPr>
                <w:rFonts w:ascii="Arial" w:cs="Arial" w:eastAsia="Arial" w:hAnsi="Arial"/>
                <w:sz w:val="18"/>
                <w:szCs w:val="18"/>
                <w:color w:val="0000EE"/>
                <w:w w:val="98"/>
              </w:rPr>
            </w:pPr>
            <w:hyperlink r:id="rId23">
              <w:r>
                <w:rPr>
                  <w:rFonts w:ascii="Arial" w:cs="Arial" w:eastAsia="Arial" w:hAnsi="Arial"/>
                  <w:sz w:val="18"/>
                  <w:szCs w:val="18"/>
                  <w:color w:val="0000EE"/>
                  <w:w w:val="98"/>
                </w:rPr>
                <w:t>2020 Inducement Equity Incentive Plan, as amended, and forms of agreement thereunder</w:t>
              </w:r>
            </w:hyperlink>
          </w:p>
        </w:tc>
        <w:tc>
          <w:tcPr>
            <w:tcW w:w="540" w:type="dxa"/>
            <w:vAlign w:val="bottom"/>
            <w:gridSpan w:val="2"/>
          </w:tcPr>
          <w:p>
            <w:pPr>
              <w:spacing w:after="0"/>
              <w:rPr>
                <w:sz w:val="20"/>
                <w:szCs w:val="20"/>
                <w:color w:val="auto"/>
              </w:rPr>
            </w:pPr>
            <w:r>
              <w:rPr>
                <w:rFonts w:ascii="Arial" w:cs="Arial" w:eastAsia="Arial" w:hAnsi="Arial"/>
                <w:sz w:val="18"/>
                <w:szCs w:val="18"/>
                <w:color w:val="auto"/>
              </w:rPr>
              <w:t>8-K</w:t>
            </w:r>
          </w:p>
        </w:tc>
        <w:tc>
          <w:tcPr>
            <w:tcW w:w="980" w:type="dxa"/>
            <w:vAlign w:val="bottom"/>
          </w:tcPr>
          <w:p>
            <w:pPr>
              <w:spacing w:after="0"/>
              <w:rPr>
                <w:sz w:val="20"/>
                <w:szCs w:val="20"/>
                <w:color w:val="auto"/>
              </w:rPr>
            </w:pPr>
            <w:r>
              <w:rPr>
                <w:rFonts w:ascii="Arial" w:cs="Arial" w:eastAsia="Arial" w:hAnsi="Arial"/>
                <w:sz w:val="18"/>
                <w:szCs w:val="18"/>
                <w:color w:val="auto"/>
              </w:rPr>
              <w:t>001-36593</w:t>
            </w:r>
          </w:p>
        </w:tc>
        <w:tc>
          <w:tcPr>
            <w:tcW w:w="640" w:type="dxa"/>
            <w:vAlign w:val="bottom"/>
            <w:gridSpan w:val="2"/>
          </w:tcPr>
          <w:p>
            <w:pPr>
              <w:ind w:left="100"/>
              <w:spacing w:after="0"/>
              <w:rPr>
                <w:sz w:val="20"/>
                <w:szCs w:val="20"/>
                <w:color w:val="auto"/>
              </w:rPr>
            </w:pPr>
            <w:r>
              <w:rPr>
                <w:rFonts w:ascii="Arial" w:cs="Arial" w:eastAsia="Arial" w:hAnsi="Arial"/>
                <w:sz w:val="18"/>
                <w:szCs w:val="18"/>
                <w:color w:val="auto"/>
              </w:rPr>
              <w:t>10.1</w:t>
            </w:r>
          </w:p>
        </w:tc>
        <w:tc>
          <w:tcPr>
            <w:tcW w:w="1000" w:type="dxa"/>
            <w:vAlign w:val="bottom"/>
            <w:gridSpan w:val="2"/>
          </w:tcPr>
          <w:p>
            <w:pPr>
              <w:ind w:left="120"/>
              <w:spacing w:after="0"/>
              <w:rPr>
                <w:sz w:val="20"/>
                <w:szCs w:val="20"/>
                <w:color w:val="auto"/>
              </w:rPr>
            </w:pPr>
            <w:r>
              <w:rPr>
                <w:rFonts w:ascii="Arial" w:cs="Arial" w:eastAsia="Arial" w:hAnsi="Arial"/>
                <w:sz w:val="18"/>
                <w:szCs w:val="18"/>
                <w:color w:val="auto"/>
              </w:rPr>
              <w:t>2/24/2023</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20" w:type="dxa"/>
            <w:vAlign w:val="bottom"/>
            <w:shd w:val="clear" w:color="auto" w:fill="0000EE"/>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4" w:right="4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85"/>
        </w:trPr>
        <w:tc>
          <w:tcPr>
            <w:tcW w:w="5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8"/>
              </w:rPr>
              <w:t>Exhibit</w:t>
            </w: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06"/>
        </w:trPr>
        <w:tc>
          <w:tcPr>
            <w:tcW w:w="5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600" w:type="dxa"/>
            <w:vAlign w:val="bottom"/>
            <w:gridSpan w:val="4"/>
            <w:vMerge w:val="restart"/>
          </w:tcPr>
          <w:p>
            <w:pPr>
              <w:ind w:left="78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9"/>
                <w:szCs w:val="9"/>
                <w:color w:val="auto"/>
              </w:rPr>
            </w:pPr>
          </w:p>
        </w:tc>
        <w:tc>
          <w:tcPr>
            <w:tcW w:w="4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9"/>
                <w:szCs w:val="9"/>
                <w:color w:val="auto"/>
              </w:rPr>
            </w:pPr>
          </w:p>
        </w:tc>
        <w:tc>
          <w:tcPr>
            <w:tcW w:w="9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File No.</w:t>
            </w:r>
          </w:p>
        </w:tc>
        <w:tc>
          <w:tcPr>
            <w:tcW w:w="100" w:type="dxa"/>
            <w:vAlign w:val="bottom"/>
            <w:vMerge w:val="restart"/>
          </w:tcPr>
          <w:p>
            <w:pPr>
              <w:spacing w:after="0"/>
              <w:rPr>
                <w:sz w:val="9"/>
                <w:szCs w:val="9"/>
                <w:color w:val="auto"/>
              </w:rPr>
            </w:pPr>
          </w:p>
        </w:tc>
        <w:tc>
          <w:tcPr>
            <w:tcW w:w="15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Exhibit   Filing Date</w:t>
            </w:r>
          </w:p>
        </w:tc>
        <w:tc>
          <w:tcPr>
            <w:tcW w:w="0" w:type="dxa"/>
            <w:vAlign w:val="bottom"/>
          </w:tcPr>
          <w:p>
            <w:pPr>
              <w:spacing w:after="0"/>
              <w:rPr>
                <w:sz w:val="1"/>
                <w:szCs w:val="1"/>
                <w:color w:val="auto"/>
              </w:rPr>
            </w:pPr>
          </w:p>
        </w:tc>
      </w:tr>
      <w:tr>
        <w:trPr>
          <w:trHeight w:val="171"/>
        </w:trPr>
        <w:tc>
          <w:tcPr>
            <w:tcW w:w="500" w:type="dxa"/>
            <w:vAlign w:val="bottom"/>
          </w:tcPr>
          <w:p>
            <w:pPr>
              <w:spacing w:after="0"/>
              <w:rPr>
                <w:sz w:val="20"/>
                <w:szCs w:val="20"/>
                <w:color w:val="auto"/>
              </w:rPr>
            </w:pPr>
            <w:r>
              <w:rPr>
                <w:rFonts w:ascii="Arial" w:cs="Arial" w:eastAsia="Arial" w:hAnsi="Arial"/>
                <w:sz w:val="14"/>
                <w:szCs w:val="14"/>
                <w:b w:val="1"/>
                <w:bCs w:val="1"/>
                <w:color w:val="auto"/>
                <w:w w:val="90"/>
              </w:rPr>
              <w:t>Number</w:t>
            </w: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0" w:type="dxa"/>
            <w:vAlign w:val="bottom"/>
            <w:gridSpan w:val="4"/>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22"/>
                <w:szCs w:val="22"/>
                <w:color w:val="auto"/>
              </w:rPr>
            </w:pPr>
          </w:p>
        </w:tc>
        <w:tc>
          <w:tcPr>
            <w:tcW w:w="6920" w:type="dxa"/>
            <w:vAlign w:val="bottom"/>
            <w:tcBorders>
              <w:top w:val="single" w:sz="8" w:color="auto"/>
            </w:tcBorders>
            <w:gridSpan w:val="8"/>
          </w:tcPr>
          <w:p>
            <w:pPr>
              <w:spacing w:after="0"/>
              <w:rPr>
                <w:sz w:val="20"/>
                <w:szCs w:val="20"/>
                <w:color w:val="auto"/>
              </w:rPr>
            </w:pPr>
            <w:r>
              <w:rPr>
                <w:rFonts w:ascii="Arial" w:cs="Arial" w:eastAsia="Arial" w:hAnsi="Arial"/>
                <w:sz w:val="18"/>
                <w:szCs w:val="18"/>
                <w:color w:val="0000EE"/>
              </w:rPr>
              <w:t>Opinion of Wilson Sonsini Goodrich &amp; Rosati, Professional Corporation (contained in</w:t>
            </w:r>
          </w:p>
        </w:tc>
        <w:tc>
          <w:tcPr>
            <w:tcW w:w="12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3"/>
              </w:rPr>
              <w:t>Exhibit 5.1 hereto)</w:t>
            </w:r>
          </w:p>
        </w:tc>
        <w:tc>
          <w:tcPr>
            <w:tcW w:w="4840" w:type="dxa"/>
            <w:vAlign w:val="bottom"/>
            <w:tcBorders>
              <w:top w:val="single" w:sz="8" w:color="0000EE"/>
            </w:tcBorders>
            <w:gridSpan w:val="4"/>
          </w:tcPr>
          <w:p>
            <w:pPr>
              <w:spacing w:after="0"/>
              <w:rPr>
                <w:sz w:val="17"/>
                <w:szCs w:val="17"/>
                <w:color w:val="auto"/>
              </w:rPr>
            </w:pPr>
          </w:p>
        </w:tc>
        <w:tc>
          <w:tcPr>
            <w:tcW w:w="820" w:type="dxa"/>
            <w:vAlign w:val="bottom"/>
            <w:gridSpan w:val="3"/>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320" w:type="dxa"/>
            <w:vAlign w:val="bottom"/>
          </w:tcPr>
          <w:p>
            <w:pPr>
              <w:spacing w:after="0"/>
              <w:rPr>
                <w:sz w:val="24"/>
                <w:szCs w:val="24"/>
                <w:color w:val="auto"/>
              </w:rPr>
            </w:pPr>
          </w:p>
        </w:tc>
        <w:tc>
          <w:tcPr>
            <w:tcW w:w="636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1"/>
              </w:rPr>
              <w:t>Consent of Marcum LLP, Independent Registered Public Accounting Firm (contained in</w:t>
            </w:r>
          </w:p>
        </w:tc>
        <w:tc>
          <w:tcPr>
            <w:tcW w:w="68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40" w:type="dxa"/>
            <w:vAlign w:val="bottom"/>
            <w:gridSpan w:val="9"/>
          </w:tcPr>
          <w:p>
            <w:pPr>
              <w:spacing w:after="0" w:line="196" w:lineRule="exact"/>
              <w:rPr>
                <w:sz w:val="20"/>
                <w:szCs w:val="20"/>
                <w:color w:val="auto"/>
              </w:rPr>
            </w:pPr>
            <w:r>
              <w:rPr>
                <w:rFonts w:ascii="Arial" w:cs="Arial" w:eastAsia="Arial" w:hAnsi="Arial"/>
                <w:sz w:val="18"/>
                <w:szCs w:val="18"/>
                <w:color w:val="0000EE"/>
              </w:rPr>
              <w:t>Exhibit 23.1 hereto)</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23.2</w:t>
            </w:r>
          </w:p>
        </w:tc>
        <w:tc>
          <w:tcPr>
            <w:tcW w:w="320" w:type="dxa"/>
            <w:vAlign w:val="bottom"/>
          </w:tcPr>
          <w:p>
            <w:pPr>
              <w:spacing w:after="0"/>
              <w:rPr>
                <w:sz w:val="24"/>
                <w:szCs w:val="24"/>
                <w:color w:val="auto"/>
              </w:rPr>
            </w:pPr>
          </w:p>
        </w:tc>
        <w:tc>
          <w:tcPr>
            <w:tcW w:w="7040" w:type="dxa"/>
            <w:vAlign w:val="bottom"/>
            <w:gridSpan w:val="9"/>
          </w:tcPr>
          <w:p>
            <w:pPr>
              <w:spacing w:after="0"/>
              <w:rPr>
                <w:sz w:val="20"/>
                <w:szCs w:val="20"/>
                <w:color w:val="auto"/>
              </w:rPr>
            </w:pPr>
            <w:r>
              <w:rPr>
                <w:rFonts w:ascii="Arial" w:cs="Arial" w:eastAsia="Arial" w:hAnsi="Arial"/>
                <w:sz w:val="18"/>
                <w:szCs w:val="18"/>
                <w:color w:val="0000EE"/>
              </w:rPr>
              <w:t>Consent of Wilson Sonsini Goodrich &amp; Rosati, Professional Corporation (contained in</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91"/>
              </w:rPr>
              <w:t>Exhibit 5.1 hereto)</w:t>
            </w:r>
          </w:p>
        </w:tc>
        <w:tc>
          <w:tcPr>
            <w:tcW w:w="4860" w:type="dxa"/>
            <w:vAlign w:val="bottom"/>
            <w:tcBorders>
              <w:top w:val="single" w:sz="8" w:color="0000EE"/>
            </w:tcBorders>
            <w:gridSpan w:val="5"/>
          </w:tcPr>
          <w:p>
            <w:pPr>
              <w:spacing w:after="0"/>
              <w:rPr>
                <w:sz w:val="17"/>
                <w:szCs w:val="17"/>
                <w:color w:val="auto"/>
              </w:rPr>
            </w:pPr>
          </w:p>
        </w:tc>
        <w:tc>
          <w:tcPr>
            <w:tcW w:w="820" w:type="dxa"/>
            <w:vAlign w:val="bottom"/>
            <w:gridSpan w:val="3"/>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320" w:type="dxa"/>
            <w:vAlign w:val="bottom"/>
          </w:tcPr>
          <w:p>
            <w:pPr>
              <w:spacing w:after="0"/>
              <w:rPr>
                <w:sz w:val="24"/>
                <w:szCs w:val="24"/>
                <w:color w:val="auto"/>
              </w:rPr>
            </w:pPr>
          </w:p>
        </w:tc>
        <w:tc>
          <w:tcPr>
            <w:tcW w:w="402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0"/>
              </w:rPr>
              <w:t>Power of Attorney (contained on signature page hereto)</w:t>
            </w:r>
          </w:p>
        </w:tc>
        <w:tc>
          <w:tcPr>
            <w:tcW w:w="3020" w:type="dxa"/>
            <w:vAlign w:val="bottom"/>
            <w:gridSpan w:val="4"/>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107.1</w:t>
            </w:r>
          </w:p>
        </w:tc>
        <w:tc>
          <w:tcPr>
            <w:tcW w:w="320" w:type="dxa"/>
            <w:vAlign w:val="bottom"/>
          </w:tcPr>
          <w:p>
            <w:pPr>
              <w:spacing w:after="0"/>
              <w:rPr>
                <w:sz w:val="24"/>
                <w:szCs w:val="24"/>
                <w:color w:val="auto"/>
              </w:rPr>
            </w:pPr>
          </w:p>
        </w:tc>
        <w:tc>
          <w:tcPr>
            <w:tcW w:w="232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1"/>
              </w:rPr>
              <w:t>Calculation of Filing Fees Table</w:t>
            </w:r>
          </w:p>
        </w:tc>
        <w:tc>
          <w:tcPr>
            <w:tcW w:w="4720" w:type="dxa"/>
            <w:vAlign w:val="bottom"/>
            <w:gridSpan w:val="5"/>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 Undertakings.</w:t>
      </w:r>
    </w:p>
    <w:p>
      <w:pPr>
        <w:spacing w:after="0" w:line="135"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30" w:lineRule="exact"/>
        <w:rPr>
          <w:rFonts w:ascii="Arial" w:cs="Arial" w:eastAsia="Arial" w:hAnsi="Arial"/>
          <w:sz w:val="18"/>
          <w:szCs w:val="18"/>
          <w:color w:val="auto"/>
        </w:rPr>
      </w:pPr>
    </w:p>
    <w:p>
      <w:pPr>
        <w:ind w:left="1424" w:right="100" w:hanging="439"/>
        <w:spacing w:after="0" w:line="263" w:lineRule="auto"/>
        <w:tabs>
          <w:tab w:leader="none" w:pos="1424"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84" w:lineRule="exact"/>
        <w:rPr>
          <w:sz w:val="20"/>
          <w:szCs w:val="20"/>
          <w:color w:val="auto"/>
        </w:rPr>
      </w:pPr>
    </w:p>
    <w:p>
      <w:pPr>
        <w:ind w:left="4" w:right="100"/>
        <w:spacing w:after="0" w:line="301" w:lineRule="auto"/>
        <w:rPr>
          <w:sz w:val="20"/>
          <w:szCs w:val="20"/>
          <w:color w:val="auto"/>
        </w:rPr>
      </w:pPr>
      <w:r>
        <w:rPr>
          <w:rFonts w:ascii="Arial" w:cs="Arial" w:eastAsia="Arial" w:hAnsi="Arial"/>
          <w:sz w:val="16"/>
          <w:szCs w:val="16"/>
          <w:color w:val="auto"/>
        </w:rPr>
        <w:t>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63" w:lineRule="exact"/>
        <w:rPr>
          <w:sz w:val="20"/>
          <w:szCs w:val="20"/>
          <w:color w:val="auto"/>
        </w:rPr>
      </w:pPr>
    </w:p>
    <w:p>
      <w:pPr>
        <w:ind w:left="1424" w:right="80" w:hanging="439"/>
        <w:spacing w:after="0" w:line="277" w:lineRule="auto"/>
        <w:tabs>
          <w:tab w:leader="none" w:pos="1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444" w:right="140"/>
        <w:spacing w:after="0" w:line="263"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do not apply if the information required to be included in a post-effective amendment</w:t>
      </w:r>
      <w:r>
        <w:rPr>
          <w:rFonts w:ascii="Arial" w:cs="Arial" w:eastAsia="Arial" w:hAnsi="Arial"/>
          <w:sz w:val="18"/>
          <w:szCs w:val="18"/>
          <w:i w:val="1"/>
          <w:iCs w:val="1"/>
          <w:color w:val="auto"/>
        </w:rPr>
        <w:t xml:space="preserve"> </w:t>
      </w:r>
      <w:r>
        <w:rPr>
          <w:rFonts w:ascii="Arial" w:cs="Arial" w:eastAsia="Arial" w:hAnsi="Arial"/>
          <w:sz w:val="18"/>
          <w:szCs w:val="18"/>
          <w:color w:val="auto"/>
        </w:rPr>
        <w:t>by those paragraphs is contained in periodic reports filed with or furnished to the Commission by the Registrant pursuant to Section 13 or Section 15(d) of the Exchange Act that are incorporated by reference in this Registration Statement.</w:t>
      </w:r>
    </w:p>
    <w:p>
      <w:pPr>
        <w:spacing w:after="0" w:line="89" w:lineRule="exact"/>
        <w:rPr>
          <w:sz w:val="20"/>
          <w:szCs w:val="20"/>
          <w:color w:val="auto"/>
        </w:rPr>
      </w:pPr>
    </w:p>
    <w:p>
      <w:pPr>
        <w:ind w:left="964" w:right="20" w:hanging="532"/>
        <w:spacing w:after="0" w:line="263" w:lineRule="auto"/>
        <w:tabs>
          <w:tab w:leader="none" w:pos="964" w:val="left"/>
        </w:tabs>
        <w:numPr>
          <w:ilvl w:val="1"/>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9" w:lineRule="exact"/>
        <w:rPr>
          <w:rFonts w:ascii="Arial" w:cs="Arial" w:eastAsia="Arial" w:hAnsi="Arial"/>
          <w:sz w:val="18"/>
          <w:szCs w:val="18"/>
          <w:color w:val="auto"/>
        </w:rPr>
      </w:pPr>
    </w:p>
    <w:p>
      <w:pPr>
        <w:ind w:left="964" w:right="380" w:hanging="532"/>
        <w:spacing w:after="0" w:line="277" w:lineRule="auto"/>
        <w:tabs>
          <w:tab w:leader="none" w:pos="964"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424" w:right="60" w:hanging="424"/>
        <w:spacing w:after="0" w:line="257"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ectPr>
          <w:pgSz w:w="11900" w:h="16838" w:orient="portrait"/>
          <w:cols w:equalWidth="0" w:num="1">
            <w:col w:w="11024"/>
          </w:cols>
          <w:pgMar w:left="436" w:top="265" w:right="439" w:bottom="1440" w:gutter="0" w:footer="0" w:header="0"/>
        </w:sectPr>
      </w:pPr>
    </w:p>
    <w:bookmarkStart w:id="5" w:name="page6"/>
    <w:bookmarkEnd w:id="5"/>
    <w:p>
      <w:pPr>
        <w:ind w:left="424" w:hanging="424"/>
        <w:spacing w:after="0" w:line="271" w:lineRule="auto"/>
        <w:tabs>
          <w:tab w:leader="none" w:pos="424" w:val="left"/>
        </w:tabs>
        <w:numPr>
          <w:ilvl w:val="0"/>
          <w:numId w:val="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944"/>
          </w:cols>
          <w:pgMar w:left="436" w:top="274" w:right="51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360" w:firstLine="44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Redwood City, California, on the 23rd day of March, 2023.</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SOLENO THERAPEUTICS, INC</w:t>
      </w:r>
      <w:r>
        <w:rPr>
          <w:rFonts w:ascii="Arial" w:cs="Arial" w:eastAsia="Arial" w:hAnsi="Arial"/>
          <w:sz w:val="18"/>
          <w:szCs w:val="18"/>
          <w:color w:val="auto"/>
        </w:rPr>
        <w: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Anish Bhatnagar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Anish Bhatnagar</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i w:val="1"/>
          <w:iCs w:val="1"/>
          <w:color w:val="auto"/>
        </w:rPr>
        <w:t>KNOW ALL PERSONS BY THESE PRESENTS</w:t>
      </w:r>
      <w:r>
        <w:rPr>
          <w:rFonts w:ascii="Arial" w:cs="Arial" w:eastAsia="Arial" w:hAnsi="Arial"/>
          <w:sz w:val="18"/>
          <w:szCs w:val="18"/>
          <w:color w:val="auto"/>
        </w:rPr>
        <w:t>, that each person whose signature appears below hereby constitutes and appoints Anish Bhatnagar</w:t>
      </w:r>
      <w:r>
        <w:rPr>
          <w:rFonts w:ascii="Arial" w:cs="Arial" w:eastAsia="Arial" w:hAnsi="Arial"/>
          <w:sz w:val="18"/>
          <w:szCs w:val="18"/>
          <w:i w:val="1"/>
          <w:iCs w:val="1"/>
          <w:color w:val="auto"/>
        </w:rPr>
        <w:t xml:space="preserve"> </w:t>
      </w:r>
      <w:r>
        <w:rPr>
          <w:rFonts w:ascii="Arial" w:cs="Arial" w:eastAsia="Arial" w:hAnsi="Arial"/>
          <w:sz w:val="18"/>
          <w:szCs w:val="18"/>
          <w:color w:val="auto"/>
        </w:rPr>
        <w:t>as his true and lawful attorney-in-fact and agent with full power of substitution, for him in any and all capacities, to sign any and all amendments to this registration statement on Form S-8 (including post-effective amendments), and to file the same, with all exhibits thereto and other documents in connection therewith, with the Securities and Exchange Commission, granting unto said attorney-in-fact, proxy and agent full power and authority to do and perform each and every act and thing requisite and necessary to be done in connection therewith, as fully for all intents and purposes as he might or could do in person, hereby ratifying and confirming all that said attorney-in-fact, proxy and agent, or his substitute, may lawfully do or cause to be done by virtue hereof.</w:t>
      </w:r>
    </w:p>
    <w:p>
      <w:pPr>
        <w:spacing w:after="0" w:line="19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on Form S-8 has been signed by the following persons in the capacities and on the dates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9"/>
              </w:rPr>
              <w:t>Signature</w:t>
            </w:r>
          </w:p>
        </w:tc>
        <w:tc>
          <w:tcPr>
            <w:tcW w:w="120" w:type="dxa"/>
            <w:vAlign w:val="bottom"/>
          </w:tcPr>
          <w:p>
            <w:pPr>
              <w:spacing w:after="0"/>
              <w:rPr>
                <w:sz w:val="15"/>
                <w:szCs w:val="15"/>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7"/>
              </w:rPr>
              <w:t>Title</w:t>
            </w:r>
          </w:p>
        </w:tc>
        <w:tc>
          <w:tcPr>
            <w:tcW w:w="100" w:type="dxa"/>
            <w:vAlign w:val="bottom"/>
          </w:tcPr>
          <w:p>
            <w:pPr>
              <w:spacing w:after="0"/>
              <w:rPr>
                <w:sz w:val="15"/>
                <w:szCs w:val="15"/>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2"/>
              </w:rPr>
              <w:t>Date</w:t>
            </w:r>
          </w:p>
        </w:tc>
      </w:tr>
      <w:tr>
        <w:trPr>
          <w:trHeight w:val="412"/>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Anish Bhatnagar</w:t>
            </w:r>
          </w:p>
        </w:tc>
        <w:tc>
          <w:tcPr>
            <w:tcW w:w="120" w:type="dxa"/>
            <w:vAlign w:val="bottom"/>
          </w:tcPr>
          <w:p>
            <w:pPr>
              <w:spacing w:after="0"/>
              <w:rPr>
                <w:sz w:val="24"/>
                <w:szCs w:val="24"/>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President, Chief Executive Officer and Director</w:t>
            </w: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March 23, 2023</w:t>
            </w: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91"/>
              </w:rPr>
              <w:t>Anish Bhatnagar</w:t>
            </w:r>
          </w:p>
        </w:tc>
        <w:tc>
          <w:tcPr>
            <w:tcW w:w="120" w:type="dxa"/>
            <w:vAlign w:val="bottom"/>
          </w:tcPr>
          <w:p>
            <w:pPr>
              <w:spacing w:after="0"/>
              <w:rPr>
                <w:sz w:val="19"/>
                <w:szCs w:val="19"/>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(Principal Executive Officer)</w:t>
            </w:r>
          </w:p>
        </w:tc>
        <w:tc>
          <w:tcPr>
            <w:tcW w:w="3420" w:type="dxa"/>
            <w:vAlign w:val="bottom"/>
          </w:tcPr>
          <w:p>
            <w:pPr>
              <w:spacing w:after="0"/>
              <w:rPr>
                <w:sz w:val="19"/>
                <w:szCs w:val="19"/>
                <w:color w:val="auto"/>
              </w:rPr>
            </w:pPr>
          </w:p>
        </w:tc>
      </w:tr>
      <w:tr>
        <w:trPr>
          <w:trHeight w:val="431"/>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James Mackaness</w:t>
            </w:r>
          </w:p>
        </w:tc>
        <w:tc>
          <w:tcPr>
            <w:tcW w:w="120" w:type="dxa"/>
            <w:vAlign w:val="bottom"/>
          </w:tcPr>
          <w:p>
            <w:pPr>
              <w:spacing w:after="0"/>
              <w:rPr>
                <w:sz w:val="24"/>
                <w:szCs w:val="24"/>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Chief Financial Officer</w:t>
            </w: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March 23, 2023</w:t>
            </w: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85"/>
              </w:rPr>
              <w:t>James Mackaness</w:t>
            </w:r>
          </w:p>
        </w:tc>
        <w:tc>
          <w:tcPr>
            <w:tcW w:w="120" w:type="dxa"/>
            <w:vAlign w:val="bottom"/>
          </w:tcPr>
          <w:p>
            <w:pPr>
              <w:spacing w:after="0"/>
              <w:rPr>
                <w:sz w:val="19"/>
                <w:szCs w:val="19"/>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(Principal Financial and Accounting Officer)</w:t>
            </w:r>
          </w:p>
        </w:tc>
        <w:tc>
          <w:tcPr>
            <w:tcW w:w="3420" w:type="dxa"/>
            <w:vAlign w:val="bottom"/>
          </w:tcPr>
          <w:p>
            <w:pPr>
              <w:spacing w:after="0"/>
              <w:rPr>
                <w:sz w:val="19"/>
                <w:szCs w:val="19"/>
                <w:color w:val="auto"/>
              </w:rPr>
            </w:pPr>
          </w:p>
        </w:tc>
      </w:tr>
      <w:tr>
        <w:trPr>
          <w:trHeight w:val="431"/>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Ernest Mario</w:t>
            </w:r>
          </w:p>
        </w:tc>
        <w:tc>
          <w:tcPr>
            <w:tcW w:w="120" w:type="dxa"/>
            <w:vAlign w:val="bottom"/>
          </w:tcPr>
          <w:p>
            <w:pPr>
              <w:spacing w:after="0"/>
              <w:rPr>
                <w:sz w:val="24"/>
                <w:szCs w:val="24"/>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Chairman</w:t>
            </w: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March 23, 2023</w:t>
            </w: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92"/>
              </w:rPr>
              <w:t>Ernest Mario</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31"/>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William G. Harris</w:t>
            </w:r>
          </w:p>
        </w:tc>
        <w:tc>
          <w:tcPr>
            <w:tcW w:w="120" w:type="dxa"/>
            <w:vAlign w:val="bottom"/>
          </w:tcPr>
          <w:p>
            <w:pPr>
              <w:spacing w:after="0"/>
              <w:rPr>
                <w:sz w:val="24"/>
                <w:szCs w:val="24"/>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March 23, 2023</w:t>
            </w: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96"/>
              </w:rPr>
              <w:t>William G. Harris</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31"/>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Gwen Melincoff</w:t>
            </w:r>
          </w:p>
        </w:tc>
        <w:tc>
          <w:tcPr>
            <w:tcW w:w="120" w:type="dxa"/>
            <w:vAlign w:val="bottom"/>
          </w:tcPr>
          <w:p>
            <w:pPr>
              <w:spacing w:after="0"/>
              <w:rPr>
                <w:sz w:val="24"/>
                <w:szCs w:val="24"/>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March 23, 2023</w:t>
            </w: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95"/>
              </w:rPr>
              <w:t>Gwen Melincoff</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31"/>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Andrew Sinclair</w:t>
            </w:r>
          </w:p>
        </w:tc>
        <w:tc>
          <w:tcPr>
            <w:tcW w:w="120" w:type="dxa"/>
            <w:vAlign w:val="bottom"/>
          </w:tcPr>
          <w:p>
            <w:pPr>
              <w:spacing w:after="0"/>
              <w:rPr>
                <w:sz w:val="24"/>
                <w:szCs w:val="24"/>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March 23, 2023</w:t>
            </w: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94"/>
              </w:rPr>
              <w:t>Andrew Sinclair</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31"/>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Birgitte Volck</w:t>
            </w:r>
          </w:p>
        </w:tc>
        <w:tc>
          <w:tcPr>
            <w:tcW w:w="120" w:type="dxa"/>
            <w:vAlign w:val="bottom"/>
          </w:tcPr>
          <w:p>
            <w:pPr>
              <w:spacing w:after="0"/>
              <w:rPr>
                <w:sz w:val="24"/>
                <w:szCs w:val="24"/>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March 23, 2023</w:t>
            </w: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97"/>
              </w:rPr>
              <w:t>Birgitte Volck</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bl>
    <w:p>
      <w:pPr>
        <w:sectPr>
          <w:pgSz w:w="11900" w:h="16838" w:orient="portrait"/>
          <w:cols w:equalWidth="0" w:num="1">
            <w:col w:w="11020"/>
          </w:cols>
          <w:pgMar w:left="440" w:top="270" w:right="4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097280" cy="411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09728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Professional Corporation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Palo Alto, California 94304-1050</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O</w:t>
      </w:r>
      <w:r>
        <w:rPr>
          <w:rFonts w:ascii="Arial" w:cs="Arial" w:eastAsia="Arial" w:hAnsi="Arial"/>
          <w:sz w:val="14"/>
          <w:szCs w:val="14"/>
          <w:b w:val="1"/>
          <w:bCs w:val="1"/>
          <w:color w:val="auto"/>
        </w:rPr>
        <w:t>: 650.493.9300</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F</w:t>
      </w:r>
      <w:r>
        <w:rPr>
          <w:rFonts w:ascii="Arial" w:cs="Arial" w:eastAsia="Arial" w:hAnsi="Arial"/>
          <w:sz w:val="14"/>
          <w:szCs w:val="14"/>
          <w:b w:val="1"/>
          <w:bCs w:val="1"/>
          <w:color w:val="auto"/>
        </w:rPr>
        <w:t>: 650.493.6811</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23,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Soleno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203 Redwood Shores Pkwy, Suite 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 94065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 </w:t>
      </w:r>
      <w:r>
        <w:rPr>
          <w:rFonts w:ascii="Arial" w:cs="Arial" w:eastAsia="Arial" w:hAnsi="Arial"/>
          <w:sz w:val="18"/>
          <w:szCs w:val="18"/>
          <w:b w:val="1"/>
          <w:bCs w:val="1"/>
          <w:u w:val="single" w:color="auto"/>
          <w:color w:val="auto"/>
        </w:rPr>
        <w:t>Registration Statement on Form S-8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We have examined the Registration Statement on Form S-8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to be filed by Soleno Therapeutics, Inc., a Delaware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corporation, with the Securities and Exchange Commission on or about the date hereof, in connection with the registration under the Securities Act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1933, as amended, of 238,329 shares of Common Stock reserved for issuance pursuant to the Soleno Therapeutics, Inc. 2014 Equity Incentive Plan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2014 Plan</w:t>
      </w:r>
      <w:r>
        <w:rPr>
          <w:rFonts w:ascii="Arial" w:cs="Arial" w:eastAsia="Arial" w:hAnsi="Arial"/>
          <w:sz w:val="16"/>
          <w:szCs w:val="16"/>
          <w:color w:val="auto"/>
        </w:rPr>
        <w:t>”) and 500,000 shares of Common Stock reserved for issuance pursuant to the Soleno Therapeutics, Inc. 2020 Inducement Equity Incentive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Plan (the “</w:t>
      </w:r>
      <w:r>
        <w:rPr>
          <w:rFonts w:ascii="Arial" w:cs="Arial" w:eastAsia="Arial" w:hAnsi="Arial"/>
          <w:sz w:val="17"/>
          <w:szCs w:val="17"/>
          <w:b w:val="1"/>
          <w:bCs w:val="1"/>
          <w:color w:val="auto"/>
        </w:rPr>
        <w:t>Inducement Plan</w:t>
      </w:r>
      <w:r>
        <w:rPr>
          <w:rFonts w:ascii="Arial" w:cs="Arial" w:eastAsia="Arial" w:hAnsi="Arial"/>
          <w:sz w:val="17"/>
          <w:szCs w:val="17"/>
          <w:color w:val="auto"/>
        </w:rPr>
        <w:t>”, and together with the 2014 Plan, the “</w:t>
      </w:r>
      <w:r>
        <w:rPr>
          <w:rFonts w:ascii="Arial" w:cs="Arial" w:eastAsia="Arial" w:hAnsi="Arial"/>
          <w:sz w:val="17"/>
          <w:szCs w:val="17"/>
          <w:b w:val="1"/>
          <w:bCs w:val="1"/>
          <w:color w:val="auto"/>
        </w:rPr>
        <w:t>Plans</w:t>
      </w:r>
      <w:r>
        <w:rPr>
          <w:rFonts w:ascii="Arial" w:cs="Arial" w:eastAsia="Arial" w:hAnsi="Arial"/>
          <w:sz w:val="17"/>
          <w:szCs w:val="17"/>
          <w:color w:val="auto"/>
        </w:rPr>
        <w:t>”), all of which shares of Common Stock are referred to herein as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Shares</w:t>
      </w:r>
      <w:r>
        <w:rPr>
          <w:rFonts w:ascii="Arial" w:cs="Arial" w:eastAsia="Arial" w:hAnsi="Arial"/>
          <w:sz w:val="16"/>
          <w:szCs w:val="16"/>
          <w:color w:val="auto"/>
        </w:rPr>
        <w:t>”. As your legal counsel, we have examined the proceedings taken and proposed to be taken in connection with the issuance, sale and payment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consideration for the Shares to be issued under the Plans.</w:t>
      </w:r>
    </w:p>
    <w:p>
      <w:pPr>
        <w:spacing w:after="0" w:line="21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On the basis of the foregoing, and in reliance thereon, we are of the opinion that the Shares, when issued and sold in the manner referred to in the Plans and pursuant to the agreements that accompany the Plans, will be legally and validly issued, fully paid, and nonassessable.</w:t>
      </w:r>
    </w:p>
    <w:p>
      <w:pPr>
        <w:spacing w:after="0" w:line="14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consent to the use of this opinion as an exhibit to the Registration Statement, and further consent to the use of our name wherever appearing in the Registration Statement and any amendments thereto.</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Wilson Sonsini Goodrich &amp; Rosati, P.C.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Professional Corporation</w:t>
      </w:r>
    </w:p>
    <w:p>
      <w:pPr>
        <w:sectPr>
          <w:pgSz w:w="11900" w:h="16838" w:orient="portrait"/>
          <w:cols w:equalWidth="0" w:num="1">
            <w:col w:w="11020"/>
          </w:cols>
          <w:pgMar w:left="440" w:top="121" w:right="4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INDEPENDENT REGISTERED PUBLIC ACCOUNTING FIRM’S CONSENT</w:t>
      </w:r>
    </w:p>
    <w:p>
      <w:pPr>
        <w:spacing w:after="0" w:line="225"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We consent to the incorporation by reference in this Registration Statement of Soleno Therapeutics, Inc. on Form S-8 of our report, which includes an explanatory paragraph as to the Company’s ability to continue as a going concern, dated March 22, 2023 with respect to our audits of the consolidated financial statements of Soleno Therapeutics, Inc. as of December 31, 2022 and 2021 and for each of the two years in the period ended December 31, 2022 appearing in the Annual Report on Form 10-K of Soleno Therapeutics, Inc. for the year ended December 31, 2022.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22, 2023</w:t>
      </w:r>
    </w:p>
    <w:p>
      <w:pPr>
        <w:sectPr>
          <w:pgSz w:w="11900" w:h="16838" w:orient="portrait"/>
          <w:cols w:equalWidth="0" w:num="1">
            <w:col w:w="11020"/>
          </w:cols>
          <w:pgMar w:left="440" w:top="121" w:right="4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REGISTRATION FEE TABLES</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S-8</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Type)</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Soleno Therapeutics, Inc.</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Table 1 – Newly Registered Securities</w:t>
      </w:r>
    </w:p>
    <w:p>
      <w:pPr>
        <w:spacing w:after="0" w:line="246" w:lineRule="exact"/>
        <w:rPr>
          <w:sz w:val="20"/>
          <w:szCs w:val="20"/>
          <w:color w:val="auto"/>
        </w:rPr>
      </w:pPr>
    </w:p>
    <w:tbl>
      <w:tblPr>
        <w:tblLayout w:type="fixed"/>
        <w:tblInd w:w="1334" w:type="dxa"/>
        <w:tblCellMar>
          <w:top w:w="0" w:type="dxa"/>
          <w:left w:w="0" w:type="dxa"/>
          <w:bottom w:w="0" w:type="dxa"/>
          <w:right w:w="0" w:type="dxa"/>
        </w:tblCellMar>
      </w:tblPr>
      <w:tr>
        <w:trPr>
          <w:trHeight w:val="148"/>
        </w:trPr>
        <w:tc>
          <w:tcPr>
            <w:tcW w:w="1360" w:type="dxa"/>
            <w:vAlign w:val="bottom"/>
            <w:tcBorders>
              <w:top w:val="single" w:sz="8" w:color="auto"/>
              <w:left w:val="single" w:sz="8" w:color="auto"/>
              <w:right w:val="single" w:sz="8" w:color="auto"/>
            </w:tcBorders>
          </w:tcPr>
          <w:p>
            <w:pPr>
              <w:spacing w:after="0"/>
              <w:rPr>
                <w:sz w:val="12"/>
                <w:szCs w:val="12"/>
                <w:color w:val="auto"/>
              </w:rPr>
            </w:pPr>
          </w:p>
        </w:tc>
        <w:tc>
          <w:tcPr>
            <w:tcW w:w="104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148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color w:val="auto"/>
                <w:w w:val="86"/>
              </w:rPr>
              <w:t>Proposed</w:t>
            </w:r>
          </w:p>
        </w:tc>
        <w:tc>
          <w:tcPr>
            <w:tcW w:w="132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r>
      <w:tr>
        <w:trPr>
          <w:trHeight w:val="135"/>
        </w:trPr>
        <w:tc>
          <w:tcPr>
            <w:tcW w:w="1360" w:type="dxa"/>
            <w:vAlign w:val="bottom"/>
            <w:tcBorders>
              <w:left w:val="single" w:sz="8" w:color="auto"/>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48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Maximum</w:t>
            </w:r>
          </w:p>
        </w:tc>
        <w:tc>
          <w:tcPr>
            <w:tcW w:w="13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6"/>
              </w:rPr>
              <w:t>Proposed</w:t>
            </w:r>
          </w:p>
        </w:tc>
        <w:tc>
          <w:tcPr>
            <w:tcW w:w="9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r>
      <w:tr>
        <w:trPr>
          <w:trHeight w:val="136"/>
        </w:trPr>
        <w:tc>
          <w:tcPr>
            <w:tcW w:w="1360" w:type="dxa"/>
            <w:vAlign w:val="bottom"/>
            <w:tcBorders>
              <w:left w:val="single" w:sz="8" w:color="auto"/>
              <w:right w:val="single" w:sz="8" w:color="auto"/>
            </w:tcBorders>
          </w:tcPr>
          <w:p>
            <w:pPr>
              <w:spacing w:after="0"/>
              <w:rPr>
                <w:sz w:val="11"/>
                <w:szCs w:val="11"/>
                <w:color w:val="auto"/>
              </w:rPr>
            </w:pPr>
          </w:p>
        </w:tc>
        <w:tc>
          <w:tcPr>
            <w:tcW w:w="104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w w:val="87"/>
              </w:rPr>
              <w:t>Securities</w:t>
            </w:r>
          </w:p>
        </w:tc>
        <w:tc>
          <w:tcPr>
            <w:tcW w:w="76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w w:val="89"/>
              </w:rPr>
              <w:t>Fee</w:t>
            </w:r>
          </w:p>
        </w:tc>
        <w:tc>
          <w:tcPr>
            <w:tcW w:w="148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w w:val="89"/>
              </w:rPr>
              <w:t>Amount</w:t>
            </w:r>
          </w:p>
        </w:tc>
        <w:tc>
          <w:tcPr>
            <w:tcW w:w="76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w w:val="95"/>
              </w:rPr>
              <w:t>Offering</w:t>
            </w:r>
          </w:p>
        </w:tc>
        <w:tc>
          <w:tcPr>
            <w:tcW w:w="132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w w:val="92"/>
              </w:rPr>
              <w:t>Maximum</w:t>
            </w:r>
          </w:p>
        </w:tc>
        <w:tc>
          <w:tcPr>
            <w:tcW w:w="9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w w:val="94"/>
              </w:rPr>
              <w:t>Amount of</w:t>
            </w:r>
          </w:p>
        </w:tc>
      </w:tr>
      <w:tr>
        <w:trPr>
          <w:trHeight w:val="135"/>
        </w:trPr>
        <w:tc>
          <w:tcPr>
            <w:tcW w:w="1360" w:type="dxa"/>
            <w:vAlign w:val="bottom"/>
            <w:tcBorders>
              <w:left w:val="single" w:sz="8" w:color="auto"/>
              <w:right w:val="single" w:sz="8" w:color="auto"/>
            </w:tcBorders>
          </w:tcPr>
          <w:p>
            <w:pPr>
              <w:spacing w:after="0"/>
              <w:rPr>
                <w:sz w:val="11"/>
                <w:szCs w:val="11"/>
                <w:color w:val="auto"/>
              </w:rPr>
            </w:pPr>
          </w:p>
        </w:tc>
        <w:tc>
          <w:tcPr>
            <w:tcW w:w="10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79"/>
              </w:rPr>
              <w:t>Class</w:t>
            </w:r>
          </w:p>
        </w:tc>
        <w:tc>
          <w:tcPr>
            <w:tcW w:w="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0"/>
              </w:rPr>
              <w:t>Calculation</w:t>
            </w:r>
          </w:p>
        </w:tc>
        <w:tc>
          <w:tcPr>
            <w:tcW w:w="14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2"/>
              </w:rPr>
              <w:t>to be</w:t>
            </w:r>
          </w:p>
        </w:tc>
        <w:tc>
          <w:tcPr>
            <w:tcW w:w="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5"/>
              </w:rPr>
              <w:t>Price Per</w:t>
            </w:r>
          </w:p>
        </w:tc>
        <w:tc>
          <w:tcPr>
            <w:tcW w:w="13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1"/>
              </w:rPr>
              <w:t>Aggregate Offering</w:t>
            </w: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0"/>
              </w:rPr>
              <w:t>Fee</w:t>
            </w: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6"/>
              </w:rPr>
              <w:t>Registration</w:t>
            </w:r>
          </w:p>
        </w:tc>
      </w:tr>
      <w:tr>
        <w:trPr>
          <w:trHeight w:val="176"/>
        </w:trPr>
        <w:tc>
          <w:tcPr>
            <w:tcW w:w="1360" w:type="dxa"/>
            <w:vAlign w:val="bottom"/>
            <w:tcBorders>
              <w:left w:val="single" w:sz="8" w:color="auto"/>
              <w:bottom w:val="single" w:sz="8" w:color="auto"/>
              <w:right w:val="single" w:sz="8" w:color="auto"/>
            </w:tcBorders>
          </w:tcPr>
          <w:p>
            <w:pPr>
              <w:jc w:val="center"/>
              <w:ind w:left="55"/>
              <w:spacing w:after="0"/>
              <w:rPr>
                <w:sz w:val="20"/>
                <w:szCs w:val="20"/>
                <w:color w:val="auto"/>
              </w:rPr>
            </w:pPr>
            <w:r>
              <w:rPr>
                <w:rFonts w:ascii="Arial" w:cs="Arial" w:eastAsia="Arial" w:hAnsi="Arial"/>
                <w:sz w:val="13"/>
                <w:szCs w:val="13"/>
                <w:color w:val="auto"/>
                <w:w w:val="88"/>
              </w:rPr>
              <w:t>Security Type</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Type</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Rule</w:t>
            </w:r>
          </w:p>
        </w:tc>
        <w:tc>
          <w:tcPr>
            <w:tcW w:w="148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13"/>
                <w:szCs w:val="13"/>
                <w:color w:val="auto"/>
                <w:w w:val="82"/>
              </w:rPr>
              <w:t>Registered</w:t>
            </w:r>
            <w:r>
              <w:rPr>
                <w:rFonts w:ascii="Arial" w:cs="Arial" w:eastAsia="Arial" w:hAnsi="Arial"/>
                <w:sz w:val="18"/>
                <w:szCs w:val="18"/>
                <w:color w:val="auto"/>
                <w:w w:val="82"/>
                <w:vertAlign w:val="superscript"/>
              </w:rPr>
              <w:t>(1)</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0"/>
              </w:rPr>
              <w:t>Share</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7"/>
              </w:rPr>
              <w:t>Price</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79"/>
              </w:rPr>
              <w:t>Rate</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Fee</w:t>
            </w:r>
          </w:p>
        </w:tc>
      </w:tr>
      <w:tr>
        <w:trPr>
          <w:trHeight w:val="209"/>
        </w:trPr>
        <w:tc>
          <w:tcPr>
            <w:tcW w:w="1360" w:type="dxa"/>
            <w:vAlign w:val="bottom"/>
            <w:tcBorders>
              <w:left w:val="single" w:sz="8" w:color="auto"/>
              <w:right w:val="single" w:sz="8" w:color="auto"/>
            </w:tcBorders>
          </w:tcPr>
          <w:p>
            <w:pPr>
              <w:jc w:val="center"/>
              <w:ind w:left="75"/>
              <w:spacing w:after="0"/>
              <w:rPr>
                <w:sz w:val="20"/>
                <w:szCs w:val="20"/>
                <w:color w:val="auto"/>
              </w:rPr>
            </w:pPr>
            <w:r>
              <w:rPr>
                <w:rFonts w:ascii="Arial" w:cs="Arial" w:eastAsia="Arial" w:hAnsi="Arial"/>
                <w:sz w:val="18"/>
                <w:szCs w:val="18"/>
                <w:color w:val="auto"/>
                <w:w w:val="95"/>
              </w:rPr>
              <w:t>Equity</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Common</w:t>
            </w:r>
          </w:p>
        </w:tc>
        <w:tc>
          <w:tcPr>
            <w:tcW w:w="7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r>
      <w:tr>
        <w:trPr>
          <w:trHeight w:val="216"/>
        </w:trPr>
        <w:tc>
          <w:tcPr>
            <w:tcW w:w="1360" w:type="dxa"/>
            <w:vAlign w:val="bottom"/>
            <w:tcBorders>
              <w:left w:val="single" w:sz="8" w:color="auto"/>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Stock</w:t>
            </w:r>
          </w:p>
        </w:tc>
        <w:tc>
          <w:tcPr>
            <w:tcW w:w="7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r>
      <w:tr>
        <w:trPr>
          <w:trHeight w:val="216"/>
        </w:trPr>
        <w:tc>
          <w:tcPr>
            <w:tcW w:w="1360" w:type="dxa"/>
            <w:vAlign w:val="bottom"/>
            <w:tcBorders>
              <w:left w:val="single" w:sz="8" w:color="auto"/>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$0.001 par</w:t>
            </w:r>
          </w:p>
        </w:tc>
        <w:tc>
          <w:tcPr>
            <w:tcW w:w="7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r>
      <w:tr>
        <w:trPr>
          <w:trHeight w:val="216"/>
        </w:trPr>
        <w:tc>
          <w:tcPr>
            <w:tcW w:w="1360" w:type="dxa"/>
            <w:vAlign w:val="bottom"/>
            <w:tcBorders>
              <w:left w:val="single" w:sz="8" w:color="auto"/>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value,</w:t>
            </w:r>
          </w:p>
        </w:tc>
        <w:tc>
          <w:tcPr>
            <w:tcW w:w="7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r>
      <w:tr>
        <w:trPr>
          <w:trHeight w:val="216"/>
        </w:trPr>
        <w:tc>
          <w:tcPr>
            <w:tcW w:w="1360" w:type="dxa"/>
            <w:vAlign w:val="bottom"/>
            <w:tcBorders>
              <w:left w:val="single" w:sz="8" w:color="auto"/>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reserved for</w:t>
            </w:r>
          </w:p>
        </w:tc>
        <w:tc>
          <w:tcPr>
            <w:tcW w:w="7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r>
      <w:tr>
        <w:trPr>
          <w:trHeight w:val="216"/>
        </w:trPr>
        <w:tc>
          <w:tcPr>
            <w:tcW w:w="1360" w:type="dxa"/>
            <w:vAlign w:val="bottom"/>
            <w:tcBorders>
              <w:left w:val="single" w:sz="8" w:color="auto"/>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issuance</w:t>
            </w:r>
          </w:p>
        </w:tc>
        <w:tc>
          <w:tcPr>
            <w:tcW w:w="7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r>
      <w:tr>
        <w:trPr>
          <w:trHeight w:val="216"/>
        </w:trPr>
        <w:tc>
          <w:tcPr>
            <w:tcW w:w="1360" w:type="dxa"/>
            <w:vAlign w:val="bottom"/>
            <w:tcBorders>
              <w:left w:val="single" w:sz="8" w:color="auto"/>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pursuant to</w:t>
            </w:r>
          </w:p>
        </w:tc>
        <w:tc>
          <w:tcPr>
            <w:tcW w:w="7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r>
      <w:tr>
        <w:trPr>
          <w:trHeight w:val="216"/>
        </w:trPr>
        <w:tc>
          <w:tcPr>
            <w:tcW w:w="1360" w:type="dxa"/>
            <w:vAlign w:val="bottom"/>
            <w:tcBorders>
              <w:left w:val="single" w:sz="8" w:color="auto"/>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Amended</w:t>
            </w:r>
          </w:p>
        </w:tc>
        <w:tc>
          <w:tcPr>
            <w:tcW w:w="7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r>
      <w:tr>
        <w:trPr>
          <w:trHeight w:val="216"/>
        </w:trPr>
        <w:tc>
          <w:tcPr>
            <w:tcW w:w="1360" w:type="dxa"/>
            <w:vAlign w:val="bottom"/>
            <w:tcBorders>
              <w:left w:val="single" w:sz="8" w:color="auto"/>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and Restated</w:t>
            </w:r>
          </w:p>
        </w:tc>
        <w:tc>
          <w:tcPr>
            <w:tcW w:w="7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r>
      <w:tr>
        <w:trPr>
          <w:trHeight w:val="216"/>
        </w:trPr>
        <w:tc>
          <w:tcPr>
            <w:tcW w:w="1360" w:type="dxa"/>
            <w:vAlign w:val="bottom"/>
            <w:tcBorders>
              <w:left w:val="single" w:sz="8" w:color="auto"/>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2014 Equity</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Rules</w:t>
            </w:r>
          </w:p>
        </w:tc>
        <w:tc>
          <w:tcPr>
            <w:tcW w:w="148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r>
      <w:tr>
        <w:trPr>
          <w:trHeight w:val="216"/>
        </w:trPr>
        <w:tc>
          <w:tcPr>
            <w:tcW w:w="1360" w:type="dxa"/>
            <w:vAlign w:val="bottom"/>
            <w:tcBorders>
              <w:left w:val="single" w:sz="8" w:color="auto"/>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Incentive</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457(c)</w:t>
            </w:r>
          </w:p>
        </w:tc>
        <w:tc>
          <w:tcPr>
            <w:tcW w:w="148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r>
      <w:tr>
        <w:trPr>
          <w:trHeight w:val="244"/>
        </w:trPr>
        <w:tc>
          <w:tcPr>
            <w:tcW w:w="1360" w:type="dxa"/>
            <w:vAlign w:val="bottom"/>
            <w:tcBorders>
              <w:left w:val="single" w:sz="8" w:color="auto"/>
              <w:bottom w:val="single" w:sz="8" w:color="auto"/>
              <w:right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Plan</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and (h)</w:t>
            </w:r>
          </w:p>
        </w:tc>
        <w:tc>
          <w:tcPr>
            <w:tcW w:w="1480" w:type="dxa"/>
            <w:vAlign w:val="bottom"/>
            <w:tcBorders>
              <w:bottom w:val="single" w:sz="8" w:color="auto"/>
              <w:right w:val="single" w:sz="8" w:color="auto"/>
            </w:tcBorders>
          </w:tcPr>
          <w:p>
            <w:pPr>
              <w:jc w:val="center"/>
              <w:spacing w:after="0" w:line="243" w:lineRule="exact"/>
              <w:rPr>
                <w:sz w:val="20"/>
                <w:szCs w:val="20"/>
                <w:color w:val="auto"/>
              </w:rPr>
            </w:pPr>
            <w:r>
              <w:rPr>
                <w:rFonts w:ascii="Arial" w:cs="Arial" w:eastAsia="Arial" w:hAnsi="Arial"/>
                <w:sz w:val="18"/>
                <w:szCs w:val="18"/>
                <w:color w:val="auto"/>
                <w:w w:val="85"/>
              </w:rPr>
              <w:t xml:space="preserve">238,329 shares </w:t>
            </w:r>
            <w:r>
              <w:rPr>
                <w:rFonts w:ascii="Arial" w:cs="Arial" w:eastAsia="Arial" w:hAnsi="Arial"/>
                <w:sz w:val="26"/>
                <w:szCs w:val="26"/>
                <w:color w:val="auto"/>
                <w:w w:val="85"/>
                <w:vertAlign w:val="superscript"/>
              </w:rPr>
              <w:t>(2)</w:t>
            </w:r>
          </w:p>
        </w:tc>
        <w:tc>
          <w:tcPr>
            <w:tcW w:w="760" w:type="dxa"/>
            <w:vAlign w:val="bottom"/>
            <w:tcBorders>
              <w:bottom w:val="single" w:sz="8" w:color="auto"/>
              <w:right w:val="single" w:sz="8" w:color="auto"/>
            </w:tcBorders>
          </w:tcPr>
          <w:p>
            <w:pPr>
              <w:jc w:val="center"/>
              <w:spacing w:after="0" w:line="243" w:lineRule="exact"/>
              <w:rPr>
                <w:sz w:val="20"/>
                <w:szCs w:val="20"/>
                <w:color w:val="auto"/>
              </w:rPr>
            </w:pPr>
            <w:r>
              <w:rPr>
                <w:rFonts w:ascii="Arial" w:cs="Arial" w:eastAsia="Arial" w:hAnsi="Arial"/>
                <w:sz w:val="18"/>
                <w:szCs w:val="18"/>
                <w:color w:val="auto"/>
                <w:w w:val="91"/>
              </w:rPr>
              <w:t>$2.075</w:t>
            </w:r>
            <w:r>
              <w:rPr>
                <w:rFonts w:ascii="Arial" w:cs="Arial" w:eastAsia="Arial" w:hAnsi="Arial"/>
                <w:sz w:val="26"/>
                <w:szCs w:val="26"/>
                <w:color w:val="auto"/>
                <w:w w:val="91"/>
                <w:vertAlign w:val="superscript"/>
              </w:rPr>
              <w:t>(4)</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$494,532.675</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0.0001102</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$54.50</w:t>
            </w:r>
          </w:p>
        </w:tc>
      </w:tr>
      <w:tr>
        <w:trPr>
          <w:trHeight w:val="209"/>
        </w:trPr>
        <w:tc>
          <w:tcPr>
            <w:tcW w:w="1360" w:type="dxa"/>
            <w:vAlign w:val="bottom"/>
            <w:tcBorders>
              <w:left w:val="single" w:sz="8" w:color="auto"/>
              <w:right w:val="single" w:sz="8" w:color="auto"/>
            </w:tcBorders>
          </w:tcPr>
          <w:p>
            <w:pPr>
              <w:jc w:val="center"/>
              <w:ind w:left="75"/>
              <w:spacing w:after="0"/>
              <w:rPr>
                <w:sz w:val="20"/>
                <w:szCs w:val="20"/>
                <w:color w:val="auto"/>
              </w:rPr>
            </w:pPr>
            <w:r>
              <w:rPr>
                <w:rFonts w:ascii="Arial" w:cs="Arial" w:eastAsia="Arial" w:hAnsi="Arial"/>
                <w:sz w:val="18"/>
                <w:szCs w:val="18"/>
                <w:color w:val="auto"/>
                <w:w w:val="95"/>
              </w:rPr>
              <w:t>Equity</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Common</w:t>
            </w:r>
          </w:p>
        </w:tc>
        <w:tc>
          <w:tcPr>
            <w:tcW w:w="7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r>
      <w:tr>
        <w:trPr>
          <w:trHeight w:val="216"/>
        </w:trPr>
        <w:tc>
          <w:tcPr>
            <w:tcW w:w="1360" w:type="dxa"/>
            <w:vAlign w:val="bottom"/>
            <w:tcBorders>
              <w:left w:val="single" w:sz="8" w:color="auto"/>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Stock</w:t>
            </w:r>
          </w:p>
        </w:tc>
        <w:tc>
          <w:tcPr>
            <w:tcW w:w="7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r>
      <w:tr>
        <w:trPr>
          <w:trHeight w:val="216"/>
        </w:trPr>
        <w:tc>
          <w:tcPr>
            <w:tcW w:w="1360" w:type="dxa"/>
            <w:vAlign w:val="bottom"/>
            <w:tcBorders>
              <w:left w:val="single" w:sz="8" w:color="auto"/>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$0.001 par</w:t>
            </w:r>
          </w:p>
        </w:tc>
        <w:tc>
          <w:tcPr>
            <w:tcW w:w="7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r>
      <w:tr>
        <w:trPr>
          <w:trHeight w:val="216"/>
        </w:trPr>
        <w:tc>
          <w:tcPr>
            <w:tcW w:w="1360" w:type="dxa"/>
            <w:vAlign w:val="bottom"/>
            <w:tcBorders>
              <w:left w:val="single" w:sz="8" w:color="auto"/>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value,</w:t>
            </w:r>
          </w:p>
        </w:tc>
        <w:tc>
          <w:tcPr>
            <w:tcW w:w="7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r>
      <w:tr>
        <w:trPr>
          <w:trHeight w:val="216"/>
        </w:trPr>
        <w:tc>
          <w:tcPr>
            <w:tcW w:w="1360" w:type="dxa"/>
            <w:vAlign w:val="bottom"/>
            <w:tcBorders>
              <w:left w:val="single" w:sz="8" w:color="auto"/>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reserved for</w:t>
            </w:r>
          </w:p>
        </w:tc>
        <w:tc>
          <w:tcPr>
            <w:tcW w:w="7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r>
      <w:tr>
        <w:trPr>
          <w:trHeight w:val="216"/>
        </w:trPr>
        <w:tc>
          <w:tcPr>
            <w:tcW w:w="1360" w:type="dxa"/>
            <w:vAlign w:val="bottom"/>
            <w:tcBorders>
              <w:left w:val="single" w:sz="8" w:color="auto"/>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issuance</w:t>
            </w:r>
          </w:p>
        </w:tc>
        <w:tc>
          <w:tcPr>
            <w:tcW w:w="7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r>
      <w:tr>
        <w:trPr>
          <w:trHeight w:val="216"/>
        </w:trPr>
        <w:tc>
          <w:tcPr>
            <w:tcW w:w="1360" w:type="dxa"/>
            <w:vAlign w:val="bottom"/>
            <w:tcBorders>
              <w:left w:val="single" w:sz="8" w:color="auto"/>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pursuant to</w:t>
            </w:r>
          </w:p>
        </w:tc>
        <w:tc>
          <w:tcPr>
            <w:tcW w:w="7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r>
      <w:tr>
        <w:trPr>
          <w:trHeight w:val="216"/>
        </w:trPr>
        <w:tc>
          <w:tcPr>
            <w:tcW w:w="1360" w:type="dxa"/>
            <w:vAlign w:val="bottom"/>
            <w:tcBorders>
              <w:left w:val="single" w:sz="8" w:color="auto"/>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2020</w:t>
            </w:r>
          </w:p>
        </w:tc>
        <w:tc>
          <w:tcPr>
            <w:tcW w:w="7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r>
      <w:tr>
        <w:trPr>
          <w:trHeight w:val="216"/>
        </w:trPr>
        <w:tc>
          <w:tcPr>
            <w:tcW w:w="1360" w:type="dxa"/>
            <w:vAlign w:val="bottom"/>
            <w:tcBorders>
              <w:left w:val="single" w:sz="8" w:color="auto"/>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Inducement</w:t>
            </w:r>
          </w:p>
        </w:tc>
        <w:tc>
          <w:tcPr>
            <w:tcW w:w="7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r>
      <w:tr>
        <w:trPr>
          <w:trHeight w:val="216"/>
        </w:trPr>
        <w:tc>
          <w:tcPr>
            <w:tcW w:w="1360" w:type="dxa"/>
            <w:vAlign w:val="bottom"/>
            <w:tcBorders>
              <w:left w:val="single" w:sz="8" w:color="auto"/>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Rules</w:t>
            </w:r>
          </w:p>
        </w:tc>
        <w:tc>
          <w:tcPr>
            <w:tcW w:w="148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r>
      <w:tr>
        <w:trPr>
          <w:trHeight w:val="216"/>
        </w:trPr>
        <w:tc>
          <w:tcPr>
            <w:tcW w:w="1360" w:type="dxa"/>
            <w:vAlign w:val="bottom"/>
            <w:tcBorders>
              <w:left w:val="single" w:sz="8" w:color="auto"/>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Incentive</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457(c)</w:t>
            </w:r>
          </w:p>
        </w:tc>
        <w:tc>
          <w:tcPr>
            <w:tcW w:w="148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r>
      <w:tr>
        <w:trPr>
          <w:trHeight w:val="244"/>
        </w:trPr>
        <w:tc>
          <w:tcPr>
            <w:tcW w:w="1360" w:type="dxa"/>
            <w:vAlign w:val="bottom"/>
            <w:tcBorders>
              <w:left w:val="single" w:sz="8" w:color="auto"/>
              <w:bottom w:val="single" w:sz="8" w:color="auto"/>
              <w:right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Plan</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and (h)</w:t>
            </w:r>
          </w:p>
        </w:tc>
        <w:tc>
          <w:tcPr>
            <w:tcW w:w="1480" w:type="dxa"/>
            <w:vAlign w:val="bottom"/>
            <w:tcBorders>
              <w:bottom w:val="single" w:sz="8" w:color="auto"/>
              <w:right w:val="single" w:sz="8" w:color="auto"/>
            </w:tcBorders>
          </w:tcPr>
          <w:p>
            <w:pPr>
              <w:jc w:val="center"/>
              <w:spacing w:after="0" w:line="243" w:lineRule="exact"/>
              <w:rPr>
                <w:sz w:val="20"/>
                <w:szCs w:val="20"/>
                <w:color w:val="auto"/>
              </w:rPr>
            </w:pPr>
            <w:r>
              <w:rPr>
                <w:rFonts w:ascii="Arial" w:cs="Arial" w:eastAsia="Arial" w:hAnsi="Arial"/>
                <w:sz w:val="18"/>
                <w:szCs w:val="18"/>
                <w:color w:val="auto"/>
                <w:w w:val="85"/>
              </w:rPr>
              <w:t xml:space="preserve">500,000 shares </w:t>
            </w:r>
            <w:r>
              <w:rPr>
                <w:rFonts w:ascii="Arial" w:cs="Arial" w:eastAsia="Arial" w:hAnsi="Arial"/>
                <w:sz w:val="26"/>
                <w:szCs w:val="26"/>
                <w:color w:val="auto"/>
                <w:w w:val="85"/>
                <w:vertAlign w:val="superscript"/>
              </w:rPr>
              <w:t>(3)</w:t>
            </w:r>
          </w:p>
        </w:tc>
        <w:tc>
          <w:tcPr>
            <w:tcW w:w="760" w:type="dxa"/>
            <w:vAlign w:val="bottom"/>
            <w:tcBorders>
              <w:bottom w:val="single" w:sz="8" w:color="auto"/>
              <w:right w:val="single" w:sz="8" w:color="auto"/>
            </w:tcBorders>
          </w:tcPr>
          <w:p>
            <w:pPr>
              <w:jc w:val="center"/>
              <w:spacing w:after="0" w:line="243" w:lineRule="exact"/>
              <w:rPr>
                <w:sz w:val="20"/>
                <w:szCs w:val="20"/>
                <w:color w:val="auto"/>
              </w:rPr>
            </w:pPr>
            <w:r>
              <w:rPr>
                <w:rFonts w:ascii="Arial" w:cs="Arial" w:eastAsia="Arial" w:hAnsi="Arial"/>
                <w:sz w:val="18"/>
                <w:szCs w:val="18"/>
                <w:color w:val="auto"/>
                <w:w w:val="99"/>
              </w:rPr>
              <w:t>2.075</w:t>
            </w:r>
            <w:r>
              <w:rPr>
                <w:rFonts w:ascii="Arial" w:cs="Arial" w:eastAsia="Arial" w:hAnsi="Arial"/>
                <w:sz w:val="26"/>
                <w:szCs w:val="26"/>
                <w:color w:val="auto"/>
                <w:w w:val="99"/>
                <w:vertAlign w:val="superscript"/>
              </w:rPr>
              <w:t>(4)</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$1,037,500.00</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0.0001102</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$114.34</w:t>
            </w:r>
          </w:p>
        </w:tc>
      </w:tr>
      <w:tr>
        <w:trPr>
          <w:trHeight w:val="230"/>
        </w:trPr>
        <w:tc>
          <w:tcPr>
            <w:tcW w:w="3160" w:type="dxa"/>
            <w:vAlign w:val="bottom"/>
            <w:tcBorders>
              <w:left w:val="single" w:sz="8" w:color="auto"/>
              <w:bottom w:val="single" w:sz="8" w:color="auto"/>
            </w:tcBorders>
            <w:gridSpan w:val="3"/>
          </w:tcPr>
          <w:p>
            <w:pPr>
              <w:jc w:val="center"/>
              <w:ind w:left="35"/>
              <w:spacing w:after="0"/>
              <w:rPr>
                <w:sz w:val="20"/>
                <w:szCs w:val="20"/>
                <w:color w:val="auto"/>
              </w:rPr>
            </w:pPr>
            <w:r>
              <w:rPr>
                <w:rFonts w:ascii="Arial" w:cs="Arial" w:eastAsia="Arial" w:hAnsi="Arial"/>
                <w:sz w:val="18"/>
                <w:szCs w:val="18"/>
                <w:color w:val="auto"/>
                <w:w w:val="97"/>
              </w:rPr>
              <w:t>TOTAL OFFERING AMOUNT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738,329 shares</w:t>
            </w:r>
          </w:p>
        </w:tc>
        <w:tc>
          <w:tcPr>
            <w:tcW w:w="7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$1,532,032.675</w:t>
            </w:r>
          </w:p>
        </w:tc>
        <w:tc>
          <w:tcPr>
            <w:tcW w:w="92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$168.84</w:t>
            </w:r>
          </w:p>
        </w:tc>
      </w:tr>
      <w:tr>
        <w:trPr>
          <w:trHeight w:val="243"/>
        </w:trPr>
        <w:tc>
          <w:tcPr>
            <w:tcW w:w="3160" w:type="dxa"/>
            <w:vAlign w:val="bottom"/>
            <w:tcBorders>
              <w:left w:val="single" w:sz="8" w:color="auto"/>
              <w:bottom w:val="single" w:sz="8" w:color="auto"/>
            </w:tcBorders>
            <w:gridSpan w:val="3"/>
          </w:tcPr>
          <w:p>
            <w:pPr>
              <w:jc w:val="center"/>
              <w:ind w:left="55"/>
              <w:spacing w:after="0" w:line="242" w:lineRule="exact"/>
              <w:rPr>
                <w:sz w:val="20"/>
                <w:szCs w:val="20"/>
                <w:color w:val="auto"/>
              </w:rPr>
            </w:pPr>
            <w:r>
              <w:rPr>
                <w:rFonts w:ascii="Arial" w:cs="Arial" w:eastAsia="Arial" w:hAnsi="Arial"/>
                <w:sz w:val="18"/>
                <w:szCs w:val="18"/>
                <w:color w:val="auto"/>
                <w:w w:val="91"/>
              </w:rPr>
              <w:t xml:space="preserve">TOTAL FEE OFFSETS </w:t>
            </w:r>
            <w:r>
              <w:rPr>
                <w:rFonts w:ascii="Arial" w:cs="Arial" w:eastAsia="Arial" w:hAnsi="Arial"/>
                <w:sz w:val="26"/>
                <w:szCs w:val="26"/>
                <w:color w:val="auto"/>
                <w:w w:val="91"/>
                <w:vertAlign w:val="superscript"/>
              </w:rPr>
              <w:t>(5)</w:t>
            </w:r>
          </w:p>
        </w:tc>
        <w:tc>
          <w:tcPr>
            <w:tcW w:w="148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1320" w:type="dxa"/>
            <w:vAlign w:val="bottom"/>
            <w:tcBorders>
              <w:bottom w:val="single" w:sz="8" w:color="auto"/>
              <w:right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right w:val="single" w:sz="8" w:color="auto"/>
            </w:tcBorders>
          </w:tcPr>
          <w:p>
            <w:pPr>
              <w:spacing w:after="0"/>
              <w:rPr>
                <w:sz w:val="21"/>
                <w:szCs w:val="21"/>
                <w:color w:val="auto"/>
              </w:rPr>
            </w:pPr>
          </w:p>
        </w:tc>
      </w:tr>
      <w:tr>
        <w:trPr>
          <w:trHeight w:val="230"/>
        </w:trPr>
        <w:tc>
          <w:tcPr>
            <w:tcW w:w="2400" w:type="dxa"/>
            <w:vAlign w:val="bottom"/>
            <w:tcBorders>
              <w:left w:val="single" w:sz="8" w:color="auto"/>
              <w:bottom w:val="single" w:sz="8" w:color="auto"/>
            </w:tcBorders>
            <w:gridSpan w:val="2"/>
          </w:tcPr>
          <w:p>
            <w:pPr>
              <w:jc w:val="center"/>
              <w:ind w:left="795"/>
              <w:spacing w:after="0"/>
              <w:rPr>
                <w:sz w:val="20"/>
                <w:szCs w:val="20"/>
                <w:color w:val="auto"/>
              </w:rPr>
            </w:pPr>
            <w:r>
              <w:rPr>
                <w:rFonts w:ascii="Arial" w:cs="Arial" w:eastAsia="Arial" w:hAnsi="Arial"/>
                <w:sz w:val="18"/>
                <w:szCs w:val="18"/>
                <w:color w:val="auto"/>
                <w:w w:val="94"/>
              </w:rPr>
              <w:t>NET FEE DUE</w:t>
            </w:r>
          </w:p>
        </w:tc>
        <w:tc>
          <w:tcPr>
            <w:tcW w:w="760" w:type="dxa"/>
            <w:vAlign w:val="bottom"/>
            <w:tcBorders>
              <w:bottom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$168.84</w:t>
            </w:r>
          </w:p>
        </w:tc>
      </w:tr>
    </w:tbl>
    <w:p>
      <w:pPr>
        <w:spacing w:after="0" w:line="229" w:lineRule="exact"/>
        <w:rPr>
          <w:sz w:val="20"/>
          <w:szCs w:val="20"/>
          <w:color w:val="auto"/>
        </w:rPr>
      </w:pPr>
    </w:p>
    <w:p>
      <w:pPr>
        <w:ind w:left="424" w:right="100" w:hanging="424"/>
        <w:spacing w:after="0" w:line="253"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Pursuant to Rule 416(a) of the Securities Act of 1933, as amended (the “Securities Act”), this Registration Statement covers any additional shares of the Registrant’s common stock that become issuable under the Registrant’s Amended and Restated 2014 Equity Incentive Plan (the “2014 Plan”) and 2020 Inducement Equity Incentive Plan (the “Inducement Plan”), by reason of any stock dividend, stock split, recapitalization or other similar transaction effected without the Registrant’s receipt of consideration that results in an increase in the number of outstanding shares of common stock.</w:t>
      </w:r>
    </w:p>
    <w:p>
      <w:pPr>
        <w:spacing w:after="0" w:line="3" w:lineRule="exact"/>
        <w:rPr>
          <w:rFonts w:ascii="Arial" w:cs="Arial" w:eastAsia="Arial" w:hAnsi="Arial"/>
          <w:sz w:val="18"/>
          <w:szCs w:val="18"/>
          <w:color w:val="auto"/>
        </w:rPr>
      </w:pPr>
    </w:p>
    <w:p>
      <w:pPr>
        <w:ind w:left="424" w:right="240" w:hanging="424"/>
        <w:spacing w:after="0" w:line="250"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an automatic increase of 238,329 shares of the Registrant’s common stock reserved for issuance under, and which annual increase is provided for in, the 2014 Plan.</w:t>
      </w:r>
    </w:p>
    <w:p>
      <w:pPr>
        <w:ind w:left="424" w:right="420" w:hanging="424"/>
        <w:spacing w:after="0" w:line="281" w:lineRule="auto"/>
        <w:tabs>
          <w:tab w:leader="none" w:pos="424"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500,000 shares of the Registrant’s common stock reserved for issuance under the Inducement Plan, all of which were reserved for issuance on February 17, 2023 as the result of an increase to the Inducement Plan approved by the Registrant’s board of directors.</w:t>
      </w:r>
    </w:p>
    <w:p>
      <w:pPr>
        <w:spacing w:after="0" w:line="1" w:lineRule="exact"/>
        <w:rPr>
          <w:rFonts w:ascii="Arial" w:cs="Arial" w:eastAsia="Arial" w:hAnsi="Arial"/>
          <w:sz w:val="16"/>
          <w:szCs w:val="16"/>
          <w:color w:val="auto"/>
        </w:rPr>
      </w:pPr>
    </w:p>
    <w:p>
      <w:pPr>
        <w:ind w:left="424" w:right="220" w:hanging="424"/>
        <w:spacing w:after="0" w:line="250"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Estimated in accordance with Rules 457(c) and (h) of the Securities Act solely for the purpose of calculating the registration fee on the basis of $2.075 per share, which represents the average of the high and low prices on the common stock as reported on the Nasdaq Global Select Market on March 20, 2023.</w:t>
      </w:r>
    </w:p>
    <w:p>
      <w:pPr>
        <w:spacing w:after="0" w:line="1" w:lineRule="exact"/>
        <w:rPr>
          <w:rFonts w:ascii="Arial" w:cs="Arial" w:eastAsia="Arial" w:hAnsi="Arial"/>
          <w:sz w:val="18"/>
          <w:szCs w:val="18"/>
          <w:color w:val="auto"/>
        </w:rPr>
      </w:pPr>
    </w:p>
    <w:p>
      <w:pPr>
        <w:ind w:left="424" w:hanging="424"/>
        <w:spacing w:after="0"/>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 does not have any fee offsets.</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3">
    <w:nsid w:val="507ED7AB"/>
    <w:multiLevelType w:val="hybridMultilevel"/>
    <w:lvl w:ilvl="0">
      <w:lvlJc w:val="left"/>
      <w:lvlText w:val="(%1)"/>
      <w:numFmt w:val="lowerRoman"/>
      <w:start w:val="3"/>
    </w:lvl>
  </w:abstractNum>
  <w:abstractNum w:abstractNumId="4">
    <w:nsid w:val="2EB141F2"/>
    <w:multiLevelType w:val="hybridMultilevel"/>
    <w:lvl w:ilvl="0">
      <w:lvlJc w:val="left"/>
      <w:lvlText w:val="%1"/>
      <w:numFmt w:val="upperLetter"/>
      <w:start w:val="1"/>
    </w:lvl>
    <w:lvl w:ilvl="1">
      <w:lvlJc w:val="left"/>
      <w:lvlText w:val="(%2)"/>
      <w:numFmt w:val="decimal"/>
      <w:start w:val="2"/>
    </w:lvl>
  </w:abstractNum>
  <w:abstractNum w:abstractNumId="5">
    <w:nsid w:val="41B71EFB"/>
    <w:multiLevelType w:val="hybridMultilevel"/>
    <w:lvl w:ilvl="0">
      <w:lvlJc w:val="left"/>
      <w:lvlText w:val="%1."/>
      <w:numFmt w:val="upperLetter"/>
      <w:start w:val="2"/>
    </w:lvl>
    <w:lvl w:ilvl="1">
      <w:lvlJc w:val="left"/>
      <w:lvlText w:val="%2"/>
      <w:numFmt w:val="decimal"/>
      <w:start w:val="1"/>
    </w:lvl>
  </w:abstractNum>
  <w:abstractNum w:abstractNumId="6">
    <w:nsid w:val="79E2A9E3"/>
    <w:multiLevelType w:val="hybridMultilevel"/>
    <w:lvl w:ilvl="0">
      <w:lvlJc w:val="left"/>
      <w:lvlText w:val="%1."/>
      <w:numFmt w:val="upperLetter"/>
      <w:start w:val="3"/>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0"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jpeg"/><Relationship Id="rId18" Type="http://schemas.openxmlformats.org/officeDocument/2006/relationships/hyperlink" Target="http://www.sec.gov/ix?doc=/Archives/edgar/data/1484565/000095017023009211/slno-20221231.htm" TargetMode="External"/><Relationship Id="rId19" Type="http://schemas.openxmlformats.org/officeDocument/2006/relationships/hyperlink" Target="http://www.sec.gov/Archives/edgar/data/1484565/000156459020008705/slno-ex429_382.htm" TargetMode="External"/><Relationship Id="rId21" Type="http://schemas.openxmlformats.org/officeDocument/2006/relationships/hyperlink" Target="http://www.sec.gov/Archives/edgar/data/1484565/000119312514293949/d711637dex41.htm" TargetMode="External"/><Relationship Id="rId22" Type="http://schemas.openxmlformats.org/officeDocument/2006/relationships/hyperlink" Target="http://www.sec.gov/Archives/edgar/data/1484565/000119312520181089/d903436dex42.htm" TargetMode="External"/><Relationship Id="rId23" Type="http://schemas.openxmlformats.org/officeDocument/2006/relationships/hyperlink" Target="http://www.sec.gov/Archives/edgar/data/1484565/000119312523048745/d42066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2023-03-23T16:27:18Z</dcterms:created>
  <dcterms:modified xsi:type="dcterms:W3CDTF">2023-03-23T16:27:18Z</dcterms:modified>
</cp:coreProperties>
</file>