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lno-20240331.htm"/>
      <w:bookmarkStart w:id="1" w:name="ksslno20240331"/>
      <w:bookmarkEnd w:id="0"/>
      <w:bookmarkEnd w:id="1"/>
      <w:r>
        <w:rPr/>
        <w:t> </w:t>
      </w:r>
    </w:p>
    <w:p>
      <w:pPr>
        <w:pStyle w:val="TextBody"/>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March 31, 2024</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Commission File Number: 001-36593</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48"/>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857" w:type="dxa"/>
        <w:jc w:val="left"/>
        <w:tblInd w:w="0" w:type="dxa"/>
        <w:tblLayout w:type="fixed"/>
        <w:tblCellMar>
          <w:top w:w="28" w:type="dxa"/>
          <w:left w:w="28" w:type="dxa"/>
          <w:bottom w:w="28" w:type="dxa"/>
          <w:right w:w="28" w:type="dxa"/>
        </w:tblCellMar>
      </w:tblPr>
      <w:tblGrid>
        <w:gridCol w:w="2371"/>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86" w:type="dxa"/>
            <w:tcBorders/>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77-0523891</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sz w:val="20"/>
        </w:rPr>
      </w:pPr>
      <w:r>
        <w:rPr>
          <w:rFonts w:ascii="Times New Roman" w:hAnsi="Times New Roman"/>
          <w:b/>
          <w:color w:val="000000"/>
          <w:sz w:val="19"/>
        </w:rPr>
        <w:t>203 Redwood Shores Parkway, Suite 500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9"/>
        </w:rPr>
        <w:t>Redwood City, California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9"/>
        </w:rPr>
        <w:t>94065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(Zip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9"/>
        </w:rPr>
        <w:t>(650) 213-8444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center"/>
        <w:rPr/>
      </w:pPr>
      <w:r>
        <w:rPr/>
        <w:t> </w:t>
      </w:r>
    </w:p>
    <w:tbl>
      <w:tblPr>
        <w:tblW w:w="7248" w:type="dxa"/>
        <w:jc w:val="left"/>
        <w:tblInd w:w="0" w:type="dxa"/>
        <w:tblLayout w:type="fixed"/>
        <w:tblCellMar>
          <w:top w:w="28" w:type="dxa"/>
          <w:left w:w="28" w:type="dxa"/>
          <w:bottom w:w="28" w:type="dxa"/>
          <w:right w:w="28" w:type="dxa"/>
        </w:tblCellMar>
      </w:tblPr>
      <w:tblGrid>
        <w:gridCol w:w="2476"/>
        <w:gridCol w:w="1456"/>
        <w:gridCol w:w="3316"/>
      </w:tblGrid>
      <w:tr>
        <w:trPr/>
        <w:tc>
          <w:tcPr>
            <w:tcW w:w="247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7248" w:type="dxa"/>
            <w:gridSpan w:val="3"/>
            <w:tcBorders/>
            <w:vAlign w:val="center"/>
          </w:tcPr>
          <w:p>
            <w:pPr>
              <w:pStyle w:val="TableContents"/>
              <w:bidi w:val="0"/>
              <w:ind w:left="0" w:right="0" w:firstLine="490"/>
              <w:jc w:val="left"/>
              <w:rPr/>
            </w:pPr>
            <w:r>
              <w:rPr/>
              <w:t> </w:t>
            </w:r>
          </w:p>
          <w:p>
            <w:pPr>
              <w:pStyle w:val="TableContents"/>
              <w:bidi w:val="0"/>
              <w:spacing w:before="0" w:after="283"/>
              <w:ind w:left="0" w:right="0" w:firstLine="490"/>
              <w:jc w:val="left"/>
              <w:rPr>
                <w:rFonts w:ascii="Times New Roman" w:hAnsi="Times New Roman"/>
                <w:color w:val="000000"/>
                <w:sz w:val="17"/>
              </w:rPr>
            </w:pPr>
            <w:r>
              <w:rPr>
                <w:rFonts w:ascii="Times New Roman" w:hAnsi="Times New Roman"/>
                <w:color w:val="000000"/>
                <w:sz w:val="17"/>
              </w:rPr>
              <w:t>Securities registered pursuant to Section 12(b) of the Act:</w:t>
            </w:r>
          </w:p>
        </w:tc>
      </w:tr>
      <w:tr>
        <w:trPr/>
        <w:tc>
          <w:tcPr>
            <w:tcW w:w="247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c>
          <w:tcPr>
            <w:tcW w:w="3316" w:type="dxa"/>
            <w:tcBorders/>
            <w:vAlign w:val="center"/>
          </w:tcPr>
          <w:p>
            <w:pPr>
              <w:pStyle w:val="TableContents"/>
              <w:bidi w:val="0"/>
              <w:spacing w:before="0" w:after="283"/>
              <w:jc w:val="left"/>
              <w:rPr/>
            </w:pPr>
            <w:r>
              <w:rPr/>
              <w:t> </w:t>
            </w:r>
          </w:p>
        </w:tc>
      </w:tr>
      <w:tr>
        <w:trPr/>
        <w:tc>
          <w:tcPr>
            <w:tcW w:w="2476" w:type="dxa"/>
            <w:tcBorders>
              <w:top w:val="single" w:sz="8" w:space="0" w:color="000000"/>
              <w:left w:val="single" w:sz="8" w:space="0" w:color="000000"/>
            </w:tcBorders>
            <w:tcMar>
              <w:top w:w="30" w:type="dxa"/>
              <w:left w:w="3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Title of each class</w:t>
            </w:r>
          </w:p>
        </w:tc>
        <w:tc>
          <w:tcPr>
            <w:tcW w:w="1456" w:type="dxa"/>
            <w:tcBorders>
              <w:top w:val="single" w:sz="8" w:space="0" w:color="000000"/>
              <w:left w:val="single" w:sz="8" w:space="0" w:color="000000"/>
            </w:tcBorders>
            <w:tcMar>
              <w:top w:w="30" w:type="dxa"/>
              <w:left w:w="3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Trading Symbol(s)</w:t>
            </w:r>
          </w:p>
        </w:tc>
        <w:tc>
          <w:tcPr>
            <w:tcW w:w="3316" w:type="dxa"/>
            <w:tcBorders>
              <w:top w:val="single" w:sz="8" w:space="0" w:color="000000"/>
              <w:left w:val="single" w:sz="8" w:space="0" w:color="000000"/>
              <w:right w:val="single" w:sz="8" w:space="0" w:color="000000"/>
            </w:tcBorders>
            <w:tcMar>
              <w:top w:w="30" w:type="dxa"/>
              <w:left w:w="30" w:type="dxa"/>
              <w:bottom w:w="0" w:type="dxa"/>
              <w:right w:w="3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Name of each exchange on which registered</w:t>
            </w:r>
          </w:p>
        </w:tc>
      </w:tr>
      <w:tr>
        <w:trPr/>
        <w:tc>
          <w:tcPr>
            <w:tcW w:w="2476" w:type="dxa"/>
            <w:tcBorders>
              <w:top w:val="single" w:sz="8" w:space="0" w:color="000000"/>
              <w:left w:val="single" w:sz="8" w:space="0" w:color="000000"/>
              <w:bottom w:val="single" w:sz="8" w:space="0" w:color="000000"/>
            </w:tcBorders>
            <w:tcMar>
              <w:top w:w="30" w:type="dxa"/>
              <w:left w:w="30" w:type="dxa"/>
              <w:bottom w:w="3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Common Stock, $0.001 par value</w:t>
            </w:r>
          </w:p>
        </w:tc>
        <w:tc>
          <w:tcPr>
            <w:tcW w:w="1456" w:type="dxa"/>
            <w:tcBorders>
              <w:top w:val="single" w:sz="8" w:space="0" w:color="000000"/>
              <w:left w:val="single" w:sz="8" w:space="0" w:color="000000"/>
              <w:bottom w:val="single" w:sz="8" w:space="0" w:color="000000"/>
            </w:tcBorders>
            <w:tcMar>
              <w:top w:w="30" w:type="dxa"/>
              <w:left w:w="30" w:type="dxa"/>
              <w:bottom w:w="30" w:type="dxa"/>
              <w:right w:w="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SLNO</w:t>
            </w:r>
          </w:p>
        </w:tc>
        <w:tc>
          <w:tcPr>
            <w:tcW w:w="3316" w:type="dxa"/>
            <w:tcBorders>
              <w:top w:val="single" w:sz="8" w:space="0" w:color="000000"/>
              <w:left w:val="single" w:sz="8" w:space="0" w:color="000000"/>
              <w:bottom w:val="single" w:sz="8" w:space="0" w:color="000000"/>
              <w:right w:val="single" w:sz="8" w:space="0" w:color="000000"/>
            </w:tcBorders>
            <w:tcMar>
              <w:top w:w="30" w:type="dxa"/>
              <w:left w:w="30" w:type="dxa"/>
              <w:bottom w:w="30" w:type="dxa"/>
              <w:right w:w="30" w:type="dxa"/>
            </w:tcMar>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NASDAQ</w:t>
            </w:r>
          </w:p>
        </w:tc>
      </w:tr>
    </w:tbl>
    <w:p>
      <w:pPr>
        <w:pStyle w:val="TextBody"/>
        <w:bidi w:val="0"/>
        <w:spacing w:before="80" w:after="283"/>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vAlign w:val="center"/>
          </w:tcPr>
          <w:p>
            <w:pPr>
              <w:pStyle w:val="TableContents"/>
              <w:bidi w:val="0"/>
              <w:spacing w:before="0" w:after="20"/>
              <w:jc w:val="left"/>
              <w:rPr>
                <w:color w:val="000000"/>
              </w:rPr>
            </w:pPr>
            <w:r>
              <w:rPr>
                <w:color w:val="000000"/>
              </w:rPr>
              <w:t>☒</w:t>
            </w:r>
          </w:p>
        </w:tc>
        <w:tc>
          <w:tcPr>
            <w:tcW w:w="202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spacing w:before="60" w:after="283"/>
        <w:jc w:val="left"/>
        <w:rPr>
          <w:rFonts w:ascii="Times New Roman" w:hAnsi="Times New Roman"/>
          <w:sz w:val="20"/>
        </w:rPr>
      </w:pPr>
      <w:r>
        <w:rPr>
          <w:rFonts w:ascii="Times New Roman" w:hAnsi="Times New Roman"/>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7"/>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As of May 2, 2024, there were 33,411,329</w:t>
      </w:r>
      <w:r>
        <w:rPr>
          <w:rFonts w:ascii="Times New Roman" w:hAnsi="Times New Roman"/>
          <w:color w:val="000000"/>
          <w:sz w:val="20"/>
        </w:rPr>
        <w:t xml:space="preserve"> </w:t>
      </w:r>
      <w:r>
        <w:rPr>
          <w:rFonts w:ascii="Times New Roman" w:hAnsi="Times New Roman"/>
          <w:color w:val="000000"/>
          <w:sz w:val="17"/>
        </w:rPr>
        <w:t>shares of the registrant’s Common Stock, par value $0.001 per share, outstanding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2" w:name="toc"/>
      <w:bookmarkEnd w:id="2"/>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437" w:type="dxa"/>
        <w:jc w:val="left"/>
        <w:tblInd w:w="0" w:type="dxa"/>
        <w:tblLayout w:type="fixed"/>
        <w:tblCellMar>
          <w:top w:w="28" w:type="dxa"/>
          <w:left w:w="28" w:type="dxa"/>
          <w:bottom w:w="28" w:type="dxa"/>
          <w:right w:w="28" w:type="dxa"/>
        </w:tblCellMar>
      </w:tblPr>
      <w:tblGrid>
        <w:gridCol w:w="7981"/>
        <w:gridCol w:w="1456"/>
      </w:tblGrid>
      <w:tr>
        <w:trPr/>
        <w:tc>
          <w:tcPr>
            <w:tcW w:w="7981"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before="0" w:after="283"/>
              <w:jc w:val="left"/>
              <w:rPr>
                <w:sz w:val="4"/>
                <w:szCs w:val="4"/>
              </w:rPr>
            </w:pPr>
            <w:r>
              <w:rPr>
                <w:sz w:val="4"/>
                <w:szCs w:val="4"/>
              </w:rPr>
            </w:r>
          </w:p>
        </w:tc>
      </w:tr>
      <w:tr>
        <w:trPr/>
        <w:tc>
          <w:tcPr>
            <w:tcW w:w="798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ind w:left="0" w:right="0" w:firstLine="240"/>
              <w:jc w:val="center"/>
              <w:rPr>
                <w:rFonts w:ascii="Times New Roman" w:hAnsi="Times New Roman"/>
                <w:b/>
                <w:color w:val="000000"/>
                <w:sz w:val="20"/>
              </w:rPr>
            </w:pPr>
            <w:r>
              <w:rPr>
                <w:rFonts w:ascii="Times New Roman" w:hAnsi="Times New Roman"/>
                <w:b/>
                <w:color w:val="000000"/>
                <w:sz w:val="20"/>
              </w:rPr>
              <w:t>Page</w:t>
            </w:r>
          </w:p>
        </w:tc>
      </w:tr>
      <w:tr>
        <w:trPr/>
        <w:tc>
          <w:tcPr>
            <w:tcW w:w="7981" w:type="dxa"/>
            <w:tcBorders/>
            <w:vAlign w:val="center"/>
          </w:tcPr>
          <w:p>
            <w:pPr>
              <w:pStyle w:val="TableContents"/>
              <w:pBdr/>
              <w:bidi w:val="0"/>
              <w:spacing w:before="0" w:after="283"/>
              <w:ind w:left="0" w:right="0" w:hanging="240"/>
              <w:jc w:val="left"/>
              <w:rPr/>
            </w:pPr>
            <w:hyperlink w:anchor="part_ifinancial_information">
              <w:r>
                <w:rPr>
                  <w:rStyle w:val="InternetLink"/>
                  <w:rFonts w:ascii="Times New Roman" w:hAnsi="Times New Roman"/>
                  <w:b/>
                  <w:color w:val="0000FF"/>
                  <w:sz w:val="20"/>
                  <w:u w:val="single"/>
                </w:rPr>
                <w:t>PART I—FINANCIAL INFORMATION</w:t>
              </w:r>
            </w:hyperlink>
            <w:r>
              <w:rPr>
                <w:rFonts w:ascii="Times New Roman" w:hAnsi="Times New Roman"/>
                <w:color w:val="000000"/>
                <w:sz w:val="20"/>
              </w:rPr>
              <w:t xml:space="preserve"> </w:t>
            </w:r>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7981" w:type="dxa"/>
            <w:tcBorders/>
            <w:vAlign w:val="center"/>
          </w:tcPr>
          <w:p>
            <w:pPr>
              <w:pStyle w:val="TableContents"/>
              <w:pBdr/>
              <w:bidi w:val="0"/>
              <w:spacing w:before="0" w:after="283"/>
              <w:ind w:left="480" w:right="0" w:hanging="240"/>
              <w:jc w:val="left"/>
              <w:rPr/>
            </w:pPr>
            <w:hyperlink w:anchor="item1_financial_statements">
              <w:r>
                <w:rPr>
                  <w:rStyle w:val="InternetLink"/>
                  <w:rFonts w:ascii="Times New Roman" w:hAnsi="Times New Roman"/>
                  <w:color w:val="0000FF"/>
                  <w:sz w:val="20"/>
                  <w:u w:val="single"/>
                </w:rPr>
                <w:t>Item 1. Financial Statements</w:t>
              </w:r>
            </w:hyperlink>
          </w:p>
        </w:tc>
        <w:tc>
          <w:tcPr>
            <w:tcW w:w="1456"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3</w:t>
            </w:r>
          </w:p>
        </w:tc>
      </w:tr>
      <w:tr>
        <w:trPr/>
        <w:tc>
          <w:tcPr>
            <w:tcW w:w="7981" w:type="dxa"/>
            <w:tcBorders/>
            <w:vAlign w:val="center"/>
          </w:tcPr>
          <w:p>
            <w:pPr>
              <w:pStyle w:val="TableContents"/>
              <w:pBdr/>
              <w:bidi w:val="0"/>
              <w:spacing w:before="0" w:after="283"/>
              <w:ind w:left="960" w:right="0" w:hanging="240"/>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p>
        </w:tc>
        <w:tc>
          <w:tcPr>
            <w:tcW w:w="1456"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3</w:t>
            </w:r>
          </w:p>
        </w:tc>
      </w:tr>
      <w:tr>
        <w:trPr/>
        <w:tc>
          <w:tcPr>
            <w:tcW w:w="7981" w:type="dxa"/>
            <w:tcBorders/>
            <w:vAlign w:val="center"/>
          </w:tcPr>
          <w:p>
            <w:pPr>
              <w:pStyle w:val="TableContents"/>
              <w:pBdr/>
              <w:bidi w:val="0"/>
              <w:spacing w:before="0" w:after="283"/>
              <w:ind w:left="960" w:right="0" w:hanging="240"/>
              <w:jc w:val="left"/>
              <w:rPr/>
            </w:pPr>
            <w:hyperlink w:anchor="cndnsd_cnsldtd_stmnt_oprns_comprehensive">
              <w:r>
                <w:rPr>
                  <w:rStyle w:val="InternetLink"/>
                  <w:rFonts w:ascii="Times New Roman" w:hAnsi="Times New Roman"/>
                  <w:color w:val="0000FF"/>
                  <w:sz w:val="20"/>
                  <w:u w:val="single"/>
                </w:rPr>
                <w:t>Condensed Consolidated Statements of Operations and Comprehensive Loss (unaudited)</w:t>
              </w:r>
            </w:hyperlink>
            <w:hyperlink w:anchor="cndnsd_cnsldtd_stmnt_oprns_comprehensive">
              <w:r>
                <w:rPr>
                  <w:rStyle w:val="InternetLink"/>
                  <w:rFonts w:ascii="Times New Roman" w:hAnsi="Times New Roman"/>
                  <w:color w:val="0000FF"/>
                  <w:sz w:val="20"/>
                </w:rPr>
                <w:t xml:space="preserve"> </w:t>
              </w:r>
            </w:hyperlink>
          </w:p>
        </w:tc>
        <w:tc>
          <w:tcPr>
            <w:tcW w:w="1456"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4</w:t>
            </w:r>
          </w:p>
        </w:tc>
      </w:tr>
      <w:tr>
        <w:trPr/>
        <w:tc>
          <w:tcPr>
            <w:tcW w:w="7981" w:type="dxa"/>
            <w:tcBorders/>
            <w:vAlign w:val="center"/>
          </w:tcPr>
          <w:p>
            <w:pPr>
              <w:pStyle w:val="TableContents"/>
              <w:pBdr/>
              <w:bidi w:val="0"/>
              <w:spacing w:before="0" w:after="283"/>
              <w:ind w:left="960" w:right="0" w:hanging="240"/>
              <w:jc w:val="left"/>
              <w:rPr/>
            </w:pPr>
            <w:hyperlink w:anchor="condensed_consolidated_statements_stockh">
              <w:r>
                <w:rPr>
                  <w:rStyle w:val="InternetLink"/>
                  <w:rFonts w:ascii="Times New Roman" w:hAnsi="Times New Roman"/>
                  <w:color w:val="0000FF"/>
                  <w:sz w:val="20"/>
                  <w:u w:val="single"/>
                </w:rPr>
                <w:t>Condensed Consolidated Statements of Stockholders’ Equity (unaudited)</w:t>
              </w:r>
            </w:hyperlink>
          </w:p>
        </w:tc>
        <w:tc>
          <w:tcPr>
            <w:tcW w:w="1456"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5</w:t>
            </w:r>
          </w:p>
        </w:tc>
      </w:tr>
      <w:tr>
        <w:trPr/>
        <w:tc>
          <w:tcPr>
            <w:tcW w:w="7981" w:type="dxa"/>
            <w:tcBorders/>
            <w:vAlign w:val="center"/>
          </w:tcPr>
          <w:p>
            <w:pPr>
              <w:pStyle w:val="TableContents"/>
              <w:pBdr/>
              <w:bidi w:val="0"/>
              <w:spacing w:before="0" w:after="283"/>
              <w:ind w:left="960" w:right="0" w:hanging="240"/>
              <w:jc w:val="left"/>
              <w:rPr/>
            </w:pPr>
            <w:hyperlink w:anchor="cndnsd_cnsolidated_statements_cash_flows">
              <w:r>
                <w:rPr>
                  <w:rStyle w:val="InternetLink"/>
                  <w:rFonts w:ascii="Times New Roman" w:hAnsi="Times New Roman"/>
                  <w:color w:val="0000FF"/>
                  <w:sz w:val="20"/>
                  <w:u w:val="single"/>
                </w:rPr>
                <w:t>Condensed Consolidated Statements of Cash Flows (unaudited)</w:t>
              </w:r>
            </w:hyperlink>
            <w:hyperlink w:anchor="cndnsd_cnsolidated_statements_cash_flows">
              <w:r>
                <w:rPr>
                  <w:rStyle w:val="InternetLink"/>
                  <w:rFonts w:ascii="Times New Roman" w:hAnsi="Times New Roman"/>
                  <w:color w:val="0000FF"/>
                  <w:sz w:val="20"/>
                </w:rPr>
                <w:t xml:space="preserve"> </w:t>
              </w:r>
            </w:hyperlink>
          </w:p>
        </w:tc>
        <w:tc>
          <w:tcPr>
            <w:tcW w:w="1456" w:type="dxa"/>
            <w:tcBorders/>
            <w:vAlign w:val="center"/>
          </w:tcPr>
          <w:p>
            <w:pPr>
              <w:pStyle w:val="TableContents"/>
              <w:bidi w:val="0"/>
              <w:spacing w:before="0" w:after="283"/>
              <w:ind w:left="0" w:right="0" w:firstLine="1200"/>
              <w:jc w:val="right"/>
              <w:rPr>
                <w:rFonts w:ascii="Times New Roman" w:hAnsi="Times New Roman"/>
                <w:color w:val="000000"/>
                <w:sz w:val="20"/>
              </w:rPr>
            </w:pPr>
            <w:r>
              <w:rPr>
                <w:rFonts w:ascii="Times New Roman" w:hAnsi="Times New Roman"/>
                <w:color w:val="000000"/>
                <w:sz w:val="20"/>
              </w:rPr>
              <w:t>6</w:t>
            </w:r>
          </w:p>
        </w:tc>
      </w:tr>
      <w:tr>
        <w:trPr/>
        <w:tc>
          <w:tcPr>
            <w:tcW w:w="7981" w:type="dxa"/>
            <w:tcBorders/>
            <w:vAlign w:val="center"/>
          </w:tcPr>
          <w:p>
            <w:pPr>
              <w:pStyle w:val="TableContents"/>
              <w:pBdr/>
              <w:bidi w:val="0"/>
              <w:spacing w:before="0" w:after="283"/>
              <w:ind w:left="960" w:right="0" w:hanging="240"/>
              <w:jc w:val="left"/>
              <w:rPr/>
            </w:pPr>
            <w:hyperlink w:anchor="notes_consolidated_financial_statements">
              <w:r>
                <w:rPr>
                  <w:rStyle w:val="InternetLink"/>
                  <w:rFonts w:ascii="Times New Roman" w:hAnsi="Times New Roman"/>
                  <w:color w:val="0000FF"/>
                  <w:sz w:val="20"/>
                  <w:u w:val="single"/>
                </w:rPr>
                <w:t>Notes to Condensed Consolidated Financial Statements (unaudited)</w:t>
              </w:r>
            </w:hyperlink>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7</w:t>
            </w:r>
          </w:p>
        </w:tc>
      </w:tr>
      <w:tr>
        <w:trPr/>
        <w:tc>
          <w:tcPr>
            <w:tcW w:w="7981" w:type="dxa"/>
            <w:tcBorders/>
            <w:vAlign w:val="center"/>
          </w:tcPr>
          <w:p>
            <w:pPr>
              <w:pStyle w:val="TableContents"/>
              <w:pBdr/>
              <w:bidi w:val="0"/>
              <w:spacing w:before="0" w:after="283"/>
              <w:ind w:left="480" w:right="0" w:hanging="24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16</w:t>
            </w:r>
          </w:p>
        </w:tc>
      </w:tr>
      <w:tr>
        <w:trPr/>
        <w:tc>
          <w:tcPr>
            <w:tcW w:w="7981" w:type="dxa"/>
            <w:tcBorders/>
            <w:vAlign w:val="center"/>
          </w:tcPr>
          <w:p>
            <w:pPr>
              <w:pStyle w:val="TableContents"/>
              <w:pBdr/>
              <w:bidi w:val="0"/>
              <w:spacing w:before="0" w:after="283"/>
              <w:ind w:left="480" w:right="0" w:hanging="240"/>
              <w:jc w:val="left"/>
              <w:rPr/>
            </w:pPr>
            <w:hyperlink w:anchor="item_3_quantitative_and_qualitative">
              <w:r>
                <w:rPr>
                  <w:rStyle w:val="InternetLink"/>
                  <w:rFonts w:ascii="Times New Roman" w:hAnsi="Times New Roman"/>
                  <w:color w:val="0000FF"/>
                  <w:sz w:val="20"/>
                  <w:u w:val="single"/>
                </w:rPr>
                <w:t>Item 3. Quantitative and Qualitative Disclosures About Market Risk</w:t>
              </w:r>
            </w:hyperlink>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19</w:t>
            </w:r>
          </w:p>
        </w:tc>
      </w:tr>
      <w:tr>
        <w:trPr/>
        <w:tc>
          <w:tcPr>
            <w:tcW w:w="7981" w:type="dxa"/>
            <w:tcBorders/>
            <w:vAlign w:val="center"/>
          </w:tcPr>
          <w:p>
            <w:pPr>
              <w:pStyle w:val="TableContents"/>
              <w:pBdr/>
              <w:bidi w:val="0"/>
              <w:spacing w:before="0" w:after="283"/>
              <w:ind w:left="480" w:right="0" w:hanging="240"/>
              <w:jc w:val="left"/>
              <w:rPr/>
            </w:pPr>
            <w:hyperlink w:anchor="controls_and_procedures">
              <w:r>
                <w:rPr>
                  <w:rStyle w:val="InternetLink"/>
                  <w:rFonts w:ascii="Times New Roman" w:hAnsi="Times New Roman"/>
                  <w:color w:val="0000FF"/>
                  <w:sz w:val="20"/>
                  <w:u w:val="single"/>
                </w:rPr>
                <w:t>Item 4. Controls and Procedures</w:t>
              </w:r>
            </w:hyperlink>
          </w:p>
        </w:tc>
        <w:tc>
          <w:tcPr>
            <w:tcW w:w="1456"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19</w:t>
            </w:r>
          </w:p>
        </w:tc>
      </w:tr>
      <w:tr>
        <w:trPr/>
        <w:tc>
          <w:tcPr>
            <w:tcW w:w="7981" w:type="dxa"/>
            <w:tcBorders/>
            <w:vAlign w:val="center"/>
          </w:tcPr>
          <w:p>
            <w:pPr>
              <w:pStyle w:val="TableContents"/>
              <w:pBdr/>
              <w:bidi w:val="0"/>
              <w:spacing w:before="0" w:after="283"/>
              <w:ind w:left="0" w:right="0" w:hanging="240"/>
              <w:jc w:val="left"/>
              <w:rPr/>
            </w:pPr>
            <w:hyperlink w:anchor="part_ii_other_information">
              <w:r>
                <w:rPr>
                  <w:rStyle w:val="InternetLink"/>
                  <w:rFonts w:ascii="Times New Roman" w:hAnsi="Times New Roman"/>
                  <w:b/>
                  <w:color w:val="0000FF"/>
                  <w:sz w:val="20"/>
                  <w:u w:val="single"/>
                </w:rPr>
                <w:t>PART II—OTHER INFORMATION</w:t>
              </w:r>
            </w:hyperlink>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20</w:t>
            </w:r>
          </w:p>
        </w:tc>
      </w:tr>
      <w:tr>
        <w:trPr/>
        <w:tc>
          <w:tcPr>
            <w:tcW w:w="7981" w:type="dxa"/>
            <w:tcBorders/>
            <w:vAlign w:val="center"/>
          </w:tcPr>
          <w:p>
            <w:pPr>
              <w:pStyle w:val="TableContents"/>
              <w:pBdr/>
              <w:bidi w:val="0"/>
              <w:spacing w:before="0" w:after="283"/>
              <w:ind w:left="480" w:right="0" w:hanging="240"/>
              <w:jc w:val="left"/>
              <w:rPr/>
            </w:pPr>
            <w:hyperlink w:anchor="item_1_legal_proceedings">
              <w:r>
                <w:rPr>
                  <w:rStyle w:val="InternetLink"/>
                  <w:rFonts w:ascii="Times New Roman" w:hAnsi="Times New Roman"/>
                  <w:color w:val="0000FF"/>
                  <w:sz w:val="20"/>
                  <w:u w:val="single"/>
                </w:rPr>
                <w:t>Item 1. Legal Proceedings</w:t>
              </w:r>
            </w:hyperlink>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20</w:t>
            </w:r>
          </w:p>
        </w:tc>
      </w:tr>
      <w:tr>
        <w:trPr/>
        <w:tc>
          <w:tcPr>
            <w:tcW w:w="7981" w:type="dxa"/>
            <w:tcBorders/>
            <w:vAlign w:val="center"/>
          </w:tcPr>
          <w:p>
            <w:pPr>
              <w:pStyle w:val="TableContents"/>
              <w:pBdr/>
              <w:bidi w:val="0"/>
              <w:spacing w:before="0" w:after="283"/>
              <w:ind w:left="480" w:right="0" w:hanging="240"/>
              <w:jc w:val="left"/>
              <w:rPr/>
            </w:pPr>
            <w:hyperlink w:anchor="item_1a_risk_factors">
              <w:r>
                <w:rPr>
                  <w:rStyle w:val="InternetLink"/>
                  <w:rFonts w:ascii="Times New Roman" w:hAnsi="Times New Roman"/>
                  <w:color w:val="0000FF"/>
                  <w:sz w:val="20"/>
                  <w:u w:val="single"/>
                </w:rPr>
                <w:t>Item 1A. Risk Factors</w:t>
              </w:r>
            </w:hyperlink>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20</w:t>
            </w:r>
          </w:p>
        </w:tc>
      </w:tr>
      <w:tr>
        <w:trPr/>
        <w:tc>
          <w:tcPr>
            <w:tcW w:w="7981" w:type="dxa"/>
            <w:tcBorders/>
            <w:vAlign w:val="center"/>
          </w:tcPr>
          <w:p>
            <w:pPr>
              <w:pStyle w:val="TableContents"/>
              <w:pBdr/>
              <w:bidi w:val="0"/>
              <w:spacing w:before="0" w:after="283"/>
              <w:ind w:left="480" w:right="0" w:hanging="240"/>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20</w:t>
            </w:r>
          </w:p>
        </w:tc>
      </w:tr>
      <w:tr>
        <w:trPr/>
        <w:tc>
          <w:tcPr>
            <w:tcW w:w="7981" w:type="dxa"/>
            <w:tcBorders/>
            <w:vAlign w:val="center"/>
          </w:tcPr>
          <w:p>
            <w:pPr>
              <w:pStyle w:val="TableContents"/>
              <w:pBdr/>
              <w:bidi w:val="0"/>
              <w:spacing w:before="0" w:after="283"/>
              <w:ind w:left="480" w:right="0" w:hanging="24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20</w:t>
            </w:r>
          </w:p>
        </w:tc>
      </w:tr>
      <w:tr>
        <w:trPr/>
        <w:tc>
          <w:tcPr>
            <w:tcW w:w="7981" w:type="dxa"/>
            <w:tcBorders/>
            <w:vAlign w:val="center"/>
          </w:tcPr>
          <w:p>
            <w:pPr>
              <w:pStyle w:val="TableContents"/>
              <w:pBdr/>
              <w:bidi w:val="0"/>
              <w:spacing w:before="0" w:after="283"/>
              <w:ind w:left="480" w:right="0" w:hanging="24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20</w:t>
            </w:r>
          </w:p>
        </w:tc>
      </w:tr>
      <w:tr>
        <w:trPr/>
        <w:tc>
          <w:tcPr>
            <w:tcW w:w="7981" w:type="dxa"/>
            <w:tcBorders/>
            <w:vAlign w:val="center"/>
          </w:tcPr>
          <w:p>
            <w:pPr>
              <w:pStyle w:val="TableContents"/>
              <w:pBdr/>
              <w:bidi w:val="0"/>
              <w:spacing w:before="0" w:after="283"/>
              <w:ind w:left="480" w:right="0" w:hanging="240"/>
              <w:jc w:val="left"/>
              <w:rPr/>
            </w:pPr>
            <w:hyperlink w:anchor="item_5_or_information">
              <w:r>
                <w:rPr>
                  <w:rStyle w:val="InternetLink"/>
                  <w:rFonts w:ascii="Times New Roman" w:hAnsi="Times New Roman"/>
                  <w:color w:val="0000FF"/>
                  <w:sz w:val="20"/>
                  <w:u w:val="single"/>
                </w:rPr>
                <w:t>Item 5. Other Information</w:t>
              </w:r>
            </w:hyperlink>
          </w:p>
        </w:tc>
        <w:tc>
          <w:tcPr>
            <w:tcW w:w="145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20</w:t>
            </w:r>
          </w:p>
        </w:tc>
      </w:tr>
      <w:tr>
        <w:trPr/>
        <w:tc>
          <w:tcPr>
            <w:tcW w:w="7981" w:type="dxa"/>
            <w:tcBorders/>
            <w:vAlign w:val="center"/>
          </w:tcPr>
          <w:p>
            <w:pPr>
              <w:pStyle w:val="TableContents"/>
              <w:pBdr/>
              <w:bidi w:val="0"/>
              <w:spacing w:before="0" w:after="283"/>
              <w:ind w:left="480" w:right="0" w:hanging="240"/>
              <w:jc w:val="left"/>
              <w:rPr/>
            </w:pPr>
            <w:hyperlink w:anchor="item_6_exhibits">
              <w:r>
                <w:rPr>
                  <w:rStyle w:val="InternetLink"/>
                  <w:rFonts w:ascii="Times New Roman" w:hAnsi="Times New Roman"/>
                  <w:color w:val="0000FF"/>
                  <w:sz w:val="20"/>
                  <w:u w:val="single"/>
                </w:rPr>
                <w:t>Item 6. Exhibits</w:t>
              </w:r>
            </w:hyperlink>
          </w:p>
        </w:tc>
        <w:tc>
          <w:tcPr>
            <w:tcW w:w="1456"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20</w:t>
            </w:r>
          </w:p>
        </w:tc>
      </w:tr>
      <w:tr>
        <w:trPr/>
        <w:tc>
          <w:tcPr>
            <w:tcW w:w="7981" w:type="dxa"/>
            <w:tcBorders/>
            <w:vAlign w:val="center"/>
          </w:tcPr>
          <w:p>
            <w:pPr>
              <w:pStyle w:val="TableContents"/>
              <w:pBdr/>
              <w:bidi w:val="0"/>
              <w:spacing w:before="0" w:after="283"/>
              <w:ind w:left="0" w:right="0" w:hanging="240"/>
              <w:jc w:val="left"/>
              <w:rPr/>
            </w:pPr>
            <w:hyperlink w:anchor="exhibit_index">
              <w:r>
                <w:rPr>
                  <w:rStyle w:val="InternetLink"/>
                  <w:rFonts w:ascii="Times New Roman" w:hAnsi="Times New Roman"/>
                  <w:b/>
                  <w:color w:val="0000FF"/>
                  <w:sz w:val="20"/>
                  <w:u w:val="single"/>
                </w:rPr>
                <w:t>EXHIBIT INDEX</w:t>
              </w:r>
            </w:hyperlink>
          </w:p>
        </w:tc>
        <w:tc>
          <w:tcPr>
            <w:tcW w:w="1456"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21</w:t>
            </w:r>
          </w:p>
        </w:tc>
      </w:tr>
      <w:tr>
        <w:trPr/>
        <w:tc>
          <w:tcPr>
            <w:tcW w:w="7981" w:type="dxa"/>
            <w:tcBorders/>
            <w:vAlign w:val="center"/>
          </w:tcPr>
          <w:p>
            <w:pPr>
              <w:pStyle w:val="TableContents"/>
              <w:pBdr/>
              <w:bidi w:val="0"/>
              <w:spacing w:before="0" w:after="283"/>
              <w:ind w:left="0" w:right="0" w:hanging="240"/>
              <w:jc w:val="left"/>
              <w:rPr/>
            </w:pPr>
            <w:hyperlink w:anchor="signatures">
              <w:r>
                <w:rPr>
                  <w:rStyle w:val="InternetLink"/>
                  <w:rFonts w:ascii="Times New Roman" w:hAnsi="Times New Roman"/>
                  <w:b/>
                  <w:color w:val="0000FF"/>
                  <w:sz w:val="20"/>
                  <w:u w:val="single"/>
                </w:rPr>
                <w:t>SIGNATURES</w:t>
              </w:r>
            </w:hyperlink>
          </w:p>
        </w:tc>
        <w:tc>
          <w:tcPr>
            <w:tcW w:w="145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_ifinancial_information"/>
      <w:bookmarkEnd w:id="3"/>
      <w:r>
        <w:rPr>
          <w:rFonts w:ascii="Times New Roman" w:hAnsi="Times New Roman"/>
          <w:b/>
          <w:color w:val="000000"/>
          <w:sz w:val="20"/>
        </w:rPr>
        <w:t>PART I—FINANCIAL INFORMATION</w:t>
      </w:r>
    </w:p>
    <w:p>
      <w:pPr>
        <w:pStyle w:val="TextBody"/>
        <w:bidi w:val="0"/>
        <w:spacing w:before="120" w:after="283"/>
        <w:jc w:val="left"/>
        <w:rPr>
          <w:rFonts w:ascii="Times New Roman" w:hAnsi="Times New Roman"/>
          <w:sz w:val="20"/>
        </w:rPr>
      </w:pPr>
      <w:bookmarkStart w:id="4" w:name="item1_financial_statements"/>
      <w:bookmarkEnd w:id="4"/>
      <w:r>
        <w:rPr>
          <w:rFonts w:ascii="Times New Roman" w:hAnsi="Times New Roman"/>
          <w:b/>
          <w:color w:val="000000"/>
          <w:sz w:val="20"/>
        </w:rPr>
        <w:t>Item 1.</w:t>
      </w:r>
      <w:r>
        <w:rPr>
          <w:rFonts w:ascii="Times New Roman" w:hAnsi="Times New Roman"/>
          <w:color w:val="000000"/>
          <w:sz w:val="20"/>
        </w:rPr>
        <w:t xml:space="preserve"> </w:t>
      </w:r>
      <w:r>
        <w:rPr>
          <w:rFonts w:ascii="Times New Roman" w:hAnsi="Times New Roman"/>
          <w:b/>
          <w:color w:val="000000"/>
          <w:sz w:val="20"/>
        </w:rPr>
        <w:t>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consolidated_balance_sheets"/>
      <w:bookmarkEnd w:id="5"/>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86"/>
        <w:gridCol w:w="146"/>
        <w:gridCol w:w="217"/>
        <w:gridCol w:w="867"/>
        <w:gridCol w:w="166"/>
        <w:gridCol w:w="146"/>
        <w:gridCol w:w="217"/>
        <w:gridCol w:w="867"/>
        <w:gridCol w:w="993"/>
      </w:tblGrid>
      <w:tr>
        <w:trPr/>
        <w:tc>
          <w:tcPr>
            <w:tcW w:w="6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jc w:val="righ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ind w:left="0" w:right="0" w:firstLine="600"/>
              <w:jc w:val="righ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169,681</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86" w:type="dxa"/>
            <w:tcBorders/>
            <w:shd w:fill="FFFFFF"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171,358</w:t>
            </w:r>
          </w:p>
        </w:tc>
        <w:tc>
          <w:tcPr>
            <w:tcW w:w="993" w:type="dxa"/>
            <w:tcBorders/>
            <w:shd w:fill="FFFFFF" w:val="clear"/>
            <w:vAlign w:val="center"/>
          </w:tcPr>
          <w:p>
            <w:pPr>
              <w:pStyle w:val="TableContents"/>
              <w:bidi w:val="0"/>
              <w:spacing w:before="0" w:after="283"/>
              <w:jc w:val="left"/>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assets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600"/>
              <w:jc w:val="righ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8,749</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8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180,691</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jc w:val="right"/>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ind w:left="0" w:right="0" w:firstLine="600"/>
              <w:jc w:val="righ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3,149</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Accrued clinical trial site costs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w:t>
            </w:r>
          </w:p>
        </w:tc>
        <w:tc>
          <w:tcPr>
            <w:tcW w:w="993" w:type="dxa"/>
            <w:tcBorders/>
            <w:shd w:fill="FFFFFF" w:val="clear"/>
            <w:vAlign w:val="center"/>
          </w:tcPr>
          <w:p>
            <w:pPr>
              <w:pStyle w:val="TableContents"/>
              <w:bidi w:val="0"/>
              <w:spacing w:before="0" w:after="283"/>
              <w:ind w:left="0" w:right="0" w:firstLine="600"/>
              <w:jc w:val="lef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8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993" w:type="dxa"/>
            <w:tcBorders/>
            <w:shd w:fill="CFF0FC" w:val="cle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ind w:left="0" w:right="0" w:firstLine="600"/>
              <w:jc w:val="right"/>
              <w:rPr/>
            </w:pPr>
            <w:r>
              <w:rPr/>
              <w:t> </w:t>
            </w:r>
          </w:p>
        </w:tc>
      </w:tr>
      <w:tr>
        <w:trPr/>
        <w:tc>
          <w:tcPr>
            <w:tcW w:w="6586"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Contingent liability for Essentialis purchase price</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993" w:type="dxa"/>
            <w:tcBorders/>
            <w:shd w:fill="CFF0FC" w:val="clear"/>
            <w:vAlign w:val="center"/>
          </w:tcPr>
          <w:p>
            <w:pPr>
              <w:pStyle w:val="TableContents"/>
              <w:bidi w:val="0"/>
              <w:spacing w:before="0" w:after="283"/>
              <w:ind w:left="0" w:right="0" w:firstLine="600"/>
              <w:jc w:val="left"/>
              <w:rPr/>
            </w:pPr>
            <w:r>
              <w:rPr/>
              <w:t> </w:t>
            </w:r>
          </w:p>
        </w:tc>
      </w:tr>
      <w:tr>
        <w:trPr/>
        <w:tc>
          <w:tcPr>
            <w:tcW w:w="6586" w:type="dxa"/>
            <w:tcBorders/>
            <w:shd w:fill="FFFFFF"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Long-term lease liabilities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86" w:type="dxa"/>
            <w:tcBorders/>
            <w:shd w:fill="CFF0FC" w:val="clear"/>
            <w:vAlign w:val="center"/>
          </w:tcPr>
          <w:p>
            <w:pPr>
              <w:pStyle w:val="TableContents"/>
              <w:bidi w:val="0"/>
              <w:spacing w:before="0" w:after="283"/>
              <w:ind w:left="800" w:right="0" w:firstLine="8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23,184</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4" w:type="dxa"/>
            <w:gridSpan w:val="2"/>
            <w:tcBorders/>
            <w:shd w:fill="FFFFFF" w:val="clear"/>
            <w:vAlign w:val="center"/>
          </w:tcPr>
          <w:p>
            <w:pPr>
              <w:pStyle w:val="TableContents"/>
              <w:bidi w:val="0"/>
              <w:spacing w:before="0" w:after="283"/>
              <w:jc w:val="right"/>
              <w:rPr/>
            </w:pPr>
            <w:r>
              <w:rPr/>
              <w:t> </w:t>
            </w:r>
          </w:p>
        </w:tc>
        <w:tc>
          <w:tcPr>
            <w:tcW w:w="993" w:type="dxa"/>
            <w:tcBorders/>
            <w:shd w:fill="FFFFFF" w:val="clear"/>
            <w:vAlign w:val="center"/>
          </w:tcPr>
          <w:p>
            <w:pPr>
              <w:pStyle w:val="TableContents"/>
              <w:bidi w:val="0"/>
              <w:spacing w:before="0" w:after="283"/>
              <w:jc w:val="right"/>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4" w:type="dxa"/>
            <w:gridSpan w:val="2"/>
            <w:tcBorders/>
            <w:shd w:fill="CFF0FC" w:val="clear"/>
            <w:vAlign w:val="center"/>
          </w:tcPr>
          <w:p>
            <w:pPr>
              <w:pStyle w:val="TableContents"/>
              <w:bidi w:val="0"/>
              <w:spacing w:before="0" w:after="283"/>
              <w:jc w:val="right"/>
              <w:rPr/>
            </w:pPr>
            <w:r>
              <w:rPr/>
              <w:t> </w:t>
            </w:r>
          </w:p>
        </w:tc>
        <w:tc>
          <w:tcPr>
            <w:tcW w:w="993" w:type="dxa"/>
            <w:tcBorders/>
            <w:shd w:fill="CFF0FC" w:val="clear"/>
            <w:vAlign w:val="center"/>
          </w:tcPr>
          <w:p>
            <w:pPr>
              <w:pStyle w:val="TableContents"/>
              <w:bidi w:val="0"/>
              <w:spacing w:before="0" w:after="283"/>
              <w:jc w:val="righ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$0.001 par value; 10,000,000 shares authorized, no shares issued and outstanding</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93" w:type="dxa"/>
            <w:tcBorders/>
            <w:shd w:fill="FFFFFF" w:val="clear"/>
            <w:vAlign w:val="center"/>
          </w:tcPr>
          <w:p>
            <w:pPr>
              <w:pStyle w:val="TableContents"/>
              <w:bidi w:val="0"/>
              <w:spacing w:before="0" w:after="283"/>
              <w:jc w:val="left"/>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$0.001 par value, 100,000,000 shares authorized,</w:t>
              <w:br/>
              <w:t> 33,337,079 and 31,678,159 shares issued and outstanding at</w:t>
              <w:br/>
              <w:t>   March 31,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993" w:type="dxa"/>
            <w:tcBorders/>
            <w:shd w:fill="CFF0FC" w:val="cle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433,885</w:t>
            </w:r>
          </w:p>
        </w:tc>
        <w:tc>
          <w:tcPr>
            <w:tcW w:w="993" w:type="dxa"/>
            <w:tcBorders/>
            <w:shd w:fill="FFFFFF" w:val="clear"/>
            <w:vAlign w:val="center"/>
          </w:tcPr>
          <w:p>
            <w:pPr>
              <w:pStyle w:val="TableContents"/>
              <w:bidi w:val="0"/>
              <w:spacing w:before="0" w:after="283"/>
              <w:jc w:val="left"/>
              <w:rPr/>
            </w:pPr>
            <w:r>
              <w:rPr/>
              <w:t> </w:t>
            </w:r>
          </w:p>
        </w:tc>
      </w:tr>
      <w:tr>
        <w:trPr/>
        <w:tc>
          <w:tcPr>
            <w:tcW w:w="6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993" w:type="dxa"/>
            <w:tcBorders/>
            <w:shd w:fill="CFF0FC" w:val="clear"/>
            <w:vAlign w:val="center"/>
          </w:tcPr>
          <w:p>
            <w:pPr>
              <w:pStyle w:val="TableContents"/>
              <w:bidi w:val="0"/>
              <w:spacing w:before="0" w:after="283"/>
              <w:jc w:val="left"/>
              <w:rPr/>
            </w:pPr>
            <w:r>
              <w:rPr/>
              <w:t> </w:t>
            </w:r>
          </w:p>
        </w:tc>
      </w:tr>
      <w:tr>
        <w:trPr/>
        <w:tc>
          <w:tcPr>
            <w:tcW w:w="6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(276,410</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157,507</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180,691</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Soleno Therapeutics, Inc.</w:t>
      </w:r>
    </w:p>
    <w:p>
      <w:pPr>
        <w:pStyle w:val="TextBody"/>
        <w:bidi w:val="0"/>
        <w:jc w:val="center"/>
        <w:rPr>
          <w:rFonts w:ascii="Times New Roman" w:hAnsi="Times New Roman"/>
          <w:b/>
          <w:color w:val="000000"/>
          <w:sz w:val="20"/>
        </w:rPr>
      </w:pPr>
      <w:bookmarkStart w:id="6" w:name="cndnsd_cnsldtd_stmnt_oprns_comprehensive"/>
      <w:bookmarkEnd w:id="6"/>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47"/>
        <w:gridCol w:w="211"/>
        <w:gridCol w:w="1036"/>
        <w:gridCol w:w="166"/>
        <w:gridCol w:w="146"/>
        <w:gridCol w:w="211"/>
        <w:gridCol w:w="931"/>
        <w:gridCol w:w="566"/>
        <w:gridCol w:w="591"/>
      </w:tblGrid>
      <w:tr>
        <w:trPr/>
        <w:tc>
          <w:tcPr>
            <w:tcW w:w="6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347" w:type="dxa"/>
            <w:tcBorders/>
            <w:shd w:fill="FFFFFF" w:val="cle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6347"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6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566"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w:t>
            </w:r>
          </w:p>
        </w:tc>
        <w:tc>
          <w:tcPr>
            <w:tcW w:w="566" w:type="dxa"/>
            <w:tcBorders/>
            <w:shd w:fill="FFFFFF" w:val="clear"/>
            <w:vAlign w:val="center"/>
          </w:tcPr>
          <w:p>
            <w:pPr>
              <w:pStyle w:val="TableContents"/>
              <w:bidi w:val="0"/>
              <w:spacing w:before="0" w:after="283"/>
              <w:ind w:left="0" w:right="0" w:firstLine="200"/>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3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566" w:type="dxa"/>
            <w:tcBorders/>
            <w:shd w:fill="CFF0FC" w:val="clear"/>
            <w:vAlign w:val="center"/>
          </w:tcPr>
          <w:p>
            <w:pPr>
              <w:pStyle w:val="TableContents"/>
              <w:bidi w:val="0"/>
              <w:spacing w:before="0" w:after="283"/>
              <w:ind w:left="0" w:right="0" w:firstLine="200"/>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6347"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91" w:type="dxa"/>
            <w:tcBorders/>
            <w:shd w:fill="CFF0FC" w:val="clear"/>
            <w:vAlign w:val="center"/>
          </w:tcPr>
          <w:p>
            <w:pPr>
              <w:pStyle w:val="TableContents"/>
              <w:bidi w:val="0"/>
              <w:spacing w:before="0" w:after="283"/>
              <w:ind w:left="400" w:right="0" w:firstLine="400"/>
              <w:jc w:val="left"/>
              <w:rPr/>
            </w:pPr>
            <w:r>
              <w:rPr/>
              <w:t> </w:t>
            </w:r>
          </w:p>
        </w:tc>
      </w:tr>
      <w:tr>
        <w:trPr/>
        <w:tc>
          <w:tcPr>
            <w:tcW w:w="6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left"/>
              <w:rPr/>
            </w:pPr>
            <w:r>
              <w:rPr/>
              <w:t> </w:t>
            </w:r>
          </w:p>
        </w:tc>
      </w:tr>
      <w:tr>
        <w:trPr/>
        <w:tc>
          <w:tcPr>
            <w:tcW w:w="6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66" w:type="dxa"/>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3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income,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6347"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ind w:left="400" w:right="0" w:firstLine="400"/>
              <w:jc w:val="left"/>
              <w:rPr/>
            </w:pPr>
            <w:r>
              <w:rPr/>
              <w:t> </w:t>
            </w:r>
          </w:p>
        </w:tc>
      </w:tr>
      <w:tr>
        <w:trPr/>
        <w:tc>
          <w:tcPr>
            <w:tcW w:w="6347"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66" w:type="dxa"/>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6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2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566" w:type="dxa"/>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34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unrealized loss on marketable securities</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566" w:type="dxa"/>
            <w:tcBorders/>
            <w:shd w:fill="FFFFFF" w:val="clear"/>
            <w:vAlign w:val="center"/>
          </w:tcPr>
          <w:p>
            <w:pPr>
              <w:pStyle w:val="TableContents"/>
              <w:bidi w:val="0"/>
              <w:spacing w:before="0" w:after="283"/>
              <w:ind w:left="0" w:right="0" w:firstLine="200"/>
              <w:jc w:val="left"/>
              <w:rPr/>
            </w:pPr>
            <w:r>
              <w:rPr/>
              <w:t> </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34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91" w:type="dxa"/>
            <w:tcBorders/>
            <w:shd w:fill="CFF0FC" w:val="clear"/>
            <w:vAlign w:val="center"/>
          </w:tcPr>
          <w:p>
            <w:pPr>
              <w:pStyle w:val="TableContents"/>
              <w:bidi w:val="0"/>
              <w:spacing w:before="0" w:after="283"/>
              <w:ind w:left="200" w:right="0" w:firstLine="200"/>
              <w:jc w:val="left"/>
              <w:rPr/>
            </w:pPr>
            <w:r>
              <w:rPr/>
              <w:t> </w:t>
            </w:r>
          </w:p>
        </w:tc>
      </w:tr>
      <w:tr>
        <w:trPr/>
        <w:tc>
          <w:tcPr>
            <w:tcW w:w="6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(8,340</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vAlign w:val="center"/>
          </w:tcPr>
          <w:p>
            <w:pPr>
              <w:pStyle w:val="TableContents"/>
              <w:bidi w:val="0"/>
              <w:spacing w:before="0" w:after="283"/>
              <w:jc w:val="left"/>
              <w:rPr/>
            </w:pPr>
            <w:r>
              <w:rPr/>
              <w:t> </w:t>
            </w:r>
          </w:p>
        </w:tc>
      </w:tr>
      <w:tr>
        <w:trPr/>
        <w:tc>
          <w:tcPr>
            <w:tcW w:w="6347"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566" w:type="dxa"/>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6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(0.88</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vAlign w:val="center"/>
          </w:tcPr>
          <w:p>
            <w:pPr>
              <w:pStyle w:val="TableContents"/>
              <w:bidi w:val="0"/>
              <w:spacing w:before="0" w:after="283"/>
              <w:jc w:val="left"/>
              <w:rPr/>
            </w:pPr>
            <w:r>
              <w:rPr/>
              <w:t> </w:t>
            </w:r>
          </w:p>
        </w:tc>
      </w:tr>
      <w:tr>
        <w:trPr/>
        <w:tc>
          <w:tcPr>
            <w:tcW w:w="6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used to calculate basic and diluted net loss per common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36,208,371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9,447,350</w:t>
            </w:r>
          </w:p>
        </w:tc>
        <w:tc>
          <w:tcPr>
            <w:tcW w:w="5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6347"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consolidated_statements_stockh"/>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For the Three Months Ended March 31, 2024 and 2023</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33"/>
        <w:gridCol w:w="146"/>
        <w:gridCol w:w="146"/>
        <w:gridCol w:w="916"/>
        <w:gridCol w:w="166"/>
        <w:gridCol w:w="146"/>
        <w:gridCol w:w="305"/>
        <w:gridCol w:w="446"/>
        <w:gridCol w:w="146"/>
        <w:gridCol w:w="146"/>
        <w:gridCol w:w="205"/>
        <w:gridCol w:w="726"/>
        <w:gridCol w:w="146"/>
        <w:gridCol w:w="146"/>
        <w:gridCol w:w="404"/>
        <w:gridCol w:w="902"/>
        <w:gridCol w:w="166"/>
        <w:gridCol w:w="146"/>
        <w:gridCol w:w="233"/>
        <w:gridCol w:w="893"/>
        <w:gridCol w:w="166"/>
        <w:gridCol w:w="146"/>
        <w:gridCol w:w="246"/>
        <w:gridCol w:w="871"/>
        <w:gridCol w:w="413"/>
      </w:tblGrid>
      <w:tr>
        <w:trPr/>
        <w:tc>
          <w:tcPr>
            <w:tcW w:w="1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r>
      <w:tr>
        <w:trPr/>
        <w:tc>
          <w:tcPr>
            <w:tcW w:w="1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3" w:type="dxa"/>
            <w:tcBorders/>
            <w:shd w:fill="FFFFFF" w:val="clear"/>
            <w:vAlign w:val="center"/>
          </w:tcPr>
          <w:p>
            <w:pPr>
              <w:pStyle w:val="TableContents"/>
              <w:bidi w:val="0"/>
              <w:spacing w:before="0" w:after="283"/>
              <w:jc w:val="center"/>
              <w:rPr/>
            </w:pPr>
            <w:r>
              <w:rPr/>
              <w:t> </w:t>
            </w:r>
          </w:p>
        </w:tc>
      </w:tr>
      <w:tr>
        <w:trPr/>
        <w:tc>
          <w:tcPr>
            <w:tcW w:w="1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31,678,159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(276,410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157,507</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8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6,445</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8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restricted stock units under equity incentive plans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8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common stock warrants and pre-funded common stock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1,644,886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8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8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413"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3"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33,337,079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143,386</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1833"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ind w:left="0" w:right="0" w:firstLine="200"/>
              <w:jc w:val="right"/>
              <w:rPr/>
            </w:pPr>
            <w:r>
              <w:rPr/>
              <w:t> </w:t>
            </w:r>
          </w:p>
        </w:tc>
      </w:tr>
      <w:tr>
        <w:trPr/>
        <w:tc>
          <w:tcPr>
            <w:tcW w:w="1833"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833"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13" w:type="dxa"/>
            <w:tcBorders/>
            <w:shd w:fill="FFFFFF" w:val="clear"/>
            <w:vAlign w:val="center"/>
          </w:tcPr>
          <w:p>
            <w:pPr>
              <w:pStyle w:val="TableContents"/>
              <w:bidi w:val="0"/>
              <w:spacing w:before="0" w:after="283"/>
              <w:jc w:val="center"/>
              <w:rPr/>
            </w:pPr>
            <w:r>
              <w:rPr/>
              <w:t> </w:t>
            </w:r>
          </w:p>
        </w:tc>
      </w:tr>
      <w:tr>
        <w:trPr/>
        <w:tc>
          <w:tcPr>
            <w:tcW w:w="1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w:t>
            </w:r>
          </w:p>
        </w:tc>
        <w:tc>
          <w:tcPr>
            <w:tcW w:w="413" w:type="dxa"/>
            <w:tcBorders/>
            <w:shd w:fill="FFFFFF" w:val="clear"/>
            <w:vAlign w:val="center"/>
          </w:tcPr>
          <w:p>
            <w:pPr>
              <w:pStyle w:val="TableContents"/>
              <w:bidi w:val="0"/>
              <w:spacing w:before="0" w:after="283"/>
              <w:jc w:val="center"/>
              <w:rPr/>
            </w:pPr>
            <w:r>
              <w:rPr/>
              <w:t> </w:t>
            </w:r>
          </w:p>
        </w:tc>
      </w:tr>
      <w:tr>
        <w:trPr/>
        <w:tc>
          <w:tcPr>
            <w:tcW w:w="183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January 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8,159,382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(237,422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10,348</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8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8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restricted stock units under equity incentive plans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8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 withholding payments for net share-settled equity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05" w:type="dxa"/>
            <w:tcBorders/>
            <w:shd w:fill="CFF0FC" w:val="clear"/>
            <w:vAlign w:val="center"/>
          </w:tcPr>
          <w:p>
            <w:pPr>
              <w:pStyle w:val="TableContents"/>
              <w:bidi w:val="0"/>
              <w:spacing w:before="0" w:after="283"/>
              <w:jc w:val="left"/>
              <w:rPr/>
            </w:pPr>
            <w:r>
              <w:rPr/>
              <w:t> </w:t>
            </w:r>
          </w:p>
        </w:tc>
        <w:tc>
          <w:tcPr>
            <w:tcW w:w="4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90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3" w:type="dxa"/>
            <w:tcBorders/>
            <w:shd w:fill="CFF0FC" w:val="clear"/>
            <w:vAlign w:val="center"/>
          </w:tcPr>
          <w:p>
            <w:pPr>
              <w:pStyle w:val="TableContents"/>
              <w:bidi w:val="0"/>
              <w:spacing w:before="0" w:after="283"/>
              <w:ind w:left="0" w:right="0" w:firstLine="200"/>
              <w:jc w:val="left"/>
              <w:rPr/>
            </w:pPr>
            <w:r>
              <w:rPr/>
              <w:t> </w:t>
            </w:r>
          </w:p>
        </w:tc>
      </w:tr>
      <w:tr>
        <w:trPr/>
        <w:tc>
          <w:tcPr>
            <w:tcW w:w="183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shd w:fill="FFFFFF" w:val="clear"/>
            <w:vAlign w:val="center"/>
          </w:tcPr>
          <w:p>
            <w:pPr>
              <w:pStyle w:val="TableContents"/>
              <w:bidi w:val="0"/>
              <w:spacing w:before="0" w:after="283"/>
              <w:jc w:val="left"/>
              <w:rPr/>
            </w:pPr>
            <w:r>
              <w:rPr/>
              <w:t> </w:t>
            </w:r>
          </w:p>
        </w:tc>
        <w:tc>
          <w:tcPr>
            <w:tcW w:w="90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413" w:type="dxa"/>
            <w:tcBorders/>
            <w:shd w:fill="FFFFFF" w:val="clear"/>
            <w:vAlign w:val="center"/>
          </w:tcPr>
          <w:p>
            <w:pPr>
              <w:pStyle w:val="TableContents"/>
              <w:bidi w:val="0"/>
              <w:spacing w:before="0" w:after="283"/>
              <w:ind w:left="0" w:right="0" w:firstLine="200"/>
              <w:jc w:val="left"/>
              <w:rPr/>
            </w:pPr>
            <w:r>
              <w:rPr/>
              <w:t> </w:t>
            </w:r>
          </w:p>
        </w:tc>
      </w:tr>
      <w:tr>
        <w:trPr/>
        <w:tc>
          <w:tcPr>
            <w:tcW w:w="183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3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8,168,788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248,393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(245,778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2,639</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7" w:type="dxa"/>
            <w:gridSpan w:val="2"/>
            <w:tcBorders/>
            <w:shd w:fill="FFFFFF" w:val="clear"/>
            <w:vAlign w:val="center"/>
          </w:tcPr>
          <w:p>
            <w:pPr>
              <w:pStyle w:val="TableContents"/>
              <w:bidi w:val="0"/>
              <w:spacing w:before="0" w:after="283"/>
              <w:jc w:val="right"/>
              <w:rPr/>
            </w:pPr>
            <w:r>
              <w:rPr/>
              <w:t> </w:t>
            </w:r>
          </w:p>
        </w:tc>
        <w:tc>
          <w:tcPr>
            <w:tcW w:w="413"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Soleno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ndnsd_cnsolidated_statements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488" w:type="dxa"/>
        <w:jc w:val="left"/>
        <w:tblInd w:w="0" w:type="dxa"/>
        <w:tblLayout w:type="fixed"/>
        <w:tblCellMar>
          <w:top w:w="28" w:type="dxa"/>
          <w:left w:w="28" w:type="dxa"/>
          <w:bottom w:w="28" w:type="dxa"/>
          <w:right w:w="28" w:type="dxa"/>
        </w:tblCellMar>
      </w:tblPr>
      <w:tblGrid>
        <w:gridCol w:w="6151"/>
        <w:gridCol w:w="146"/>
        <w:gridCol w:w="225"/>
        <w:gridCol w:w="897"/>
        <w:gridCol w:w="177"/>
        <w:gridCol w:w="155"/>
        <w:gridCol w:w="225"/>
        <w:gridCol w:w="721"/>
        <w:gridCol w:w="79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w:t>
            </w:r>
          </w:p>
        </w:tc>
        <w:tc>
          <w:tcPr>
            <w:tcW w:w="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ind w:left="0" w:right="0" w:firstLine="200"/>
              <w:jc w:val="right"/>
              <w:rPr/>
            </w:pPr>
            <w:r>
              <w:rPr/>
              <w:t> </w:t>
            </w:r>
          </w:p>
        </w:tc>
      </w:tr>
      <w:tr>
        <w:trPr/>
        <w:tc>
          <w:tcPr>
            <w:tcW w:w="6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Accretion of premium/discount on investments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61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non-cash reconciling items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61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400"/>
              <w:jc w:val="right"/>
              <w:rPr/>
            </w:pPr>
            <w:r>
              <w:rPr/>
              <w:t> </w:t>
            </w:r>
          </w:p>
        </w:tc>
      </w:tr>
      <w:tr>
        <w:trPr/>
        <w:tc>
          <w:tcPr>
            <w:tcW w:w="61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other current assets and other assets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4,865</w:t>
            </w:r>
          </w:p>
        </w:tc>
        <w:tc>
          <w:tcPr>
            <w:tcW w:w="177"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61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clinical trial site costs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791" w:type="dxa"/>
            <w:tcBorders/>
            <w:shd w:fill="FFFFFF" w:val="clear"/>
            <w:vAlign w:val="center"/>
          </w:tcPr>
          <w:p>
            <w:pPr>
              <w:pStyle w:val="TableContents"/>
              <w:bidi w:val="0"/>
              <w:spacing w:before="0" w:after="283"/>
              <w:ind w:left="0" w:right="0" w:firstLine="400"/>
              <w:jc w:val="left"/>
              <w:rPr/>
            </w:pPr>
            <w:r>
              <w:rPr/>
              <w:t> </w:t>
            </w:r>
          </w:p>
        </w:tc>
      </w:tr>
      <w:tr>
        <w:trPr/>
        <w:tc>
          <w:tcPr>
            <w:tcW w:w="615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79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51"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7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1" w:type="dxa"/>
            <w:tcBorders/>
            <w:shd w:fill="CFF0FC"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(115,233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51"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Net cash used in investing activities</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(115,244</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jc w:val="right"/>
              <w:rPr/>
            </w:pPr>
            <w:r>
              <w:rPr/>
              <w:t> </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common stock warrants</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1" w:type="dxa"/>
            <w:tcBorders/>
            <w:shd w:fill="CFF0FC" w:val="cle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151" w:type="dxa"/>
            <w:tcBorders/>
            <w:shd w:fill="CFF0FC" w:val="clear"/>
            <w:vAlign w:val="center"/>
          </w:tcPr>
          <w:p>
            <w:pPr>
              <w:pStyle w:val="TableContents"/>
              <w:bidi w:val="0"/>
              <w:spacing w:before="0" w:after="283"/>
              <w:ind w:left="600" w:right="0" w:firstLine="600"/>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(126,834</w:t>
            </w:r>
          </w:p>
        </w:tc>
        <w:tc>
          <w:tcPr>
            <w:tcW w:w="17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7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169,681</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end of period</w:t>
            </w:r>
          </w:p>
        </w:tc>
        <w:tc>
          <w:tcPr>
            <w:tcW w:w="146"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42,847</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22" w:type="dxa"/>
            <w:gridSpan w:val="2"/>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946" w:type="dxa"/>
            <w:gridSpan w:val="2"/>
            <w:tcBorders/>
            <w:shd w:fill="CFF0FC" w:val="clear"/>
            <w:vAlign w:val="center"/>
          </w:tcPr>
          <w:p>
            <w:pPr>
              <w:pStyle w:val="TableContents"/>
              <w:bidi w:val="0"/>
              <w:spacing w:before="0" w:after="283"/>
              <w:jc w:val="right"/>
              <w:rPr/>
            </w:pPr>
            <w:r>
              <w:rPr/>
              <w:t> </w:t>
            </w:r>
          </w:p>
        </w:tc>
        <w:tc>
          <w:tcPr>
            <w:tcW w:w="791" w:type="dxa"/>
            <w:tcBorders/>
            <w:shd w:fill="CFF0FC" w:val="clear"/>
            <w:vAlign w:val="center"/>
          </w:tcPr>
          <w:p>
            <w:pPr>
              <w:pStyle w:val="TableContents"/>
              <w:bidi w:val="0"/>
              <w:spacing w:before="0" w:after="283"/>
              <w:jc w:val="right"/>
              <w:rPr/>
            </w:pPr>
            <w:r>
              <w:rPr/>
              <w:t> </w:t>
            </w:r>
          </w:p>
        </w:tc>
      </w:tr>
      <w:tr>
        <w:trPr/>
        <w:tc>
          <w:tcPr>
            <w:tcW w:w="615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financing information</w:t>
            </w:r>
          </w:p>
        </w:tc>
        <w:tc>
          <w:tcPr>
            <w:tcW w:w="146" w:type="dxa"/>
            <w:tcBorders/>
            <w:shd w:fill="FFFFFF" w:val="clear"/>
            <w:vAlign w:val="center"/>
          </w:tcPr>
          <w:p>
            <w:pPr>
              <w:pStyle w:val="TableContents"/>
              <w:bidi w:val="0"/>
              <w:spacing w:before="0" w:after="283"/>
              <w:jc w:val="left"/>
              <w:rPr/>
            </w:pPr>
            <w:r>
              <w:rPr/>
              <w:t> </w:t>
            </w:r>
          </w:p>
        </w:tc>
        <w:tc>
          <w:tcPr>
            <w:tcW w:w="1122" w:type="dxa"/>
            <w:gridSpan w:val="2"/>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c>
          <w:tcPr>
            <w:tcW w:w="946"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600"/>
              <w:jc w:val="right"/>
              <w:rPr/>
            </w:pPr>
            <w:r>
              <w:rPr/>
              <w:t> </w:t>
            </w:r>
          </w:p>
        </w:tc>
      </w:tr>
      <w:tr>
        <w:trPr/>
        <w:tc>
          <w:tcPr>
            <w:tcW w:w="615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Purchases of property and equipment included in accounts payable</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77"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condensed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Soleno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March 31, 2024</w:t>
      </w:r>
    </w:p>
    <w:p>
      <w:pPr>
        <w:pStyle w:val="TextBody"/>
        <w:bidi w:val="0"/>
        <w:jc w:val="center"/>
        <w:rPr>
          <w:rFonts w:ascii="Times New Roman" w:hAnsi="Times New Roman"/>
          <w:sz w:val="20"/>
        </w:rPr>
      </w:pPr>
      <w:bookmarkStart w:id="9" w:name="notes_consolidated_financial_statements"/>
      <w:bookmarkEnd w:id="9"/>
      <w:r>
        <w:rPr>
          <w:rFonts w:ascii="Times New Roman" w:hAnsi="Times New Roman"/>
          <w:b/>
          <w:color w:val="000000"/>
          <w:sz w:val="18"/>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Note 1.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Soleno Therapeutics, Inc. (the Company or Soleno) is focused on the development and commercialization of novel therapeutics for the treatment of rare diseases. Its lead candidate is DCCR (Diazoxide Choline) Extended-Release tablets, a once-daily oral tablet for the treatment of Prader-Willi syndrome (PWS). DCCR has received orphan designation for the treatment of PWS in the United States (U.S.) as well as in the European Union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a net loss of $21.4 million during the three months ended March 31, 2024 and has an accumulated deficit of $297.8 million at March 31, 2024 resulting from having incurred losses since its inception. The Company had $42.8 million of cash and cash equivalents on hand, $106.8 million of short-term investments and $8.8 million of long-term investments at March 31, 2024, and used $12.5 million of cash in its operating activities during the three months ended March 31,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financed its operations principally through issuance of equity securities. On October 2, 2023, the Company closed a public and concurrent private financing with gross proceeds of $129.0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2022, the Company entered into a Securities Purchase Agreement providing for the sale of up to $60.0 million in warrants (Tranche A and Tranche B) and the common stock issuable upon the exercise thereof. Through March 31, 2024, the Company has received $10.0 million from the sale of these warrants and $33.5 million in proceeds from the exercise of certain of these warrants. Warrants with an aggregate exercise price of $16.5 million are still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continue incurring losses for the foreseeable future. However, the Company expects that its current cash, cash equivalents and short-term investments balances will be sufficient to enable the Company to meet its obligations for at least the next twelve months from the date of this filing.</w:t>
      </w:r>
    </w:p>
    <w:p>
      <w:pPr>
        <w:pStyle w:val="TextBody"/>
        <w:bidi w:val="0"/>
        <w:spacing w:before="360" w:after="283"/>
        <w:jc w:val="left"/>
        <w:rPr>
          <w:rFonts w:ascii="Times New Roman" w:hAnsi="Times New Roman"/>
          <w:sz w:val="20"/>
        </w:rPr>
      </w:pPr>
      <w:r>
        <w:rPr>
          <w:rFonts w:ascii="Times New Roman" w:hAnsi="Times New Roman"/>
          <w:b/>
          <w:color w:val="000000"/>
          <w:sz w:val="20"/>
        </w:rPr>
        <w:t>Note 3. Basis of Presentation and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material changes to the significant accounting policies during the three months ended March 31, 2024 as compared to the significant accounting policies described in Note 3 of the “Notes to Consolidated Financial Statements” in the Company’s Annual Report on Form 10-K for the year ended December 31, 2023, except as noted below.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of the Company have been prepared in accordance with U.S. generally accepted accounting principles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 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months ended March 31, 2024 are not necessarily indicative of the results that may be expected for any other interim period or for the fiscal year ending December 31, 2024. For further information, refer to the financial statements and footnotes included in the Company’s annual financial statements for the fiscal year ended December 31, 2023, which are included in the Company’s annual report on Form 10-K filed with the SEC on March 7, 2024.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classifies its marketable securities as available-for-sale and records such assets at estimated fair value in the balance sheets, with unrealized gains and non-credit related losses that are determined to be temporary, if any, reported as a component of other comprehensive income (loss) within the statements of operations and comprehensive loss and as a separate component of stockholders’ equity. The Company classifies marketable securities with remaining maturities greater than three months but less than one year as short-term investments, and those with remaining maturities greater than one year are classified as long-term investments. Realized gains and losses are calculated using the specific identification method and recorded as interest income and were immaterial for all periods presented.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or other standard setting bodies that are adopted by the Company as of the specified effective date.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Improvements to Income Tax Disclosures, </w:t>
      </w:r>
      <w:r>
        <w:rPr>
          <w:rFonts w:ascii="Times New Roman" w:hAnsi="Times New Roman"/>
          <w:color w:val="000000"/>
          <w:sz w:val="20"/>
        </w:rPr>
        <w:t xml:space="preserve">which amends the guidance in </w:t>
      </w:r>
      <w:r>
        <w:rPr>
          <w:rFonts w:ascii="Times New Roman" w:hAnsi="Times New Roman"/>
          <w:i/>
          <w:color w:val="000000"/>
          <w:sz w:val="20"/>
        </w:rPr>
        <w:t>ASC 740, Income Taxes</w:t>
      </w:r>
      <w:r>
        <w:rPr>
          <w:rFonts w:ascii="Times New Roman" w:hAnsi="Times New Roman"/>
          <w:color w:val="000000"/>
          <w:sz w:val="20"/>
        </w:rPr>
        <w:t>.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Adoption is permitted either prospectively or retrospectively, and the Company will adopt this ASU on a prospective basis. The Company is currently evaluating the impact of adopting this ASU on its consolidated financial statements and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pStyle w:val="TextBody"/>
        <w:bidi w:val="0"/>
        <w:spacing w:before="360" w:after="283"/>
        <w:jc w:val="left"/>
        <w:rPr>
          <w:rFonts w:ascii="Times New Roman" w:hAnsi="Times New Roman"/>
          <w:sz w:val="20"/>
        </w:rPr>
      </w:pPr>
      <w:r>
        <w:rPr>
          <w:rFonts w:ascii="Times New Roman" w:hAnsi="Times New Roman"/>
          <w:b/>
          <w:color w:val="000000"/>
          <w:sz w:val="20"/>
        </w:rPr>
        <w:t>Note 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 of the Company’s cash, cash equivalents and accounts payable, approximate fair value due to the short-term nature of these items.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hierarchy defines a three-level valuation hierarchy for disclosure of fair value measurements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 — Unadjusted 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III — Unobservable inputs that are supported by little or no market activity for the related assets or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categorization of a financial instrument within the valuation hierarchy is based upon the lowest level of input that is significant to the fair value measurement.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Marketable securities, all of which are classified as available-for-sale securities, consisted of the following at March 31, 2024 (in thousands):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869" w:type="dxa"/>
        <w:jc w:val="left"/>
        <w:tblInd w:w="0" w:type="dxa"/>
        <w:tblLayout w:type="fixed"/>
        <w:tblCellMar>
          <w:top w:w="28" w:type="dxa"/>
          <w:left w:w="28" w:type="dxa"/>
          <w:bottom w:w="28" w:type="dxa"/>
          <w:right w:w="28" w:type="dxa"/>
        </w:tblCellMar>
      </w:tblPr>
      <w:tblGrid>
        <w:gridCol w:w="2011"/>
        <w:gridCol w:w="146"/>
        <w:gridCol w:w="265"/>
        <w:gridCol w:w="980"/>
        <w:gridCol w:w="146"/>
        <w:gridCol w:w="146"/>
        <w:gridCol w:w="754"/>
        <w:gridCol w:w="596"/>
        <w:gridCol w:w="146"/>
        <w:gridCol w:w="146"/>
        <w:gridCol w:w="420"/>
        <w:gridCol w:w="960"/>
        <w:gridCol w:w="166"/>
        <w:gridCol w:w="146"/>
        <w:gridCol w:w="351"/>
        <w:gridCol w:w="1299"/>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2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2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50"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Company’s financial instruments that were measured at fair value on a recurring basis by level within the fair value hierarchy (in thousands): </w:t>
      </w:r>
    </w:p>
    <w:p>
      <w:pPr>
        <w:pStyle w:val="TextBody"/>
        <w:bidi w:val="0"/>
        <w:jc w:val="left"/>
        <w:rPr/>
      </w:pPr>
      <w:r>
        <w:rPr/>
        <w:t> </w:t>
      </w:r>
    </w:p>
    <w:tbl>
      <w:tblPr>
        <w:tblW w:w="9147" w:type="dxa"/>
        <w:jc w:val="left"/>
        <w:tblInd w:w="0" w:type="dxa"/>
        <w:tblLayout w:type="fixed"/>
        <w:tblCellMar>
          <w:top w:w="28" w:type="dxa"/>
          <w:left w:w="28" w:type="dxa"/>
          <w:bottom w:w="28" w:type="dxa"/>
          <w:right w:w="28" w:type="dxa"/>
        </w:tblCellMar>
      </w:tblPr>
      <w:tblGrid>
        <w:gridCol w:w="3976"/>
        <w:gridCol w:w="146"/>
        <w:gridCol w:w="211"/>
        <w:gridCol w:w="781"/>
        <w:gridCol w:w="146"/>
        <w:gridCol w:w="146"/>
        <w:gridCol w:w="211"/>
        <w:gridCol w:w="676"/>
        <w:gridCol w:w="146"/>
        <w:gridCol w:w="146"/>
        <w:gridCol w:w="211"/>
        <w:gridCol w:w="781"/>
        <w:gridCol w:w="146"/>
        <w:gridCol w:w="146"/>
        <w:gridCol w:w="211"/>
        <w:gridCol w:w="676"/>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Essentialis purchase price contingency liability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23" w:type="dxa"/>
        <w:jc w:val="left"/>
        <w:tblInd w:w="0" w:type="dxa"/>
        <w:tblLayout w:type="fixed"/>
        <w:tblCellMar>
          <w:top w:w="28" w:type="dxa"/>
          <w:left w:w="28" w:type="dxa"/>
          <w:bottom w:w="28" w:type="dxa"/>
          <w:right w:w="28" w:type="dxa"/>
        </w:tblCellMar>
      </w:tblPr>
      <w:tblGrid>
        <w:gridCol w:w="3976"/>
        <w:gridCol w:w="146"/>
        <w:gridCol w:w="211"/>
        <w:gridCol w:w="676"/>
        <w:gridCol w:w="146"/>
        <w:gridCol w:w="146"/>
        <w:gridCol w:w="239"/>
        <w:gridCol w:w="391"/>
        <w:gridCol w:w="146"/>
        <w:gridCol w:w="146"/>
        <w:gridCol w:w="239"/>
        <w:gridCol w:w="391"/>
        <w:gridCol w:w="146"/>
        <w:gridCol w:w="146"/>
        <w:gridCol w:w="211"/>
        <w:gridCol w:w="676"/>
        <w:gridCol w:w="39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Essentialis purchase price contingency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terms of the Company’s completed merger with Essentialis on March 7, 2017, the Company is obligated to make cash earnout payments of up to a maximum of $21.2 million to the former Essentialis stockholders. The fair value of the Essentialis purchase price contingent liability is estimated using scenario-based methods based upon the Company’s analysis of the likelihood of obtaining specified approvals from the U.S. Food and Drug Administration (FDA) as well as achieving two commercial sales milestones of $100 million and $200 million in cumulative revenue. The Level 3 estimates are based, in part, on subjective assumptions. In determining the likelihood of this occurring, the analysis relied on published research relating to clinical development success rates. Based on management’s assessment, an 88% probability of achieving all three milestones was determined to be reasonable as of both March 31, 2024 and December 31, 2023. During the periods presented, the Company has not changed the manner in which it values its Essentialis purchase price contingent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transfers between levels of the fair value hierarchy as of the end of the reporting period. There were no transfers between levels within the hierarchy during the periods presented.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the changes in the fair value of the Company’s Level 3 liabilities for the three months ended March 31, 2024 and 2023 (dollars in thousands): </w:t>
      </w:r>
    </w:p>
    <w:p>
      <w:pPr>
        <w:pStyle w:val="TextBody"/>
        <w:bidi w:val="0"/>
        <w:jc w:val="left"/>
        <w:rPr/>
      </w:pPr>
      <w:r>
        <w:rPr/>
        <w:t> </w:t>
      </w:r>
    </w:p>
    <w:tbl>
      <w:tblPr>
        <w:tblW w:w="7013" w:type="dxa"/>
        <w:jc w:val="left"/>
        <w:tblInd w:w="0" w:type="dxa"/>
        <w:tblLayout w:type="fixed"/>
        <w:tblCellMar>
          <w:top w:w="28" w:type="dxa"/>
          <w:left w:w="28" w:type="dxa"/>
          <w:bottom w:w="28" w:type="dxa"/>
          <w:right w:w="28" w:type="dxa"/>
        </w:tblCellMar>
      </w:tblPr>
      <w:tblGrid>
        <w:gridCol w:w="3301"/>
        <w:gridCol w:w="146"/>
        <w:gridCol w:w="157"/>
        <w:gridCol w:w="728"/>
        <w:gridCol w:w="146"/>
        <w:gridCol w:w="146"/>
        <w:gridCol w:w="273"/>
        <w:gridCol w:w="448"/>
        <w:gridCol w:w="146"/>
        <w:gridCol w:w="146"/>
        <w:gridCol w:w="282"/>
        <w:gridCol w:w="903"/>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98"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w:t>
            </w:r>
          </w:p>
        </w:tc>
        <w:tc>
          <w:tcPr>
            <w:tcW w:w="191"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w:t>
              <w:br/>
              <w:t>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2024</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19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value of contingent liability</w:t>
            </w:r>
          </w:p>
        </w:tc>
        <w:tc>
          <w:tcPr>
            <w:tcW w:w="146" w:type="dxa"/>
            <w:tcBorders/>
            <w:shd w:fill="FFFFFF" w:val="clear"/>
            <w:vAlign w:val="center"/>
          </w:tcPr>
          <w:p>
            <w:pPr>
              <w:pStyle w:val="TableContents"/>
              <w:bidi w:val="0"/>
              <w:spacing w:before="0" w:after="283"/>
              <w:jc w:val="righ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FF0FC" w:val="clear"/>
            <w:vAlign w:val="center"/>
          </w:tcPr>
          <w:p>
            <w:pPr>
              <w:pStyle w:val="TableContents"/>
              <w:bidi w:val="0"/>
              <w:spacing w:before="0" w:after="283"/>
              <w:jc w:val="right"/>
              <w:rPr/>
            </w:pPr>
            <w:r>
              <w:rPr/>
              <w:t> </w:t>
            </w:r>
          </w:p>
        </w:tc>
        <w:tc>
          <w:tcPr>
            <w:tcW w:w="88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2018 PIPE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Purchase Price</w:t>
            </w:r>
          </w:p>
        </w:tc>
        <w:tc>
          <w:tcPr>
            <w:tcW w:w="191" w:type="dxa"/>
            <w:tcBorders/>
            <w:shd w:fill="FFFFFF" w:val="clear"/>
            <w:vAlign w:val="center"/>
          </w:tcPr>
          <w:p>
            <w:pPr>
              <w:pStyle w:val="TableContents"/>
              <w:bidi w:val="0"/>
              <w:spacing w:before="0" w:after="283"/>
              <w:jc w:val="center"/>
              <w:rPr/>
            </w:pPr>
            <w:r>
              <w:rPr/>
              <w:t> </w:t>
            </w:r>
          </w:p>
        </w:tc>
      </w:tr>
      <w:tr>
        <w:trPr/>
        <w:tc>
          <w:tcPr>
            <w:tcW w:w="33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w:t>
              <w:br/>
              <w:t>Liability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2023</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7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8,835</w:t>
            </w:r>
          </w:p>
        </w:tc>
        <w:tc>
          <w:tcPr>
            <w:tcW w:w="191" w:type="dxa"/>
            <w:tcBorders/>
            <w:shd w:fill="CFF0FC" w:val="clear"/>
            <w:vAlign w:val="center"/>
          </w:tcPr>
          <w:p>
            <w:pPr>
              <w:pStyle w:val="TableContents"/>
              <w:bidi w:val="0"/>
              <w:spacing w:before="0" w:after="283"/>
              <w:jc w:val="left"/>
              <w:rPr/>
            </w:pPr>
            <w:r>
              <w:rPr/>
              <w:t> </w:t>
            </w:r>
          </w:p>
        </w:tc>
      </w:tr>
      <w:tr>
        <w:trPr/>
        <w:tc>
          <w:tcPr>
            <w:tcW w:w="33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value of contingent liability</w:t>
            </w:r>
          </w:p>
        </w:tc>
        <w:tc>
          <w:tcPr>
            <w:tcW w:w="146" w:type="dxa"/>
            <w:tcBorders/>
            <w:shd w:fill="FFFFFF" w:val="cle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2023</w:t>
            </w:r>
          </w:p>
        </w:tc>
        <w:tc>
          <w:tcPr>
            <w:tcW w:w="146" w:type="dxa"/>
            <w:tcBorders/>
            <w:shd w:fill="CFF0FC" w:val="cle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Note 5. 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has issued multiple warrant series, of which the 2018 PIPE Warrants were determined to be liabilities pursuant to the guidance established by </w:t>
      </w:r>
      <w:r>
        <w:rPr>
          <w:rFonts w:ascii="Times New Roman" w:hAnsi="Times New Roman"/>
          <w:i/>
          <w:color w:val="000000"/>
          <w:sz w:val="20"/>
        </w:rPr>
        <w:t>ASC 815 Derivatives and Hedging.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Warrants Issued as Part of the Units in the 2018 PIPE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2018 PIPE Warrants were issued on December 19, 2018 in the 2018 PIPE Offering, pursuant to a Warrant Agreement with each of the investors in the 2018 PIPE Offering, and prior to their expiration on December 21, 2023, entitled the holders to purchase 34,241 shares of the Company’s common stock at an exercise price equal to $30.00 per share, subject to adjustments.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condensed consolidated statements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2018 PIPE Warrants were either exercised prior to or expired on December 21, 2023.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6.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Facility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operating lease for its headquarters facility office space in Redwood City, California began in June 2021 and expired in May 2023. In April 2023, the Company entered into a twenty-four month lease extension commencing on June 1, 2023. The term of the lease extension expires in May 2025. On February 8, 2024, the Company entered into a six-month office license agreement to license 4,141 square feet of additional space adjacent to its existing office where the Company is currently located. The term for the additional space expires on October 31, 2024, unless terminated earlier in accordance with the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operating lease ROU assets, current operating lease liabilities and long-term operating lease liabilities each appear as a separate line within the Company's condensed consolidated balance sheet. As of March 31, 2024 and December 31, 2023, the Company's short-term liabilities were equal to $0.3 million and $0.3 million, respectively, and the long-term operating lease liabilities were equal to $37 thousand and $0.1 million, respectively. Due to the short-term nature of the February 2024 office license agreement, the license agreement obligations are not included in the Company's right-of-use assets and lease liabilities on the Company's condensed consolidated balance sheet.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2023, the Company recorded an increase to its right-of-use asset by $0.6 million and an increase to its lease liability by $0.6 million as a result of the 2023 lease extension. The weighted average discount rate related to the Company's lease liabilities as of March 31, 2024 was 8.25% over a remaining term of 14 months. The weighted average discount rate related to the Company's lease liabilities as of December 31, 2023 was 8.25% over a remaining term of 17 months. The discount rate was determined based on estimates of the Company’s incremental borrowing rate, as the discount rate implicit in the lease cannot be readily determined.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schedule by year of future maturities of the Company's operating lease liabilities as of March 31, 2024 (in thousands):</w:t>
      </w:r>
    </w:p>
    <w:p>
      <w:pPr>
        <w:pStyle w:val="TextBody"/>
        <w:bidi w:val="0"/>
        <w:spacing w:before="120" w:after="283"/>
        <w:jc w:val="left"/>
        <w:rPr/>
      </w:pPr>
      <w:r>
        <w:rPr/>
        <w:t> </w:t>
      </w:r>
    </w:p>
    <w:tbl>
      <w:tblPr>
        <w:tblW w:w="3605" w:type="dxa"/>
        <w:jc w:val="left"/>
        <w:tblInd w:w="0" w:type="dxa"/>
        <w:tblLayout w:type="fixed"/>
        <w:tblCellMar>
          <w:top w:w="28" w:type="dxa"/>
          <w:left w:w="28" w:type="dxa"/>
          <w:bottom w:w="28" w:type="dxa"/>
          <w:right w:w="28" w:type="dxa"/>
        </w:tblCellMar>
      </w:tblPr>
      <w:tblGrid>
        <w:gridCol w:w="2416"/>
        <w:gridCol w:w="211"/>
        <w:gridCol w:w="146"/>
        <w:gridCol w:w="421"/>
        <w:gridCol w:w="411"/>
      </w:tblGrid>
      <w:tr>
        <w:trPr/>
        <w:tc>
          <w:tcPr>
            <w:tcW w:w="2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(remainder of the year)</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411" w:type="dxa"/>
            <w:tcBorders/>
            <w:shd w:fill="CFF0FC"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lease payments</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411" w:type="dxa"/>
            <w:tcBorders/>
            <w:shd w:fill="CFF0FC" w:val="clear"/>
            <w:vAlign w:val="center"/>
          </w:tcPr>
          <w:p>
            <w:pPr>
              <w:pStyle w:val="TableContents"/>
              <w:bidi w:val="0"/>
              <w:spacing w:before="0" w:after="283"/>
              <w:jc w:val="left"/>
              <w:rPr/>
            </w:pPr>
            <w:r>
              <w:rPr/>
              <w:t> </w:t>
            </w:r>
          </w:p>
        </w:tc>
      </w:tr>
      <w:tr>
        <w:trPr/>
        <w:tc>
          <w:tcPr>
            <w:tcW w:w="24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211"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expense during the three months ended March 31, 2024 and 2023 were as follows (in thousands):</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200" w:type="dxa"/>
        <w:jc w:val="left"/>
        <w:tblInd w:w="0" w:type="dxa"/>
        <w:tblLayout w:type="fixed"/>
        <w:tblCellMar>
          <w:top w:w="28" w:type="dxa"/>
          <w:left w:w="28" w:type="dxa"/>
          <w:bottom w:w="28" w:type="dxa"/>
          <w:right w:w="28" w:type="dxa"/>
        </w:tblCellMar>
      </w:tblPr>
      <w:tblGrid>
        <w:gridCol w:w="2206"/>
        <w:gridCol w:w="228"/>
        <w:gridCol w:w="456"/>
        <w:gridCol w:w="158"/>
        <w:gridCol w:w="158"/>
        <w:gridCol w:w="228"/>
        <w:gridCol w:w="375"/>
        <w:gridCol w:w="391"/>
      </w:tblGrid>
      <w:tr>
        <w:trPr/>
        <w:tc>
          <w:tcPr>
            <w:tcW w:w="22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vAlign w:val="center"/>
          </w:tcPr>
          <w:p>
            <w:pPr>
              <w:pStyle w:val="TableContents"/>
              <w:bidi w:val="0"/>
              <w:spacing w:before="0" w:after="283"/>
              <w:jc w:val="left"/>
              <w:rPr/>
            </w:pPr>
            <w:r>
              <w:rPr/>
              <w:t> </w:t>
            </w:r>
          </w:p>
        </w:tc>
        <w:tc>
          <w:tcPr>
            <w:tcW w:w="160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6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center"/>
              <w:rPr/>
            </w:pPr>
            <w:r>
              <w:rPr/>
              <w:t> </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684" w:type="dxa"/>
            <w:gridSpan w:val="2"/>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right"/>
              <w:rPr/>
            </w:pPr>
            <w:r>
              <w:rPr/>
              <w:t> </w:t>
            </w:r>
          </w:p>
        </w:tc>
        <w:tc>
          <w:tcPr>
            <w:tcW w:w="158" w:type="dxa"/>
            <w:tcBorders/>
            <w:shd w:fill="CFF0FC" w:val="clear"/>
            <w:vAlign w:val="center"/>
          </w:tcPr>
          <w:p>
            <w:pPr>
              <w:pStyle w:val="TableContents"/>
              <w:bidi w:val="0"/>
              <w:spacing w:before="0" w:after="283"/>
              <w:jc w:val="left"/>
              <w:rPr/>
            </w:pPr>
            <w:r>
              <w:rPr/>
              <w:t> </w:t>
            </w:r>
          </w:p>
        </w:tc>
        <w:tc>
          <w:tcPr>
            <w:tcW w:w="603"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20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lease cost</w:t>
            </w:r>
          </w:p>
        </w:tc>
        <w:tc>
          <w:tcPr>
            <w:tcW w:w="228" w:type="dxa"/>
            <w:tcBorders/>
            <w:shd w:fill="CFF0FC" w:val="clear"/>
            <w:vAlign w:val="center"/>
          </w:tcPr>
          <w:p>
            <w:pPr>
              <w:pStyle w:val="TableContents"/>
              <w:bidi w:val="0"/>
              <w:spacing w:before="0" w:after="283"/>
              <w:jc w:val="left"/>
              <w:rPr/>
            </w:pPr>
            <w:r>
              <w:rPr/>
              <w:t> </w:t>
            </w:r>
          </w:p>
        </w:tc>
        <w:tc>
          <w:tcPr>
            <w:tcW w:w="45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375"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20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lease cost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cost</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pPr>
            <w:r>
              <w:rPr/>
              <w:t> </w:t>
            </w:r>
          </w:p>
        </w:tc>
        <w:tc>
          <w:tcPr>
            <w:tcW w:w="684" w:type="dxa"/>
            <w:gridSpan w:val="2"/>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603"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Supplemental cash flow information related to leases was as follows (in thousands):</w:t>
      </w:r>
    </w:p>
    <w:p>
      <w:pPr>
        <w:pStyle w:val="TextBody"/>
        <w:bidi w:val="0"/>
        <w:spacing w:before="120" w:after="283"/>
        <w:jc w:val="left"/>
        <w:rPr/>
      </w:pPr>
      <w:r>
        <w:rPr/>
        <w:t> </w:t>
      </w:r>
    </w:p>
    <w:tbl>
      <w:tblPr>
        <w:tblW w:w="8455" w:type="dxa"/>
        <w:jc w:val="left"/>
        <w:tblInd w:w="0" w:type="dxa"/>
        <w:tblLayout w:type="fixed"/>
        <w:tblCellMar>
          <w:top w:w="28" w:type="dxa"/>
          <w:left w:w="28" w:type="dxa"/>
          <w:bottom w:w="28" w:type="dxa"/>
          <w:right w:w="28" w:type="dxa"/>
        </w:tblCellMar>
      </w:tblPr>
      <w:tblGrid>
        <w:gridCol w:w="5866"/>
        <w:gridCol w:w="349"/>
        <w:gridCol w:w="522"/>
        <w:gridCol w:w="241"/>
        <w:gridCol w:w="241"/>
        <w:gridCol w:w="349"/>
        <w:gridCol w:w="696"/>
        <w:gridCol w:w="191"/>
      </w:tblGrid>
      <w:tr>
        <w:trPr/>
        <w:tc>
          <w:tcPr>
            <w:tcW w:w="586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87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66" w:type="dxa"/>
            <w:tcBorders/>
            <w:shd w:fill="FFFFFF" w:val="cle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 w:type="dxa"/>
            <w:tcBorders/>
            <w:shd w:fill="FFFFFF" w:val="cle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3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41"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34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91" w:type="dxa"/>
            <w:tcBorders/>
            <w:shd w:fill="CFF0FC" w:val="clear"/>
            <w:vAlign w:val="center"/>
          </w:tcPr>
          <w:p>
            <w:pPr>
              <w:pStyle w:val="TableContents"/>
              <w:bidi w:val="0"/>
              <w:spacing w:before="0" w:after="283"/>
              <w:jc w:val="left"/>
              <w:rPr/>
            </w:pPr>
            <w:r>
              <w:rPr/>
              <w:t> </w:t>
            </w:r>
          </w:p>
        </w:tc>
      </w:tr>
      <w:tr>
        <w:trPr/>
        <w:tc>
          <w:tcPr>
            <w:tcW w:w="5866" w:type="dxa"/>
            <w:tcBorders/>
            <w:shd w:fill="FFFFFF" w:val="clear"/>
            <w:vAlign w:val="center"/>
          </w:tcPr>
          <w:p>
            <w:pPr>
              <w:pStyle w:val="TableContents"/>
              <w:bidi w:val="0"/>
              <w:spacing w:before="0" w:after="283"/>
              <w:jc w:val="left"/>
              <w:rPr/>
            </w:pPr>
            <w:r>
              <w:rPr/>
              <w:t> </w:t>
            </w:r>
          </w:p>
        </w:tc>
        <w:tc>
          <w:tcPr>
            <w:tcW w:w="871" w:type="dxa"/>
            <w:gridSpan w:val="2"/>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04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 </w:t>
      </w:r>
    </w:p>
    <w:p>
      <w:pPr>
        <w:pStyle w:val="TextBody"/>
        <w:bidi w:val="0"/>
        <w:spacing w:before="360" w:after="283"/>
        <w:jc w:val="left"/>
        <w:rPr>
          <w:rFonts w:ascii="Times New Roman" w:hAnsi="Times New Roman"/>
          <w:sz w:val="20"/>
        </w:rPr>
      </w:pPr>
      <w:r>
        <w:rPr>
          <w:rFonts w:ascii="Times New Roman" w:hAnsi="Times New Roman"/>
          <w:b/>
          <w:color w:val="000000"/>
          <w:sz w:val="20"/>
        </w:rPr>
        <w:t>Note 7.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Convertible Preferred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10,000,000 shares of Preferred Stock.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Public Offering of Common Stock and Concurrent Private Placement of Common Stock and Pre-Funded Warrants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On October 2, 2023, the Company closed an underwritten public offering of 3,450,000 shares of its common stock at a public offering of $20.00 per share, which included the exercise in full by the underwriters of their option to purchase additional shares. The gross proceeds of the public offering were $69.0 million, before deducting the underwriting discount and other offering expenses. Concurrently, the Company also completed the closing of 1,825,000 shares of its common stock and 1,175,000 pre-funded warrants in a private offering pursuant to a securities purchase agreement with certain investors, including entities affiliated with existing stockholders, at a price per share of common stock equal to the public offering price of $20.00 and a price per per-funded warrant of $19.99, for total gross proceeds of approximately $60.0 million. In aggregate, the Company received $129.0 million of gross proceeds less offering costs of $8.2 million The Company is not required under any circumstance to settle any of the pre-funded warrants for cash, and therefore classified the pre-funded warrants as permanent equity.</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Securities Purchase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warrants were separated into two tranches with 8,598,870 Tranche A Warrants with an exercise price of $1.75 per share and an aggregate proceeds of up to approximately $15.0 million, and 14,000,000 Tranche B Warrants with an exercise price of $2.50 per share and an aggregate proceeds of up to $35.0 million. The Tranche A warrants were immediately exercisable and were required to be exercised within 30 days of announcement of positive top-line data from the randomized withdrawal period of Study C602. On September 26, 2023, the Company announced positive top-line data and subsequently received $15.0 million from the exercise of the Tranche A warrants. The Tranche B warrants are also immediately exercisable and expire upon the earlier of 3.5 years from the date of issuance or 30 days following receipt of FDA approval of DCCR for the treatment of PWS. Through March 31, 2024, certain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had exercised their Tranche B warrants and the Company has received $18.5 million. The receipt of the aggregate exercise price of up to $16.5 million for the remaining Tranche B warrants is contingent upon the exercise of such warrants. </w:t>
      </w:r>
    </w:p>
    <w:p>
      <w:pPr>
        <w:pStyle w:val="TextBody"/>
        <w:bidi w:val="0"/>
        <w:spacing w:before="240" w:after="283"/>
        <w:jc w:val="left"/>
        <w:rPr>
          <w:rFonts w:ascii="Times New Roman" w:hAnsi="Times New Roman"/>
          <w:sz w:val="20"/>
        </w:rPr>
      </w:pPr>
      <w:r>
        <w:rPr>
          <w:rFonts w:ascii="Times New Roman" w:hAnsi="Times New Roman"/>
          <w:b/>
          <w:i/>
          <w:color w:val="000000"/>
          <w:sz w:val="20"/>
        </w:rPr>
        <w:t>Underwritten Public Offering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31, 2022, the Company sold 2,666,667 shares of its common stock at a public offering price of $3.75 per share, and for certain investors, in lieu of common stock, pre-funded warrants (the 2022 pre-funded warrants) to purchase 1,333,333 shares of its common stock at a public offering price $3.60 per pre-funded warrant, which represents the per share public offering price for the common stock less the $0.15 per share exercise price for each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March 31, 2024, 2,190,932 of the March 2022 common warrants had been exercised for gross proceeds of $9.8 million and all 1,280,965 of the March 2022 pre-funded warrants were exercised in 2023 using the cashless exercise option with no additional proceeds received by the Company.</w:t>
      </w:r>
    </w:p>
    <w:p>
      <w:pPr>
        <w:pStyle w:val="TextBody"/>
        <w:bidi w:val="0"/>
        <w:spacing w:before="240" w:after="283"/>
        <w:jc w:val="left"/>
        <w:rPr>
          <w:rFonts w:ascii="Times New Roman" w:hAnsi="Times New Roman"/>
          <w:sz w:val="20"/>
        </w:rPr>
      </w:pPr>
      <w:r>
        <w:rPr>
          <w:rFonts w:ascii="Times New Roman" w:hAnsi="Times New Roman"/>
          <w:b/>
          <w:i/>
          <w:color w:val="000000"/>
          <w:sz w:val="20"/>
        </w:rPr>
        <w:t>Other Common Stock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 Company had 6,804 common stock warrants outstanding from the 2010/2012 convertible notes, with an exercise price of $365.25 and a term of 10 years expiring in November 2024. The Company also had 1,100 common stock warrants issued to the underwriter in the Company’s IPO, with an exercise price of $535.50 and a term of 10 years, expiring in November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and December 31, 2023, the following table summarizes the Company's outstanding common stock warrants: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19"/>
        <w:gridCol w:w="146"/>
        <w:gridCol w:w="195"/>
        <w:gridCol w:w="1386"/>
        <w:gridCol w:w="146"/>
        <w:gridCol w:w="146"/>
        <w:gridCol w:w="350"/>
        <w:gridCol w:w="1123"/>
        <w:gridCol w:w="146"/>
        <w:gridCol w:w="146"/>
        <w:gridCol w:w="195"/>
        <w:gridCol w:w="1386"/>
        <w:gridCol w:w="146"/>
        <w:gridCol w:w="146"/>
        <w:gridCol w:w="350"/>
        <w:gridCol w:w="1123"/>
        <w:gridCol w:w="146"/>
        <w:gridCol w:w="146"/>
        <w:gridCol w:w="1164"/>
      </w:tblGrid>
      <w:tr>
        <w:trPr/>
        <w:tc>
          <w:tcPr>
            <w:tcW w:w="1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16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center"/>
              <w:rPr/>
            </w:pPr>
            <w:r>
              <w:rPr/>
              <w:t> </w:t>
            </w:r>
          </w:p>
        </w:tc>
      </w:tr>
      <w:tr>
        <w:trPr/>
        <w:tc>
          <w:tcPr>
            <w:tcW w:w="161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Common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r>
      <w:tr>
        <w:trPr/>
        <w:tc>
          <w:tcPr>
            <w:tcW w:w="1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13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13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2024</w:t>
            </w:r>
          </w:p>
        </w:tc>
      </w:tr>
      <w:tr>
        <w:trPr/>
        <w:tc>
          <w:tcPr>
            <w:tcW w:w="1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Common warrants</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2027</w:t>
            </w:r>
          </w:p>
        </w:tc>
      </w:tr>
      <w:tr>
        <w:trPr/>
        <w:tc>
          <w:tcPr>
            <w:tcW w:w="1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A pre-funded warrants</w:t>
            </w:r>
          </w:p>
        </w:tc>
        <w:tc>
          <w:tcPr>
            <w:tcW w:w="146"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13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13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2,758,281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2026</w:t>
            </w:r>
          </w:p>
        </w:tc>
      </w:tr>
      <w:tr>
        <w:trPr/>
        <w:tc>
          <w:tcPr>
            <w:tcW w:w="1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warrants</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left"/>
              <w:rPr/>
            </w:pPr>
            <w:r>
              <w:rPr/>
              <w:t> </w:t>
            </w:r>
          </w:p>
        </w:tc>
        <w:tc>
          <w:tcPr>
            <w:tcW w:w="13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November 2026 </w:t>
            </w:r>
            <w:r>
              <w:rPr>
                <w:rFonts w:ascii="Times New Roman" w:hAnsi="Times New Roman"/>
                <w:color w:val="000000"/>
                <w:sz w:val="13"/>
              </w:rPr>
              <w:t>(1)</w:t>
            </w:r>
          </w:p>
        </w:tc>
      </w:tr>
      <w:tr>
        <w:trPr/>
        <w:tc>
          <w:tcPr>
            <w:tcW w:w="1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pre-funded warrants</w:t>
            </w:r>
          </w:p>
        </w:tc>
        <w:tc>
          <w:tcPr>
            <w:tcW w:w="146"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13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left"/>
              <w:rPr/>
            </w:pPr>
            <w:r>
              <w:rPr/>
              <w:t> </w:t>
            </w:r>
          </w:p>
        </w:tc>
        <w:tc>
          <w:tcPr>
            <w:tcW w:w="13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2026</w:t>
            </w:r>
          </w:p>
        </w:tc>
      </w:tr>
      <w:tr>
        <w:trPr/>
        <w:tc>
          <w:tcPr>
            <w:tcW w:w="161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 pre-funded warrants</w:t>
            </w:r>
          </w:p>
        </w:tc>
        <w:tc>
          <w:tcPr>
            <w:tcW w:w="146" w:type="dxa"/>
            <w:tcBorders/>
            <w:shd w:fill="FFFFFF" w:val="cle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161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11,426,885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13,071,883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7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64" w:type="dxa"/>
            <w:tcBorders/>
            <w:shd w:fill="CFF0FC" w:val="clear"/>
            <w:vAlign w:val="center"/>
          </w:tcPr>
          <w:p>
            <w:pPr>
              <w:pStyle w:val="TableContents"/>
              <w:bidi w:val="0"/>
              <w:spacing w:before="0" w:after="283"/>
              <w:jc w:val="center"/>
              <w:rPr/>
            </w:pPr>
            <w:r>
              <w:rPr/>
              <w:t> </w:t>
            </w:r>
          </w:p>
        </w:tc>
      </w:tr>
      <w:tr>
        <w:trPr/>
        <w:tc>
          <w:tcPr>
            <w:tcW w:w="161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58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8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7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Subject to earlier expiration as described above.</w:t>
      </w:r>
    </w:p>
    <w:p>
      <w:pPr>
        <w:pStyle w:val="TextBody"/>
        <w:bidi w:val="0"/>
        <w:spacing w:before="24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2014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2024, the Company filed a Registration Statement on Form S-8 which registered an additional 1,000,000 shares automatically available for issuance under the 2014 Plan as of December 31, 2023. As of March 31, 2024, a total of 392,044 shares are available for future grant under the 2014 Plan.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Inducement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Rule 5635(c)(3) of the Nasdaq Listing Rules, in connection with a merger or acquisition. On January 31, 2024, the Company filed a Registration Statement on Form S-8 which registered 500,000 shares available for issuance under the Inducement Plan, which became available for issuance following approval of the Board of Directors on January 24,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2024, a total of 452,868 shares are available for future grant under the Inducement Plan.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condensed consolidated statements of operations and comprehensive loss for stock-based compensation arrangements during any of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expense was recognized in the condensed consolidated statements of operations and comprehensive loss as follows (in thousands): </w:t>
      </w:r>
    </w:p>
    <w:tbl>
      <w:tblPr>
        <w:tblW w:w="5099" w:type="dxa"/>
        <w:jc w:val="left"/>
        <w:tblInd w:w="0" w:type="dxa"/>
        <w:tblLayout w:type="fixed"/>
        <w:tblCellMar>
          <w:top w:w="28" w:type="dxa"/>
          <w:left w:w="28" w:type="dxa"/>
          <w:bottom w:w="28" w:type="dxa"/>
          <w:right w:w="28" w:type="dxa"/>
        </w:tblCellMar>
      </w:tblPr>
      <w:tblGrid>
        <w:gridCol w:w="2311"/>
        <w:gridCol w:w="296"/>
        <w:gridCol w:w="803"/>
        <w:gridCol w:w="205"/>
        <w:gridCol w:w="205"/>
        <w:gridCol w:w="296"/>
        <w:gridCol w:w="592"/>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0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c>
          <w:tcPr>
            <w:tcW w:w="205"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3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3,984</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granted options to purchase 736,680 and 240,000 shares of the Company’s common stock to employees and a consultant during the three months ended March 31, 2024 and 2023, respectively. There were no performance-based options granted during the three months ended March 31, 2024 and 2023, respectively. The fair value of each award granted was estimated on the date of grant using the Black-Scholes option pricing model with the following assumptions:</w:t>
      </w:r>
    </w:p>
    <w:p>
      <w:pPr>
        <w:pStyle w:val="TextBody"/>
        <w:bidi w:val="0"/>
        <w:jc w:val="left"/>
        <w:rPr/>
      </w:pPr>
      <w:r>
        <w:rPr/>
        <w:t> </w:t>
      </w:r>
    </w:p>
    <w:tbl>
      <w:tblPr>
        <w:tblW w:w="4290" w:type="dxa"/>
        <w:jc w:val="left"/>
        <w:tblInd w:w="0" w:type="dxa"/>
        <w:tblLayout w:type="fixed"/>
        <w:tblCellMar>
          <w:top w:w="28" w:type="dxa"/>
          <w:left w:w="28" w:type="dxa"/>
          <w:bottom w:w="28" w:type="dxa"/>
          <w:right w:w="28" w:type="dxa"/>
        </w:tblCellMar>
      </w:tblPr>
      <w:tblGrid>
        <w:gridCol w:w="1846"/>
        <w:gridCol w:w="1185"/>
        <w:gridCol w:w="153"/>
        <w:gridCol w:w="1106"/>
      </w:tblGrid>
      <w:tr>
        <w:trPr/>
        <w:tc>
          <w:tcPr>
            <w:tcW w:w="18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left"/>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1846" w:type="dxa"/>
            <w:tcBorders/>
            <w:shd w:fill="FFFFFF" w:val="cle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18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5.8-6.1</w:t>
            </w:r>
          </w:p>
        </w:tc>
        <w:tc>
          <w:tcPr>
            <w:tcW w:w="153" w:type="dxa"/>
            <w:tcBorders/>
            <w:shd w:fill="CFF0FC" w:val="clear"/>
            <w:vAlign w:val="center"/>
          </w:tcPr>
          <w:p>
            <w:pPr>
              <w:pStyle w:val="TableContents"/>
              <w:bidi w:val="0"/>
              <w:spacing w:before="0" w:after="283"/>
              <w:jc w:val="center"/>
              <w:rPr/>
            </w:pPr>
            <w:r>
              <w:rPr/>
              <w:t> </w:t>
            </w:r>
          </w:p>
        </w:tc>
        <w:tc>
          <w:tcPr>
            <w:tcW w:w="11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18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4.0%-4.1%</w:t>
            </w:r>
          </w:p>
        </w:tc>
        <w:tc>
          <w:tcPr>
            <w:tcW w:w="153" w:type="dxa"/>
            <w:tcBorders/>
            <w:shd w:fill="FFFFFF" w:val="clear"/>
            <w:vAlign w:val="center"/>
          </w:tcPr>
          <w:p>
            <w:pPr>
              <w:pStyle w:val="TableContents"/>
              <w:bidi w:val="0"/>
              <w:spacing w:before="0" w:after="283"/>
              <w:jc w:val="center"/>
              <w:rPr/>
            </w:pPr>
            <w:r>
              <w:rPr/>
              <w:t> </w:t>
            </w:r>
          </w:p>
        </w:tc>
        <w:tc>
          <w:tcPr>
            <w:tcW w:w="110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3.5%-4.0%</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18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122%-124%</w:t>
            </w:r>
          </w:p>
        </w:tc>
        <w:tc>
          <w:tcPr>
            <w:tcW w:w="153" w:type="dxa"/>
            <w:tcBorders/>
            <w:shd w:fill="CFF0FC" w:val="clear"/>
            <w:vAlign w:val="center"/>
          </w:tcPr>
          <w:p>
            <w:pPr>
              <w:pStyle w:val="TableContents"/>
              <w:bidi w:val="0"/>
              <w:spacing w:before="0" w:after="283"/>
              <w:jc w:val="center"/>
              <w:rPr/>
            </w:pPr>
            <w:r>
              <w:rPr/>
              <w:t> </w:t>
            </w:r>
          </w:p>
        </w:tc>
        <w:tc>
          <w:tcPr>
            <w:tcW w:w="110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98%-99%</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185" w:type="dxa"/>
            <w:tcBorders/>
            <w:shd w:fill="FFFFFF" w:val="clear"/>
            <w:vAlign w:val="center"/>
          </w:tcPr>
          <w:p>
            <w:pPr>
              <w:pStyle w:val="TableContents"/>
              <w:bidi w:val="0"/>
              <w:spacing w:before="0" w:after="283"/>
              <w:jc w:val="center"/>
              <w:rPr/>
            </w:pPr>
            <w:r>
              <w:rPr>
                <w:color w:val="000000"/>
              </w:rPr>
              <w:t>—  </w:t>
            </w:r>
            <w:r>
              <w:rPr>
                <w:rFonts w:ascii="Times New Roman" w:hAnsi="Times New Roman"/>
                <w:color w:val="000000"/>
                <w:sz w:val="20"/>
              </w:rPr>
              <w:t>%</w:t>
            </w:r>
          </w:p>
        </w:tc>
        <w:tc>
          <w:tcPr>
            <w:tcW w:w="153" w:type="dxa"/>
            <w:tcBorders/>
            <w:shd w:fill="FFFFFF" w:val="clear"/>
            <w:vAlign w:val="center"/>
          </w:tcPr>
          <w:p>
            <w:pPr>
              <w:pStyle w:val="TableContents"/>
              <w:bidi w:val="0"/>
              <w:spacing w:before="0" w:after="283"/>
              <w:jc w:val="center"/>
              <w:rPr/>
            </w:pPr>
            <w:r>
              <w:rPr/>
              <w:t> </w:t>
            </w:r>
          </w:p>
        </w:tc>
        <w:tc>
          <w:tcPr>
            <w:tcW w:w="1106" w:type="dxa"/>
            <w:tcBorders/>
            <w:shd w:fill="FFFFFF" w:val="clear"/>
            <w:vAlign w:val="center"/>
          </w:tcPr>
          <w:p>
            <w:pPr>
              <w:pStyle w:val="TableContents"/>
              <w:bidi w:val="0"/>
              <w:spacing w:before="0" w:after="283"/>
              <w:jc w:val="center"/>
              <w:rPr/>
            </w:pPr>
            <w:r>
              <w:rPr>
                <w:color w:val="000000"/>
              </w:rPr>
              <w:t>—  </w:t>
            </w: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Black-Scholes option-pricing model requires the use of highly subjective assumptions to estimate the fair value of stock-based awards. These assumptions include the following estimates: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life:</w:t>
      </w:r>
      <w:r>
        <w:rPr>
          <w:color w:val="000000"/>
        </w:rPr>
        <w:t xml:space="preserve"> </w:t>
      </w:r>
      <w:r>
        <w:rPr>
          <w:rFonts w:ascii="Times New Roman" w:hAnsi="Times New Roman"/>
          <w:color w:val="000000"/>
          <w:sz w:val="20"/>
        </w:rPr>
        <w:t>The expected life of stock options represents the period of time that the options are expected to be outstanding. Due to the lack of 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interest rate:</w:t>
      </w:r>
      <w:r>
        <w:rPr>
          <w:color w:val="000000"/>
        </w:rPr>
        <w:t xml:space="preserve"> </w:t>
      </w:r>
      <w:r>
        <w:rPr>
          <w:rFonts w:ascii="Times New Roman" w:hAnsi="Times New Roman"/>
          <w:color w:val="000000"/>
          <w:sz w:val="20"/>
        </w:rPr>
        <w:t>The risk-free interest rate is based on the yields of U.S. Treasury securities with maturities similar to the expected life of the stock options.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Volatility:</w:t>
      </w:r>
      <w:r>
        <w:rPr>
          <w:color w:val="000000"/>
        </w:rPr>
        <w:t xml:space="preserve"> </w:t>
      </w:r>
      <w:r>
        <w:rPr>
          <w:rFonts w:ascii="Times New Roman" w:hAnsi="Times New Roman"/>
          <w:color w:val="000000"/>
          <w:sz w:val="20"/>
        </w:rPr>
        <w:t>The estimated volatility rate is based on the volatilities of the Company’s common stock for a historical period equal to the expected life of the stock options.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Dividend rate:</w:t>
      </w:r>
      <w:r>
        <w:rPr>
          <w:color w:val="000000"/>
        </w:rPr>
        <w:t xml:space="preserve"> </w:t>
      </w:r>
      <w:r>
        <w:rPr>
          <w:rFonts w:ascii="Times New Roman" w:hAnsi="Times New Roman"/>
          <w:color w:val="000000"/>
          <w:sz w:val="20"/>
        </w:rPr>
        <w:t xml:space="preserve">The Company has never declared or paid any cash dividends and does not presently plan to pay cash dividends in the foreseeable future. Consequently, the Company used an expected dividend yield of zero.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stock option transactions for the three months ended March 31, 2024 which were for awards issued under the 2014 Plan and the Inducement Plan: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37"/>
        <w:gridCol w:w="146"/>
        <w:gridCol w:w="146"/>
        <w:gridCol w:w="931"/>
        <w:gridCol w:w="166"/>
        <w:gridCol w:w="146"/>
        <w:gridCol w:w="230"/>
        <w:gridCol w:w="626"/>
        <w:gridCol w:w="146"/>
        <w:gridCol w:w="146"/>
        <w:gridCol w:w="236"/>
        <w:gridCol w:w="755"/>
        <w:gridCol w:w="146"/>
        <w:gridCol w:w="146"/>
        <w:gridCol w:w="430"/>
        <w:gridCol w:w="1379"/>
        <w:gridCol w:w="393"/>
      </w:tblGrid>
      <w:tr>
        <w:trPr/>
        <w:tc>
          <w:tcPr>
            <w:tcW w:w="4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40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 per</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393" w:type="dxa"/>
            <w:tcBorders/>
            <w:shd w:fill="FFFFFF" w:val="clear"/>
            <w:vAlign w:val="center"/>
          </w:tcPr>
          <w:p>
            <w:pPr>
              <w:pStyle w:val="TableContents"/>
              <w:bidi w:val="0"/>
              <w:spacing w:before="0" w:after="283"/>
              <w:jc w:val="center"/>
              <w:rPr/>
            </w:pPr>
            <w:r>
              <w:rPr/>
              <w:t> </w:t>
            </w:r>
          </w:p>
        </w:tc>
      </w:tr>
      <w:tr>
        <w:trPr/>
        <w:tc>
          <w:tcPr>
            <w:tcW w:w="403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January 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2,369,665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shd w:fill="CFF0FC" w:val="clear"/>
            <w:vAlign w:val="center"/>
          </w:tcPr>
          <w:p>
            <w:pPr>
              <w:pStyle w:val="TableContents"/>
              <w:bidi w:val="0"/>
              <w:spacing w:before="0" w:after="283"/>
              <w:jc w:val="left"/>
              <w:rPr/>
            </w:pPr>
            <w:r>
              <w:rPr/>
              <w:t> </w:t>
            </w:r>
          </w:p>
        </w:tc>
        <w:tc>
          <w:tcPr>
            <w:tcW w:w="75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70,834</w:t>
            </w:r>
          </w:p>
        </w:tc>
        <w:tc>
          <w:tcPr>
            <w:tcW w:w="393" w:type="dxa"/>
            <w:tcBorders/>
            <w:shd w:fill="CFF0FC" w:val="clear"/>
            <w:vAlign w:val="center"/>
          </w:tcPr>
          <w:p>
            <w:pPr>
              <w:pStyle w:val="TableContents"/>
              <w:bidi w:val="0"/>
              <w:spacing w:before="0" w:after="283"/>
              <w:ind w:left="0" w:right="0" w:firstLine="200"/>
              <w:jc w:val="left"/>
              <w:rPr/>
            </w:pPr>
            <w:r>
              <w:rPr/>
              <w:t> </w:t>
            </w:r>
          </w:p>
        </w:tc>
      </w:tr>
      <w:tr>
        <w:trPr/>
        <w:tc>
          <w:tcPr>
            <w:tcW w:w="403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736,680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09"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ind w:left="0" w:right="0" w:firstLine="200"/>
              <w:jc w:val="right"/>
              <w:rPr/>
            </w:pPr>
            <w:r>
              <w:rPr/>
              <w:t> </w:t>
            </w:r>
          </w:p>
        </w:tc>
      </w:tr>
      <w:tr>
        <w:trPr/>
        <w:tc>
          <w:tcPr>
            <w:tcW w:w="4037"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6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09" w:type="dxa"/>
            <w:gridSpan w:val="2"/>
            <w:tcBorders/>
            <w:shd w:fill="CFF0FC" w:val="clear"/>
            <w:vAlign w:val="center"/>
          </w:tcPr>
          <w:p>
            <w:pPr>
              <w:pStyle w:val="TableContents"/>
              <w:bidi w:val="0"/>
              <w:spacing w:before="0" w:after="283"/>
              <w:jc w:val="right"/>
              <w:rPr/>
            </w:pPr>
            <w:r>
              <w:rPr/>
              <w:t> </w:t>
            </w:r>
          </w:p>
        </w:tc>
        <w:tc>
          <w:tcPr>
            <w:tcW w:w="393" w:type="dxa"/>
            <w:tcBorders/>
            <w:shd w:fill="CFF0FC" w:val="clear"/>
            <w:vAlign w:val="center"/>
          </w:tcPr>
          <w:p>
            <w:pPr>
              <w:pStyle w:val="TableContents"/>
              <w:bidi w:val="0"/>
              <w:spacing w:before="0" w:after="283"/>
              <w:ind w:left="0" w:right="0" w:firstLine="200"/>
              <w:jc w:val="right"/>
              <w:rPr/>
            </w:pPr>
            <w:r>
              <w:rPr/>
              <w:t> </w:t>
            </w:r>
          </w:p>
        </w:tc>
      </w:tr>
      <w:tr>
        <w:trPr/>
        <w:tc>
          <w:tcPr>
            <w:tcW w:w="4037"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Options canceled/forfeited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09" w:type="dxa"/>
            <w:gridSpan w:val="2"/>
            <w:tcBorders/>
            <w:shd w:fill="FFFFFF" w:val="clear"/>
            <w:vAlign w:val="center"/>
          </w:tcPr>
          <w:p>
            <w:pPr>
              <w:pStyle w:val="TableContents"/>
              <w:bidi w:val="0"/>
              <w:spacing w:before="0" w:after="283"/>
              <w:jc w:val="right"/>
              <w:rPr/>
            </w:pPr>
            <w:r>
              <w:rPr/>
              <w:t> </w:t>
            </w:r>
          </w:p>
        </w:tc>
        <w:tc>
          <w:tcPr>
            <w:tcW w:w="393" w:type="dxa"/>
            <w:tcBorders/>
            <w:shd w:fill="FFFFFF" w:val="clear"/>
            <w:vAlign w:val="center"/>
          </w:tcPr>
          <w:p>
            <w:pPr>
              <w:pStyle w:val="TableContents"/>
              <w:bidi w:val="0"/>
              <w:spacing w:before="0" w:after="283"/>
              <w:jc w:val="right"/>
              <w:rPr/>
            </w:pPr>
            <w:r>
              <w:rPr/>
              <w:t> </w:t>
            </w:r>
          </w:p>
        </w:tc>
      </w:tr>
      <w:tr>
        <w:trPr/>
        <w:tc>
          <w:tcPr>
            <w:tcW w:w="40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3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27,528</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3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3,079,898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78,661</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was $36.70 and $1.88 per share for the three months ended March 31, 2024 and 2023, respectively. At March 31, 2024, total unrecognized employee stock-based compensation related to stock options that are likely to vest was $33.1 million, which is expected to be recognized over the weighted-average remaining vesting period of 2.7 years. </w:t>
      </w:r>
    </w:p>
    <w:p>
      <w:pPr>
        <w:pStyle w:val="TextBody"/>
        <w:bidi w:val="0"/>
        <w:spacing w:before="240" w:after="283"/>
        <w:jc w:val="left"/>
        <w:rPr>
          <w:rFonts w:ascii="Times New Roman" w:hAnsi="Times New Roman"/>
          <w:sz w:val="20"/>
        </w:rPr>
      </w:pPr>
      <w:r>
        <w:rPr>
          <w:rFonts w:ascii="Times New Roman" w:hAnsi="Times New Roman"/>
          <w:b/>
          <w:color w:val="000000"/>
          <w:sz w:val="20"/>
        </w:rPr>
        <w:t>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359,030 restricted stock units granted to employees by the Company during the three months ended March 31, 2024. During the three months ended March 31, 2024, there were 10,000 performance-based restricted stock units granted by the Company to a consultant. There were no restricted stock units granted during the three months ended March 31, 2023. The shares were valued based on the Company’s common stock price on the grant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restricted stock unit transactions for the three months ended March 31, 2024 as issued under the 2014 Plan: </w:t>
      </w:r>
    </w:p>
    <w:tbl>
      <w:tblPr>
        <w:tblW w:w="8685" w:type="dxa"/>
        <w:jc w:val="left"/>
        <w:tblInd w:w="0" w:type="dxa"/>
        <w:tblLayout w:type="fixed"/>
        <w:tblCellMar>
          <w:top w:w="28" w:type="dxa"/>
          <w:left w:w="28" w:type="dxa"/>
          <w:bottom w:w="28" w:type="dxa"/>
          <w:right w:w="28" w:type="dxa"/>
        </w:tblCellMar>
      </w:tblPr>
      <w:tblGrid>
        <w:gridCol w:w="3591"/>
        <w:gridCol w:w="146"/>
        <w:gridCol w:w="269"/>
        <w:gridCol w:w="1441"/>
        <w:gridCol w:w="166"/>
        <w:gridCol w:w="146"/>
        <w:gridCol w:w="683"/>
        <w:gridCol w:w="1852"/>
        <w:gridCol w:w="3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Restricted Stock Units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 Fair Value per Share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2024</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granted</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4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vested</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14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(85,284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38.79</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Restricted stock units canceled/forfeited</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91" w:type="dxa"/>
            <w:tcBorders/>
            <w:shd w:fill="FFFFFF" w:val="clear"/>
            <w:vAlign w:val="center"/>
          </w:tcPr>
          <w:p>
            <w:pPr>
              <w:pStyle w:val="TableContents"/>
              <w:bidi w:val="0"/>
              <w:spacing w:before="0" w:after="283"/>
              <w:jc w:val="left"/>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2024</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36.80</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weighted-average grant-date fair value of all restricted stock units granted during the three months ended March 31, 2024 was $36.96. There were no restricted stock units granted during the three months ended March 31, 2023. The fair value of all restricted stock units vested during the three months ended March 31, 2024 and 2023 was $3.7 million and $23,000, respectively. At March 31, 2024, total unrecognized employee stock-based compensation related to restricted stock units was $10.4 million, which is expected to be recognized over the weighted-average remaining vesting period of 0.6 years.</w:t>
      </w:r>
    </w:p>
    <w:p>
      <w:pPr>
        <w:pStyle w:val="TextBody"/>
        <w:bidi w:val="0"/>
        <w:spacing w:before="240" w:after="283"/>
        <w:jc w:val="left"/>
        <w:rPr>
          <w:rFonts w:ascii="Times New Roman" w:hAnsi="Times New Roman"/>
          <w:sz w:val="20"/>
        </w:rPr>
      </w:pPr>
      <w:r>
        <w:rPr>
          <w:rFonts w:ascii="Times New Roman" w:hAnsi="Times New Roman"/>
          <w:b/>
          <w:i/>
          <w:color w:val="000000"/>
          <w:sz w:val="20"/>
        </w:rPr>
        <w:t>2014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board of directors and stockholders have adopted the 2014 Employee Stock Purchase Plan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 of the outstanding shares of the Company’s common stock on the first day of such year;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3,729</w:t>
      </w:r>
      <w:r>
        <w:rPr>
          <w:color w:val="000000"/>
        </w:rPr>
        <w:t xml:space="preserve"> </w:t>
      </w:r>
      <w:r>
        <w:rPr>
          <w:rFonts w:ascii="Times New Roman" w:hAnsi="Times New Roman"/>
          <w:color w:val="000000"/>
          <w:sz w:val="20"/>
        </w:rPr>
        <w:t xml:space="preserve">shares;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amount as determined by the board of directors.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2024, there were no purchases by employees under this plan.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8. 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Basic net loss per share is computed by dividing net loss by the weighted-average number of common stock outstanding during the period. Shares of common stock that are potentially issuable for little or no cash consideration at issuance, such as the Company's pre-funded warrants issued in March 2022 and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hAnsi="Times New Roman"/>
          <w:i/>
          <w:color w:val="000000"/>
          <w:sz w:val="20"/>
        </w:rPr>
        <w:t>ASC 260 Earnings Per Shares</w:t>
      </w:r>
      <w:r>
        <w:rPr>
          <w:rFonts w:ascii="Times New Roman" w:hAnsi="Times New Roman"/>
          <w:color w:val="000000"/>
          <w:sz w:val="20"/>
        </w:rPr>
        <w:t xml:space="preserve">. Diluted net loss per share is computed by dividing net loss by the weighted-average number of common stock outstanding and dilutive potential common stock that would be issued upon the exercise or vesting of common stock awards and exercise of common stock warrants that are not pre-funded. The Company applies the two-class method to calculate basic and diluted earnings per share as its warrants issued in March 2022, May 2023 and October 2023 are participating securities. However, the two-class method does not impact the net loss per share of common stock as the March 2022, May 2023 and October 2023 common warrants issued do not participate in losses. For the three months ended March 31, 2024 and 2023, the effect of issuing potential common stock is anti-dilutive due to the net losses in those periods and therefore the number of shares used to compute basic and diluted net loss per share are the same in each of those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securities are the weighted-average common shares outstanding used to calculate basic and diluted net loss per common share:</w:t>
      </w:r>
    </w:p>
    <w:p>
      <w:pPr>
        <w:pStyle w:val="TextBody"/>
        <w:bidi w:val="0"/>
        <w:jc w:val="left"/>
        <w:rPr/>
      </w:pPr>
      <w:r>
        <w:rPr/>
        <w:t> </w:t>
      </w:r>
    </w:p>
    <w:tbl>
      <w:tblPr>
        <w:tblW w:w="6584" w:type="dxa"/>
        <w:jc w:val="left"/>
        <w:tblInd w:w="0" w:type="dxa"/>
        <w:tblLayout w:type="fixed"/>
        <w:tblCellMar>
          <w:top w:w="28" w:type="dxa"/>
          <w:left w:w="28" w:type="dxa"/>
          <w:bottom w:w="28" w:type="dxa"/>
          <w:right w:w="28" w:type="dxa"/>
        </w:tblCellMar>
      </w:tblPr>
      <w:tblGrid>
        <w:gridCol w:w="3496"/>
        <w:gridCol w:w="146"/>
        <w:gridCol w:w="146"/>
        <w:gridCol w:w="1036"/>
        <w:gridCol w:w="146"/>
        <w:gridCol w:w="146"/>
        <w:gridCol w:w="146"/>
        <w:gridCol w:w="931"/>
        <w:gridCol w:w="3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32,432,524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8,166,385</w:t>
            </w:r>
          </w:p>
        </w:tc>
        <w:tc>
          <w:tcPr>
            <w:tcW w:w="3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1,280,965</w:t>
            </w:r>
          </w:p>
        </w:tc>
        <w:tc>
          <w:tcPr>
            <w:tcW w:w="3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A 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pre-funded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2023 pre-funded warrants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36,208,371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9,447,350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potentially dilutive securities outstanding have been excluded from the computations of diluted weighted-average shares outstanding for the periods presented because such securities have an antidilutive impact due to losses reported (in common stock equivalent shares): </w:t>
      </w:r>
    </w:p>
    <w:p>
      <w:pPr>
        <w:pStyle w:val="TextBody"/>
        <w:bidi w:val="0"/>
        <w:jc w:val="left"/>
        <w:rPr/>
      </w:pPr>
      <w:r>
        <w:rPr/>
        <w:t> </w:t>
      </w:r>
    </w:p>
    <w:tbl>
      <w:tblPr>
        <w:tblW w:w="7874" w:type="dxa"/>
        <w:jc w:val="left"/>
        <w:tblInd w:w="0" w:type="dxa"/>
        <w:tblLayout w:type="fixed"/>
        <w:tblCellMar>
          <w:top w:w="28" w:type="dxa"/>
          <w:left w:w="28" w:type="dxa"/>
          <w:bottom w:w="28" w:type="dxa"/>
          <w:right w:w="28" w:type="dxa"/>
        </w:tblCellMar>
      </w:tblPr>
      <w:tblGrid>
        <w:gridCol w:w="4786"/>
        <w:gridCol w:w="146"/>
        <w:gridCol w:w="146"/>
        <w:gridCol w:w="1036"/>
        <w:gridCol w:w="146"/>
        <w:gridCol w:w="146"/>
        <w:gridCol w:w="146"/>
        <w:gridCol w:w="931"/>
        <w:gridCol w:w="3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2010/2012 convertible note</w:t>
              <w:br/>
              <w:t>   holders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6,804</w:t>
            </w:r>
          </w:p>
        </w:tc>
        <w:tc>
          <w:tcPr>
            <w:tcW w:w="39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underwriter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39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2018 PIPE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34,241</w:t>
            </w:r>
          </w:p>
        </w:tc>
        <w:tc>
          <w:tcPr>
            <w:tcW w:w="39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2022 common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1,809,068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w:t>
            </w:r>
          </w:p>
        </w:tc>
        <w:tc>
          <w:tcPr>
            <w:tcW w:w="39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2023 Tranche B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3,102,856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926,325</w:t>
            </w:r>
          </w:p>
        </w:tc>
        <w:tc>
          <w:tcPr>
            <w:tcW w:w="39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4,978,004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9.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9, 2024, the Company announced the closing of the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estimated offering expenses.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2023, and the related Management’s Discussion and Analysis of Financial Condition and Results of Operations, contained in our Form 10-K for the year ended December 31, 2023.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Business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focused on the development and commercialization of novel therapeutics for the treatment of rare diseases. Our lead candidate is DCCR (Diazoxide Choline) Extended-Release tablets, a once-daily oral tablet for the treatment of Prader-Willi syndrome (PWS). We have a Fast-Track designation for DCCR in PWS and orphan designation for the treatment of PWS in the United States (U.S.) as well as in the European Union (E.U.).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DCCR has been evaluated in a Phase 3 study (C601 or DESTINY PWS), a 3-month randomized, double-blind placebo-controlled study, which completed enrollment in January 2020, with 127 patients at 29 sites in the U.S. and U.K. Participants who completed treatment in DESTINY PWS were eligible to receive DCCR in a long-term open-label extension period (C602). Top line results from DESTINY PWS were announced in June 2020. Although the trial did not meet its primary endpoint of change from baseline in hyperphagia, significant improvements were observed in two of three key secondary endpoints.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2021, we announced analysis limited to data from C601 collected before the onset of the COVID-19 pandemic. The analysis of the data through March 1, 2020 showed statistical significance in the primary, all key secondary and several other efficacy endpoints. In September 2021, we announced interim one-year data from C602 showing statistically significant reduction in hyperphagia and all other PWS behavioral parameters and statistically significant improvements compared to natural history of PWS from the PATH for PWS Study (PATH) over a one-year treatment period. The PATH study is an ongoing study sponsored by the Foundation for Prader-Willi Research (FPWR) to advance the understanding of the natural history in individuals with PWS.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January 2022, the FDA recommended that additional controlled data be included in a New Drug Approval (NDA) submission and in March 2022, we submitted an amended protocol that incorporated a randomized withdrawal (RW) period to Study C602 in order to obtain additional controlled data requested by the FDA. The RW period of Study C602 was a multi-center, randomized, double-blind, placebo-controlled study of DCCR in 77 patients with PWS at 17 sites in the U.S. and 5 sites in the U.K. This RW period consisted only of patients enrolled in Study C602 and did not enroll any new patients. We announced the initiation of the RW period for Study C602 in October 2022, and completed enrollment in May 2023. The FDA has acknowledged that data from the study has the potential to support an NDA submission for DCCR.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announced positive statistically significant top-line results from the RW period of Study C602. Subsequently, we received pre-NDA meeting minutes. The FDA stated that the potential for data from the DCCR clinical program to provide substantial evidence of effectiveness will be a matter of review following the submission of an NDA. In April 2024, we announced the FDA has granted Breakthrough Therapy Designation for DCCR, the first ever breakthrough designation for a drug being developed for PWS. We plan to submit our NDA for DCCR to the FDA in mid-2024.</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Comparison of the three months ended March 31, 2024 and 2023</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5"/>
        <w:gridCol w:w="146"/>
        <w:gridCol w:w="211"/>
        <w:gridCol w:w="736"/>
        <w:gridCol w:w="546"/>
        <w:gridCol w:w="546"/>
        <w:gridCol w:w="211"/>
        <w:gridCol w:w="631"/>
        <w:gridCol w:w="166"/>
        <w:gridCol w:w="146"/>
        <w:gridCol w:w="211"/>
        <w:gridCol w:w="736"/>
        <w:gridCol w:w="166"/>
        <w:gridCol w:w="146"/>
        <w:gridCol w:w="199"/>
        <w:gridCol w:w="717"/>
        <w:gridCol w:w="916"/>
      </w:tblGrid>
      <w:tr>
        <w:trPr/>
        <w:tc>
          <w:tcPr>
            <w:tcW w:w="3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37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81"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r>
      <w:tr>
        <w:trPr/>
        <w:tc>
          <w:tcPr>
            <w:tcW w:w="37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ind w:left="0" w:right="0" w:firstLine="200"/>
              <w:jc w:val="right"/>
              <w:rPr/>
            </w:pPr>
            <w:r>
              <w:rPr/>
              <w:t> </w:t>
            </w:r>
          </w:p>
        </w:tc>
      </w:tr>
      <w:tr>
        <w:trPr/>
        <w:tc>
          <w:tcPr>
            <w:tcW w:w="37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14,602</w:t>
            </w:r>
          </w:p>
        </w:tc>
        <w:tc>
          <w:tcPr>
            <w:tcW w:w="546"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91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546"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91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5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9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right"/>
              <w:rPr/>
            </w:pPr>
            <w:r>
              <w:rPr/>
              <w:t> </w:t>
            </w:r>
          </w:p>
        </w:tc>
        <w:tc>
          <w:tcPr>
            <w:tcW w:w="5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ind w:left="0" w:right="0" w:firstLine="200"/>
              <w:jc w:val="right"/>
              <w:rPr/>
            </w:pPr>
            <w:r>
              <w:rPr/>
              <w:t> </w:t>
            </w:r>
          </w:p>
        </w:tc>
      </w:tr>
      <w:tr>
        <w:trPr/>
        <w:tc>
          <w:tcPr>
            <w:tcW w:w="37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CFF0FC" w:val="clear"/>
            <w:vAlign w:val="center"/>
          </w:tcPr>
          <w:p>
            <w:pPr>
              <w:pStyle w:val="TableContents"/>
              <w:bidi w:val="0"/>
              <w:spacing w:before="0" w:after="283"/>
              <w:ind w:left="600" w:right="0" w:firstLine="6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6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earned no revenue from the commercial development and sale of novel therapeutic products.</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 was $14.6 million for the three months ended March 31, 2024, an increase of $9.3 million from the three months ended March 31, 2023. Headcount costs increased $3.1 million as we hired additional employees in support of our research and development activities and incurred higher non-cash stock-based compensation expense. Costs in support of our NDA submission increased $4.0 million and we invested $2.2 million in manufacturing projects in preparation for commercial launch. The cadence of our research and development expenditures will fluctuate depending upon the state of our clinical programs, the timing of manufacturing and other projects necessary to support the submission of an NDA and prepare for commercial launch.</w:t>
      </w:r>
    </w:p>
    <w:p>
      <w:pPr>
        <w:pStyle w:val="TextBody"/>
        <w:bidi w:val="0"/>
        <w:spacing w:before="360" w:after="283"/>
        <w:jc w:val="left"/>
        <w:rPr>
          <w:rFonts w:ascii="Times New Roman" w:hAnsi="Times New Roman"/>
          <w:sz w:val="20"/>
        </w:rPr>
      </w:pPr>
      <w:r>
        <w:rPr>
          <w:rFonts w:ascii="Times New Roman" w:hAnsi="Times New Roman"/>
          <w:b/>
          <w:i/>
          <w:color w:val="000000"/>
          <w:sz w:val="20"/>
        </w:rPr>
        <w:t>General and administrative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 was $8.5 million for the three months ended March 31, 2024, an increase of $5.6 million from the three months ended March 31, 2024. Headcount costs increased $4.3 million due to non-cash stock-based compensation expense and hiring additional employees in support of our increased business activities. Professional services expenses and costs associated with preparation for commercial launch increased by $1.3 million.</w:t>
      </w:r>
    </w:p>
    <w:p>
      <w:pPr>
        <w:pStyle w:val="TextBody"/>
        <w:bidi w:val="0"/>
        <w:spacing w:before="360" w:after="283"/>
        <w:jc w:val="left"/>
        <w:rPr>
          <w:rFonts w:ascii="Times New Roman" w:hAnsi="Times New Roman"/>
          <w:sz w:val="20"/>
        </w:rPr>
      </w:pPr>
      <w:r>
        <w:rPr>
          <w:rFonts w:ascii="Times New Roman" w:hAnsi="Times New Roman"/>
          <w:b/>
          <w:i/>
          <w:color w:val="000000"/>
          <w:sz w:val="20"/>
        </w:rPr>
        <w:t>Change in fair value of contingent consideration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obligated to make cash payments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cumulative revenue in future years was estimated to be $12.0 million as of March 31, 2024, a $0.4 million increase from the estimate as of December 31, 2023. During the three months ended March 31, 2023, the estimate increased by $0.3 million from the $8.8 million estimate as of December 31, 2022.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other income, net of approximately $2.1 million in the three months ended March 31, 2024, compared to other income of $113,000 during the three months ended March 31, 2023. The increase was primarily due to an increase in interest income driven by higher cash and cash equivalents and short-term and long-term investments during the three months ended March 31, 2024 compared to the three months ended March 31, 2023.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had a net loss of $21.4 million during the three months ended March 31, 2024 and an accumulated deficit of $297.8 million at March 31, 2024 as a result of having incurred losses since our inception. We had $42.8 million in cash and cash equivalents, $106.8 million of short-term investments, $8.8 million of long-term investments and $137.8 million of working capital at March 31, 2024, and used $12.5 million of cash in operating activities during the three months ended March 31, 2024. As of March 31, 2024, we had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lease obligations totaling $0.3 million to be paid through May 2025, consisting of an operating lease for office space in Redwood City, California.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financed our operations principally through issuances of equity securities. In December 2022, we entered into a securities purchase agreement providing for the sale of up to $60.0 million in warrants and the common stock issuable upon the exercise thereof. Through March 31, 2024, we have received $10.0 million from the sale of these warrants and $33.5 million in proceeds from the exercise of certain of these warrants. Warrants with an aggregate exercise price of $16.5 million are still outstanding. In October 2023, we announced the closing of the underwritten public offering of 3,450,000 shares of our common stock at a public offering of $20.00 per share, which included the exercise in full by the underwriters of their option to purchase additional shares. The gross proceeds of the public offering were $69.0 million, before deducting the underwriting discount and other estimated offering expenses. We also announced the closing shares of our common stock and pre-funded warrants in a concurrent private offering pursuant to the securities purchase agreement with certain investors, including entities affiliated with existing stockholders, at a price per share of common stock equal to the public offering price of $20.00 and a price per per-funded warrant of $19.99, for gross proceeds of approximately $60.0 million. In aggregate, we received $129.0 million of gross proceeds from this financing.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incurring losses for the foreseeable future and may require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In the future,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and cash equivalents for each of the periods presented below: </w:t>
      </w:r>
    </w:p>
    <w:p>
      <w:pPr>
        <w:pStyle w:val="TextBody"/>
        <w:bidi w:val="0"/>
        <w:jc w:val="left"/>
        <w:rPr/>
      </w:pPr>
      <w:r>
        <w:rPr/>
        <w:t> </w:t>
      </w:r>
    </w:p>
    <w:tbl>
      <w:tblPr>
        <w:tblW w:w="6630" w:type="dxa"/>
        <w:jc w:val="left"/>
        <w:tblInd w:w="0" w:type="dxa"/>
        <w:tblLayout w:type="fixed"/>
        <w:tblCellMar>
          <w:top w:w="28" w:type="dxa"/>
          <w:left w:w="28" w:type="dxa"/>
          <w:bottom w:w="28" w:type="dxa"/>
          <w:right w:w="28" w:type="dxa"/>
        </w:tblCellMar>
      </w:tblPr>
      <w:tblGrid>
        <w:gridCol w:w="3696"/>
        <w:gridCol w:w="146"/>
        <w:gridCol w:w="229"/>
        <w:gridCol w:w="915"/>
        <w:gridCol w:w="180"/>
        <w:gridCol w:w="158"/>
        <w:gridCol w:w="229"/>
        <w:gridCol w:w="686"/>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97" w:type="dxa"/>
            <w:gridSpan w:val="6"/>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(12,528</w:t>
            </w:r>
          </w:p>
        </w:tc>
        <w:tc>
          <w:tcPr>
            <w:tcW w:w="1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vAlign w:val="center"/>
          </w:tcPr>
          <w:p>
            <w:pPr>
              <w:pStyle w:val="TableContents"/>
              <w:bidi w:val="0"/>
              <w:spacing w:before="0" w:after="283"/>
              <w:jc w:val="left"/>
              <w:rPr/>
            </w:pPr>
            <w:r>
              <w:rPr/>
              <w:t> </w:t>
            </w:r>
          </w:p>
        </w:tc>
        <w:tc>
          <w:tcPr>
            <w:tcW w:w="22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91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(115,244</w:t>
            </w:r>
          </w:p>
        </w:tc>
        <w:tc>
          <w:tcPr>
            <w:tcW w:w="1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68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6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(126,834</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operating activities used net cash of $12.5 million, which was primarily due to the net loss of $21.4 million and accretion of premium/discount on investments of $0.5 million, less non-cash expense of $6.4 million for stock-based compensation, $0.5 million for depreciation and amortization, $0.1 million for non-cash lease expense, and $0.4 million related to the change in fair value of contingent consideration. Additionally, usage of cash during the three months ended March 31, 2024 increased by $2.0 million due to changes in operating assets and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2023, operating activities used net cash of $6.7 million, which was primarily due to the net loss of $8.4 million which included non-cash expense of $0.3 million related to the change in fair value of contingent consideration, adjusted for non-cash expense of $0.5 million for depreciation and amortization, $0.6 million for stock-based compensation, and $0.1 million for non-cash lease expense. Additionally, there was a $0.2 million net decrease in usage of cash during the three months ended March 31, 2023 due to changes in operating assets and liabilities.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Net cash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2024, we used $115.2 million for purchases of marketable securities and $11,000 for purchases of property and equipment.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2023, there were no investing activities.</w:t>
      </w:r>
    </w:p>
    <w:p>
      <w:pPr>
        <w:pStyle w:val="TextBody"/>
        <w:bidi w:val="0"/>
        <w:spacing w:before="360" w:after="283"/>
        <w:jc w:val="left"/>
        <w:rPr>
          <w:rFonts w:ascii="Times New Roman" w:hAnsi="Times New Roman"/>
          <w:sz w:val="20"/>
        </w:rPr>
      </w:pPr>
      <w:r>
        <w:rPr>
          <w:rFonts w:ascii="Times New Roman" w:hAnsi="Times New Roman"/>
          <w:b/>
          <w:i/>
          <w:color w:val="000000"/>
          <w:sz w:val="20"/>
        </w:rPr>
        <w:t>Net cash provided by 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2024, we received $923,000 from the exercise of common stock warrants. We also received $15,000 from the exercise of 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three months ended March 31, 2023, there were no financing activities. </w:t>
      </w:r>
    </w:p>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off-balance sheet arrangements. </w:t>
      </w:r>
    </w:p>
    <w:p>
      <w:pPr>
        <w:pStyle w:val="TextBody"/>
        <w:bidi w:val="0"/>
        <w:spacing w:before="360" w:after="283"/>
        <w:jc w:val="left"/>
        <w:rPr>
          <w:rFonts w:ascii="Times New Roman" w:hAnsi="Times New Roman"/>
          <w:sz w:val="20"/>
        </w:rPr>
      </w:pPr>
      <w:bookmarkStart w:id="11" w:name="item_3_quantitative_and_qualitative"/>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not been any material changes to our exposure to market risk during the three months ended March 31, 2024. For additional information regarding market risk, refer to the </w:t>
      </w:r>
      <w:r>
        <w:rPr>
          <w:rFonts w:ascii="Times New Roman" w:hAnsi="Times New Roman"/>
          <w:i/>
          <w:color w:val="000000"/>
          <w:sz w:val="20"/>
        </w:rPr>
        <w:t>Qualitative and Quantitative Disclosures About Market Risk</w:t>
      </w:r>
      <w:r>
        <w:rPr>
          <w:rFonts w:ascii="Times New Roman" w:hAnsi="Times New Roman"/>
          <w:color w:val="000000"/>
          <w:sz w:val="20"/>
        </w:rPr>
        <w:t xml:space="preserve"> section of the Form 10-K. </w:t>
      </w:r>
    </w:p>
    <w:p>
      <w:pPr>
        <w:pStyle w:val="TextBody"/>
        <w:bidi w:val="0"/>
        <w:spacing w:before="360" w:after="283"/>
        <w:jc w:val="left"/>
        <w:rPr>
          <w:rFonts w:ascii="Times New Roman" w:hAnsi="Times New Roman"/>
          <w:sz w:val="20"/>
        </w:rPr>
      </w:pPr>
      <w:bookmarkStart w:id="12" w:name="controls_and_procedures"/>
      <w:bookmarkEnd w:id="12"/>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(a)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 </w:t>
      </w:r>
    </w:p>
    <w:p>
      <w:pPr>
        <w:pStyle w:val="TextBody"/>
        <w:bidi w:val="0"/>
        <w:spacing w:before="360" w:after="283"/>
        <w:jc w:val="left"/>
        <w:rPr>
          <w:rFonts w:ascii="Times New Roman" w:hAnsi="Times New Roman"/>
          <w:sz w:val="20"/>
        </w:rPr>
      </w:pPr>
      <w:r>
        <w:rPr>
          <w:rFonts w:ascii="Times New Roman" w:hAnsi="Times New Roman"/>
          <w:b/>
          <w:color w:val="000000"/>
          <w:sz w:val="20"/>
        </w:rPr>
        <w:t>(b) 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no changes to our internal control over financial reporting that occurred during the three months ended March 31, 2024, that have materially affected, or are reasonably likely to materially affect, our internal control over financial reporting. </w:t>
      </w:r>
    </w:p>
    <w:p>
      <w:pPr>
        <w:pStyle w:val="TextBody"/>
        <w:bidi w:val="0"/>
        <w:spacing w:before="360" w:after="283"/>
        <w:jc w:val="left"/>
        <w:rPr>
          <w:rFonts w:ascii="Times New Roman" w:hAnsi="Times New Roman"/>
          <w:sz w:val="20"/>
        </w:rPr>
      </w:pPr>
      <w:r>
        <w:rPr>
          <w:rFonts w:ascii="Times New Roman" w:hAnsi="Times New Roman"/>
          <w:b/>
          <w:i/>
          <w:color w:val="000000"/>
          <w:sz w:val="20"/>
        </w:rPr>
        <w:t>Inherent Limitations on Effectiveness of Controls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3" w:name="part_ii_other_information"/>
      <w:bookmarkEnd w:id="13"/>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 </w:t>
      </w:r>
    </w:p>
    <w:p>
      <w:pPr>
        <w:pStyle w:val="TextBody"/>
        <w:bidi w:val="0"/>
        <w:spacing w:before="36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There have been no material changes from the disclosure provided in the Form 10-K with respect to the Risk Factors. </w:t>
      </w:r>
    </w:p>
    <w:p>
      <w:pPr>
        <w:pStyle w:val="TextBody"/>
        <w:bidi w:val="0"/>
        <w:spacing w:before="36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7" w:name="item_3_defaults_upon_senior_securities"/>
      <w:bookmarkEnd w:id="17"/>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8" w:name="item_4_mine_safety_disclosures"/>
      <w:bookmarkEnd w:id="18"/>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40"/>
        <w:jc w:val="left"/>
        <w:rPr>
          <w:rFonts w:ascii="Times New Roman" w:hAnsi="Times New Roman"/>
          <w:sz w:val="20"/>
        </w:rPr>
      </w:pPr>
      <w:bookmarkStart w:id="19" w:name="item_5_or_information"/>
      <w:bookmarkEnd w:id="19"/>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social media posts at Twitter (X)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Quarterly Report on Form 10-Q and should not be considered a part of this Quarterly Report on Form 10-Q.</w:t>
      </w:r>
    </w:p>
    <w:p>
      <w:pPr>
        <w:pStyle w:val="TextBody"/>
        <w:bidi w:val="0"/>
        <w:spacing w:before="360" w:after="240"/>
        <w:jc w:val="left"/>
        <w:rPr>
          <w:rFonts w:ascii="Times New Roman" w:hAnsi="Times New Roman"/>
          <w:sz w:val="20"/>
        </w:rPr>
      </w:pPr>
      <w:bookmarkStart w:id="20" w:name="item_6_exhibits"/>
      <w:bookmarkEnd w:id="20"/>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Exhibit Index on the page immediately preceding the exhibits for a list of exhibits filed as part of this Quarterly Report on Form 10-Q, which Exhibit Index is incorporated herein by reference.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exhibit_index"/>
      <w:bookmarkEnd w:id="21"/>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877"/>
        <w:gridCol w:w="266"/>
        <w:gridCol w:w="5089"/>
        <w:gridCol w:w="146"/>
        <w:gridCol w:w="991"/>
        <w:gridCol w:w="146"/>
        <w:gridCol w:w="640"/>
        <w:gridCol w:w="226"/>
        <w:gridCol w:w="771"/>
        <w:gridCol w:w="186"/>
        <w:gridCol w:w="867"/>
      </w:tblGrid>
      <w:tr>
        <w:trPr/>
        <w:tc>
          <w:tcPr>
            <w:tcW w:w="877"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508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71" w:type="dxa"/>
            <w:tcBorders/>
            <w:shd w:fill="FFFFFF" w:val="clear"/>
            <w:vAlign w:val="center"/>
          </w:tcPr>
          <w:p>
            <w:pPr>
              <w:pStyle w:val="TableContents"/>
              <w:bidi w:val="0"/>
              <w:spacing w:before="0" w:after="283"/>
              <w:jc w:val="left"/>
              <w:rPr>
                <w:sz w:val="4"/>
                <w:szCs w:val="4"/>
              </w:rPr>
            </w:pPr>
            <w:r>
              <w:rPr>
                <w:sz w:val="4"/>
                <w:szCs w:val="4"/>
              </w:rPr>
            </w:r>
          </w:p>
        </w:tc>
        <w:tc>
          <w:tcPr>
            <w:tcW w:w="186" w:type="dxa"/>
            <w:tcBorders/>
            <w:shd w:fill="FFFFFF" w:val="clear"/>
            <w:vAlign w:val="center"/>
          </w:tcPr>
          <w:p>
            <w:pPr>
              <w:pStyle w:val="TableContents"/>
              <w:bidi w:val="0"/>
              <w:spacing w:before="0" w:after="283"/>
              <w:jc w:val="left"/>
              <w:rPr>
                <w:sz w:val="4"/>
                <w:szCs w:val="4"/>
              </w:rPr>
            </w:pPr>
            <w:r>
              <w:rPr>
                <w:sz w:val="4"/>
                <w:szCs w:val="4"/>
              </w:rPr>
            </w:r>
          </w:p>
        </w:tc>
        <w:tc>
          <w:tcPr>
            <w:tcW w:w="867" w:type="dxa"/>
            <w:tcBorders/>
            <w:shd w:fill="FFFFFF" w:val="clear"/>
            <w:vAlign w:val="center"/>
          </w:tcPr>
          <w:p>
            <w:pPr>
              <w:pStyle w:val="TableContents"/>
              <w:bidi w:val="0"/>
              <w:spacing w:before="0" w:after="283"/>
              <w:jc w:val="left"/>
              <w:rPr>
                <w:sz w:val="4"/>
                <w:szCs w:val="4"/>
              </w:rPr>
            </w:pPr>
            <w:r>
              <w:rPr>
                <w:sz w:val="4"/>
                <w:szCs w:val="4"/>
              </w:rPr>
            </w:r>
          </w:p>
        </w:tc>
      </w:tr>
      <w:tr>
        <w:trPr/>
        <w:tc>
          <w:tcPr>
            <w:tcW w:w="877" w:type="dxa"/>
            <w:tcBorders/>
            <w:vAlign w:val="center"/>
          </w:tcPr>
          <w:p>
            <w:pPr>
              <w:pStyle w:val="TableContents"/>
              <w:bidi w:val="0"/>
              <w:spacing w:before="0" w:after="283"/>
              <w:jc w:val="center"/>
              <w:rPr/>
            </w:pPr>
            <w:r>
              <w:rPr/>
              <w:t> </w:t>
            </w:r>
          </w:p>
        </w:tc>
        <w:tc>
          <w:tcPr>
            <w:tcW w:w="266" w:type="dxa"/>
            <w:tcBorders/>
            <w:vAlign w:val="center"/>
          </w:tcPr>
          <w:p>
            <w:pPr>
              <w:pStyle w:val="TableContents"/>
              <w:bidi w:val="0"/>
              <w:spacing w:before="0" w:after="283"/>
              <w:jc w:val="center"/>
              <w:rPr/>
            </w:pPr>
            <w:r>
              <w:rPr/>
              <w:t> </w:t>
            </w:r>
          </w:p>
        </w:tc>
        <w:tc>
          <w:tcPr>
            <w:tcW w:w="508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827" w:type="dxa"/>
            <w:gridSpan w:val="7"/>
            <w:tcBorders>
              <w:bottom w:val="single" w:sz="4" w:space="0" w:color="000000"/>
            </w:tcBorders>
            <w:tcMar>
              <w:top w:w="0" w:type="dxa"/>
              <w:left w:w="0" w:type="dxa"/>
              <w:right w:w="0" w:type="dxa"/>
            </w:tcMar>
            <w:vAlign w:val="center"/>
          </w:tcPr>
          <w:p>
            <w:pPr>
              <w:pStyle w:val="TableContents"/>
              <w:bidi w:val="0"/>
              <w:spacing w:before="0" w:after="283"/>
              <w:ind w:left="0" w:right="40" w:hanging="0"/>
              <w:jc w:val="center"/>
              <w:rPr>
                <w:rFonts w:ascii="Times New Roman" w:hAnsi="Times New Roman"/>
                <w:b/>
                <w:color w:val="000000"/>
                <w:sz w:val="16"/>
              </w:rPr>
            </w:pPr>
            <w:r>
              <w:rPr>
                <w:rFonts w:ascii="Times New Roman" w:hAnsi="Times New Roman"/>
                <w:b/>
                <w:color w:val="000000"/>
                <w:sz w:val="16"/>
              </w:rPr>
              <w:t>Incorporated by Reference from</w:t>
            </w:r>
          </w:p>
        </w:tc>
      </w:tr>
      <w:tr>
        <w:trPr/>
        <w:tc>
          <w:tcPr>
            <w:tcW w:w="87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08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4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Date 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 the SEC</w:t>
            </w:r>
          </w:p>
        </w:tc>
        <w:tc>
          <w:tcPr>
            <w:tcW w:w="226" w:type="dxa"/>
            <w:tcBorders>
              <w:bottom w:val="single" w:sz="4" w:space="0" w:color="000000"/>
            </w:tcBorders>
            <w:tcMar>
              <w:top w:w="0" w:type="dxa"/>
              <w:left w:w="0" w:type="dxa"/>
              <w:right w:w="0" w:type="dxa"/>
            </w:tcMar>
            <w:vAlign w:val="center"/>
          </w:tcPr>
          <w:p>
            <w:pPr>
              <w:pStyle w:val="TableContents"/>
              <w:bidi w:val="0"/>
              <w:spacing w:before="0" w:after="283"/>
              <w:ind w:left="0" w:right="80" w:hanging="0"/>
              <w:jc w:val="center"/>
              <w:rPr/>
            </w:pPr>
            <w:r>
              <w:rPr/>
              <w:t> </w:t>
            </w:r>
          </w:p>
        </w:tc>
        <w:tc>
          <w:tcPr>
            <w:tcW w:w="771" w:type="dxa"/>
            <w:tcBorders>
              <w:bottom w:val="single" w:sz="4" w:space="0" w:color="000000"/>
            </w:tcBorders>
            <w:tcMar>
              <w:top w:w="0" w:type="dxa"/>
              <w:left w:w="0" w:type="dxa"/>
              <w:right w:w="0" w:type="dxa"/>
            </w:tcMar>
            <w:vAlign w:val="center"/>
          </w:tcPr>
          <w:p>
            <w:pPr>
              <w:pStyle w:val="TableContents"/>
              <w:bidi w:val="0"/>
              <w:ind w:left="0" w:right="80" w:hanging="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ind w:left="0" w:right="80" w:hanging="0"/>
              <w:jc w:val="center"/>
              <w:rPr>
                <w:rFonts w:ascii="Times New Roman" w:hAnsi="Times New Roman"/>
                <w:b/>
                <w:color w:val="000000"/>
                <w:sz w:val="16"/>
              </w:rPr>
            </w:pPr>
            <w:r>
              <w:rPr>
                <w:rFonts w:ascii="Times New Roman" w:hAnsi="Times New Roman"/>
                <w:b/>
                <w:color w:val="000000"/>
                <w:sz w:val="16"/>
              </w:rPr>
              <w:t>Number</w:t>
            </w:r>
          </w:p>
        </w:tc>
        <w:tc>
          <w:tcPr>
            <w:tcW w:w="186" w:type="dxa"/>
            <w:tcBorders>
              <w:bottom w:val="single" w:sz="4" w:space="0" w:color="000000"/>
            </w:tcBorders>
            <w:tcMar>
              <w:top w:w="0" w:type="dxa"/>
              <w:left w:w="0" w:type="dxa"/>
              <w:right w:w="0" w:type="dxa"/>
            </w:tcMar>
            <w:vAlign w:val="center"/>
          </w:tcPr>
          <w:p>
            <w:pPr>
              <w:pStyle w:val="TableContents"/>
              <w:bidi w:val="0"/>
              <w:spacing w:before="0" w:after="283"/>
              <w:ind w:left="0" w:right="40" w:hanging="0"/>
              <w:jc w:val="center"/>
              <w:rPr/>
            </w:pPr>
            <w:r>
              <w:rPr/>
              <w:t> </w:t>
            </w:r>
          </w:p>
        </w:tc>
        <w:tc>
          <w:tcPr>
            <w:tcW w:w="867" w:type="dxa"/>
            <w:tcBorders>
              <w:bottom w:val="single" w:sz="4" w:space="0" w:color="000000"/>
            </w:tcBorders>
            <w:tcMar>
              <w:top w:w="0" w:type="dxa"/>
              <w:left w:w="0" w:type="dxa"/>
              <w:right w:w="0" w:type="dxa"/>
            </w:tcMar>
            <w:vAlign w:val="center"/>
          </w:tcPr>
          <w:p>
            <w:pPr>
              <w:pStyle w:val="TableContents"/>
              <w:bidi w:val="0"/>
              <w:ind w:left="0" w:right="40" w:hanging="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ind w:left="0" w:right="40" w:hanging="0"/>
              <w:jc w:val="center"/>
              <w:rPr>
                <w:rFonts w:ascii="Times New Roman" w:hAnsi="Times New Roman"/>
                <w:b/>
                <w:color w:val="000000"/>
                <w:sz w:val="16"/>
              </w:rPr>
            </w:pPr>
            <w:r>
              <w:rPr>
                <w:rFonts w:ascii="Times New Roman" w:hAnsi="Times New Roman"/>
                <w:b/>
                <w:color w:val="000000"/>
                <w:sz w:val="16"/>
              </w:rPr>
              <w:t>Herewith</w:t>
            </w:r>
          </w:p>
        </w:tc>
      </w:tr>
      <w:tr>
        <w:trPr/>
        <w:tc>
          <w:tcPr>
            <w:tcW w:w="877" w:type="dxa"/>
            <w:tcBorders/>
            <w:vAlign w:val="center"/>
          </w:tcPr>
          <w:p>
            <w:pPr>
              <w:pStyle w:val="TableContents"/>
              <w:bidi w:val="0"/>
              <w:spacing w:before="0" w:after="283"/>
              <w:jc w:val="center"/>
              <w:rPr/>
            </w:pPr>
            <w:r>
              <w:rPr/>
              <w:t> </w:t>
            </w:r>
          </w:p>
        </w:tc>
        <w:tc>
          <w:tcPr>
            <w:tcW w:w="266" w:type="dxa"/>
            <w:tcBorders/>
            <w:vAlign w:val="center"/>
          </w:tcPr>
          <w:p>
            <w:pPr>
              <w:pStyle w:val="TableContents"/>
              <w:bidi w:val="0"/>
              <w:spacing w:before="0" w:after="283"/>
              <w:jc w:val="center"/>
              <w:rPr/>
            </w:pPr>
            <w:r>
              <w:rPr/>
              <w:t> </w:t>
            </w:r>
          </w:p>
        </w:tc>
        <w:tc>
          <w:tcPr>
            <w:tcW w:w="5089"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9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640" w:type="dxa"/>
            <w:tcBorders/>
            <w:vAlign w:val="center"/>
          </w:tcPr>
          <w:p>
            <w:pPr>
              <w:pStyle w:val="TableContents"/>
              <w:bidi w:val="0"/>
              <w:spacing w:before="0" w:after="283"/>
              <w:jc w:val="center"/>
              <w:rPr/>
            </w:pPr>
            <w:r>
              <w:rPr/>
              <w:t> </w:t>
            </w:r>
          </w:p>
        </w:tc>
        <w:tc>
          <w:tcPr>
            <w:tcW w:w="226" w:type="dxa"/>
            <w:tcBorders/>
            <w:vAlign w:val="center"/>
          </w:tcPr>
          <w:p>
            <w:pPr>
              <w:pStyle w:val="TableContents"/>
              <w:bidi w:val="0"/>
              <w:spacing w:before="0" w:after="283"/>
              <w:ind w:left="0" w:right="80" w:hanging="0"/>
              <w:jc w:val="center"/>
              <w:rPr/>
            </w:pPr>
            <w:r>
              <w:rPr/>
              <w:t> </w:t>
            </w:r>
          </w:p>
        </w:tc>
        <w:tc>
          <w:tcPr>
            <w:tcW w:w="771" w:type="dxa"/>
            <w:tcBorders/>
            <w:vAlign w:val="center"/>
          </w:tcPr>
          <w:p>
            <w:pPr>
              <w:pStyle w:val="TableContents"/>
              <w:bidi w:val="0"/>
              <w:spacing w:before="0" w:after="283"/>
              <w:ind w:left="0" w:right="80" w:hanging="0"/>
              <w:jc w:val="center"/>
              <w:rPr/>
            </w:pPr>
            <w:r>
              <w:rPr/>
              <w:t> </w:t>
            </w:r>
          </w:p>
        </w:tc>
        <w:tc>
          <w:tcPr>
            <w:tcW w:w="186" w:type="dxa"/>
            <w:tcBorders/>
            <w:vAlign w:val="center"/>
          </w:tcPr>
          <w:p>
            <w:pPr>
              <w:pStyle w:val="TableContents"/>
              <w:bidi w:val="0"/>
              <w:spacing w:before="0" w:after="283"/>
              <w:ind w:left="0" w:right="40" w:hanging="0"/>
              <w:jc w:val="center"/>
              <w:rPr/>
            </w:pPr>
            <w:r>
              <w:rPr/>
              <w:t> </w:t>
            </w:r>
          </w:p>
        </w:tc>
        <w:tc>
          <w:tcPr>
            <w:tcW w:w="867" w:type="dxa"/>
            <w:tcBorders/>
            <w:vAlign w:val="center"/>
          </w:tcPr>
          <w:p>
            <w:pPr>
              <w:pStyle w:val="TableContents"/>
              <w:bidi w:val="0"/>
              <w:spacing w:before="0" w:after="283"/>
              <w:ind w:left="0" w:right="0" w:firstLine="200"/>
              <w:jc w:val="center"/>
              <w:rPr/>
            </w:pPr>
            <w:r>
              <w:rPr/>
              <w:t> </w:t>
            </w:r>
          </w:p>
        </w:tc>
      </w:tr>
      <w:tr>
        <w:trPr/>
        <w:tc>
          <w:tcPr>
            <w:tcW w:w="877" w:type="dxa"/>
            <w:tcBorders/>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31.1</w:t>
            </w:r>
          </w:p>
        </w:tc>
        <w:tc>
          <w:tcPr>
            <w:tcW w:w="266" w:type="dxa"/>
            <w:tcBorders/>
            <w:vAlign w:val="center"/>
          </w:tcPr>
          <w:p>
            <w:pPr>
              <w:pStyle w:val="TableContents"/>
              <w:bidi w:val="0"/>
              <w:spacing w:before="0" w:after="283"/>
              <w:ind w:left="0" w:right="0" w:firstLine="115"/>
              <w:jc w:val="left"/>
              <w:rPr/>
            </w:pPr>
            <w:r>
              <w:rPr/>
              <w:t> </w:t>
            </w:r>
          </w:p>
        </w:tc>
        <w:tc>
          <w:tcPr>
            <w:tcW w:w="5089" w:type="dxa"/>
            <w:tcBorders/>
            <w:vAlign w:val="center"/>
          </w:tcPr>
          <w:p>
            <w:pPr>
              <w:pStyle w:val="TableContents"/>
              <w:bidi w:val="0"/>
              <w:spacing w:before="0" w:after="283"/>
              <w:ind w:left="0" w:right="0" w:firstLine="112"/>
              <w:jc w:val="left"/>
              <w:rPr/>
            </w:pPr>
            <w:hyperlink w:anchor="slno-ex31_1.htm">
              <w:r>
                <w:rPr>
                  <w:rStyle w:val="InternetLink"/>
                  <w:rFonts w:ascii="Times New Roman" w:hAnsi="Times New Roman"/>
                  <w:color w:val="0000FF"/>
                  <w:sz w:val="20"/>
                  <w:u w:val="single"/>
                </w:rPr>
                <w:t>Certification of Principal Executive Officer Required Under Rule 13a-14(a) and 15d-14(a) of the Securities and Exchange Act of 1934, as amended</w:t>
              </w:r>
            </w:hyperlink>
            <w:hyperlink w:anchor="slno-ex31_1.htm">
              <w:r>
                <w:rPr>
                  <w:rStyle w:val="InternetLink"/>
                  <w:rFonts w:ascii="Times New Roman" w:hAnsi="Times New Roman"/>
                  <w:color w:val="0000FF"/>
                  <w:sz w:val="20"/>
                </w:rPr>
                <w:t xml:space="preserve"> </w:t>
              </w:r>
            </w:hyperlink>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7"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pPr>
            <w:r>
              <w:rPr/>
              <w:t> </w:t>
            </w:r>
          </w:p>
        </w:tc>
      </w:tr>
      <w:tr>
        <w:trPr/>
        <w:tc>
          <w:tcPr>
            <w:tcW w:w="877" w:type="dxa"/>
            <w:tcBorders/>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31.2</w:t>
            </w:r>
          </w:p>
        </w:tc>
        <w:tc>
          <w:tcPr>
            <w:tcW w:w="266" w:type="dxa"/>
            <w:tcBorders/>
            <w:vAlign w:val="center"/>
          </w:tcPr>
          <w:p>
            <w:pPr>
              <w:pStyle w:val="TableContents"/>
              <w:bidi w:val="0"/>
              <w:spacing w:before="0" w:after="283"/>
              <w:ind w:left="0" w:right="0" w:firstLine="115"/>
              <w:jc w:val="left"/>
              <w:rPr/>
            </w:pPr>
            <w:r>
              <w:rPr/>
              <w:t> </w:t>
            </w:r>
          </w:p>
        </w:tc>
        <w:tc>
          <w:tcPr>
            <w:tcW w:w="5089" w:type="dxa"/>
            <w:tcBorders/>
            <w:vAlign w:val="center"/>
          </w:tcPr>
          <w:p>
            <w:pPr>
              <w:pStyle w:val="TableContents"/>
              <w:bidi w:val="0"/>
              <w:spacing w:before="0" w:after="283"/>
              <w:ind w:left="0" w:right="0" w:firstLine="112"/>
              <w:jc w:val="left"/>
              <w:rPr/>
            </w:pPr>
            <w:hyperlink w:anchor="slno-ex31_2.htm">
              <w:r>
                <w:rPr>
                  <w:rStyle w:val="InternetLink"/>
                  <w:rFonts w:ascii="Times New Roman" w:hAnsi="Times New Roman"/>
                  <w:color w:val="0000FF"/>
                  <w:sz w:val="20"/>
                  <w:u w:val="single"/>
                </w:rPr>
                <w:t>Certification of Principal Financial and Accounting Officer Required Under Rule 13a-14(a) and 15d-14(a) of the Securities and Exchange Act of 1934, as amended</w:t>
              </w:r>
            </w:hyperlink>
            <w:hyperlink w:anchor="slno-ex31_2.htm">
              <w:r>
                <w:rPr>
                  <w:rStyle w:val="InternetLink"/>
                  <w:rFonts w:ascii="Times New Roman" w:hAnsi="Times New Roman"/>
                  <w:color w:val="0000FF"/>
                  <w:sz w:val="20"/>
                </w:rPr>
                <w:t xml:space="preserve"> </w:t>
              </w:r>
            </w:hyperlink>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7"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pPr>
            <w:r>
              <w:rPr/>
              <w:t> </w:t>
            </w:r>
          </w:p>
        </w:tc>
      </w:tr>
      <w:tr>
        <w:trPr/>
        <w:tc>
          <w:tcPr>
            <w:tcW w:w="877" w:type="dxa"/>
            <w:tcBorders/>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32.1</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spacing w:before="0" w:after="283"/>
              <w:ind w:left="0" w:right="0" w:firstLine="112"/>
              <w:jc w:val="left"/>
              <w:rPr/>
            </w:pPr>
            <w:hyperlink w:anchor="slno-ex32_1.htm">
              <w:r>
                <w:rPr>
                  <w:rStyle w:val="InternetLink"/>
                  <w:rFonts w:ascii="Times New Roman" w:hAnsi="Times New Roman"/>
                  <w:color w:val="0000FF"/>
                  <w:sz w:val="20"/>
                  <w:u w:val="single"/>
                </w:rPr>
                <w:t>Certification of Principal Executive Officer Required Under Rule 13a-14(b) of the Securities and Exchange Act of 1934, as amended, and 18 U.S.C. §1350</w:t>
              </w:r>
            </w:hyperlink>
            <w:hyperlink w:anchor="slno-ex32_1.htm">
              <w:r>
                <w:rPr>
                  <w:rStyle w:val="InternetLink"/>
                  <w:rFonts w:ascii="Times New Roman" w:hAnsi="Times New Roman"/>
                  <w:color w:val="0000FF"/>
                  <w:sz w:val="20"/>
                </w:rPr>
                <w:t xml:space="preserve"> </w:t>
              </w:r>
            </w:hyperlink>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7"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pPr>
            <w:r>
              <w:rPr/>
              <w:t> </w:t>
            </w:r>
          </w:p>
        </w:tc>
      </w:tr>
      <w:tr>
        <w:trPr/>
        <w:tc>
          <w:tcPr>
            <w:tcW w:w="877" w:type="dxa"/>
            <w:tcBorders/>
            <w:vAlign w:val="center"/>
          </w:tcPr>
          <w:p>
            <w:pPr>
              <w:pStyle w:val="TableContents"/>
              <w:bidi w:val="0"/>
              <w:spacing w:before="0" w:after="283"/>
              <w:ind w:left="200" w:right="0" w:firstLine="200"/>
              <w:jc w:val="left"/>
              <w:rPr>
                <w:color w:val="000000"/>
              </w:rPr>
            </w:pPr>
            <w:r>
              <w:rPr>
                <w:color w:val="000000"/>
              </w:rPr>
              <w:t>  </w:t>
            </w:r>
            <w:r>
              <w:rPr>
                <w:rFonts w:ascii="Times New Roman" w:hAnsi="Times New Roman"/>
                <w:color w:val="000000"/>
                <w:sz w:val="20"/>
              </w:rPr>
              <w:t>32.2</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spacing w:before="0" w:after="283"/>
              <w:ind w:left="0" w:right="0" w:firstLine="112"/>
              <w:jc w:val="left"/>
              <w:rPr/>
            </w:pPr>
            <w:hyperlink w:anchor="slno-ex32_2.htm">
              <w:r>
                <w:rPr>
                  <w:rStyle w:val="InternetLink"/>
                  <w:rFonts w:ascii="Times New Roman" w:hAnsi="Times New Roman"/>
                  <w:color w:val="0000FF"/>
                  <w:sz w:val="20"/>
                  <w:u w:val="single"/>
                </w:rPr>
                <w:t>Certification of Principal Financial and Accounting Officer Required Under Rule 13a-14(b) of the Securities and Exchange Act of 1934, as amended, and 18 U.S.C. §1350</w:t>
              </w:r>
            </w:hyperlink>
            <w:hyperlink w:anchor="slno-ex32_2.htm">
              <w:r>
                <w:rPr>
                  <w:rStyle w:val="InternetLink"/>
                  <w:rFonts w:ascii="Times New Roman" w:hAnsi="Times New Roman"/>
                  <w:color w:val="0000FF"/>
                  <w:sz w:val="20"/>
                </w:rPr>
                <w:t xml:space="preserve"> </w:t>
              </w:r>
            </w:hyperlink>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7"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pPr>
            <w:r>
              <w:rPr/>
              <w:t> </w:t>
            </w:r>
          </w:p>
        </w:tc>
      </w:tr>
      <w:tr>
        <w:trPr/>
        <w:tc>
          <w:tcPr>
            <w:tcW w:w="877" w:type="dxa"/>
            <w:tcBorders/>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101.INS</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spacing w:before="0" w:after="283"/>
              <w:ind w:left="0" w:right="0" w:firstLine="112"/>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7"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pPr>
            <w:r>
              <w:rPr/>
              <w:t> </w:t>
            </w:r>
          </w:p>
        </w:tc>
      </w:tr>
      <w:tr>
        <w:trPr/>
        <w:tc>
          <w:tcPr>
            <w:tcW w:w="877" w:type="dxa"/>
            <w:tcBorders/>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101.SCH</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spacing w:before="0" w:after="283"/>
              <w:ind w:left="0" w:right="0" w:firstLine="112"/>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X</w:t>
            </w:r>
          </w:p>
        </w:tc>
      </w:tr>
      <w:tr>
        <w:trPr/>
        <w:tc>
          <w:tcPr>
            <w:tcW w:w="877" w:type="dxa"/>
            <w:tcBorders/>
            <w:vAlign w:val="center"/>
          </w:tcPr>
          <w:p>
            <w:pPr>
              <w:pStyle w:val="TableContents"/>
              <w:bidi w:val="0"/>
              <w:spacing w:before="0" w:after="283"/>
              <w:ind w:left="200" w:right="0" w:firstLine="200"/>
              <w:jc w:val="left"/>
              <w:rPr/>
            </w:pPr>
            <w:r>
              <w:rPr/>
              <w:t> </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ind w:left="0" w:right="0" w:firstLine="200"/>
              <w:jc w:val="center"/>
              <w:rPr/>
            </w:pPr>
            <w:r>
              <w:rPr/>
              <w:t> </w:t>
            </w:r>
          </w:p>
        </w:tc>
      </w:tr>
      <w:tr>
        <w:trPr/>
        <w:tc>
          <w:tcPr>
            <w:tcW w:w="877" w:type="dxa"/>
            <w:tcBorders/>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104</w:t>
            </w:r>
          </w:p>
        </w:tc>
        <w:tc>
          <w:tcPr>
            <w:tcW w:w="266" w:type="dxa"/>
            <w:tcBorders/>
            <w:vAlign w:val="center"/>
          </w:tcPr>
          <w:p>
            <w:pPr>
              <w:pStyle w:val="TableContents"/>
              <w:bidi w:val="0"/>
              <w:spacing w:before="0" w:after="283"/>
              <w:ind w:left="0" w:right="0" w:firstLine="120"/>
              <w:jc w:val="left"/>
              <w:rPr/>
            </w:pPr>
            <w:r>
              <w:rPr/>
              <w:t> </w:t>
            </w:r>
          </w:p>
        </w:tc>
        <w:tc>
          <w:tcPr>
            <w:tcW w:w="5089" w:type="dxa"/>
            <w:tcBorders/>
            <w:vAlign w:val="center"/>
          </w:tcPr>
          <w:p>
            <w:pPr>
              <w:pStyle w:val="TableContents"/>
              <w:bidi w:val="0"/>
              <w:ind w:left="120" w:right="0" w:firstLine="120"/>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p>
            <w:pPr>
              <w:pStyle w:val="TableContents"/>
              <w:bidi w:val="0"/>
              <w:spacing w:before="0" w:after="283"/>
              <w:ind w:left="0" w:right="0" w:firstLine="112"/>
              <w:jc w:val="left"/>
              <w:rPr/>
            </w:pPr>
            <w:r>
              <w:rPr/>
              <w:t> </w:t>
            </w:r>
          </w:p>
        </w:tc>
        <w:tc>
          <w:tcPr>
            <w:tcW w:w="146" w:type="dxa"/>
            <w:tcBorders/>
            <w:vAlign w:val="center"/>
          </w:tcPr>
          <w:p>
            <w:pPr>
              <w:pStyle w:val="TableContents"/>
              <w:pBdr/>
              <w:bidi w:val="0"/>
              <w:spacing w:before="0" w:after="283"/>
              <w:ind w:left="101" w:right="0" w:hanging="11"/>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pPr>
            <w:r>
              <w:rPr/>
              <w:t> </w:t>
            </w:r>
          </w:p>
        </w:tc>
        <w:tc>
          <w:tcPr>
            <w:tcW w:w="86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153" w:type="dxa"/>
        <w:jc w:val="left"/>
        <w:tblInd w:w="0" w:type="dxa"/>
        <w:tblLayout w:type="fixed"/>
        <w:tblCellMar>
          <w:top w:w="28" w:type="dxa"/>
          <w:left w:w="28" w:type="dxa"/>
          <w:bottom w:w="28" w:type="dxa"/>
          <w:right w:w="28" w:type="dxa"/>
        </w:tblCellMar>
      </w:tblPr>
      <w:tblGrid>
        <w:gridCol w:w="1636"/>
        <w:gridCol w:w="406"/>
        <w:gridCol w:w="411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163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9, 2024</w:t>
            </w:r>
          </w:p>
        </w:tc>
        <w:tc>
          <w:tcPr>
            <w:tcW w:w="451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SOLENO THERAPEUTICS, INC.</w:t>
            </w:r>
          </w:p>
        </w:tc>
      </w:tr>
      <w:tr>
        <w:trPr/>
        <w:tc>
          <w:tcPr>
            <w:tcW w:w="163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4111" w:type="dxa"/>
            <w:tcBorders/>
            <w:vAlign w:val="center"/>
          </w:tcPr>
          <w:p>
            <w:pPr>
              <w:pStyle w:val="TableContents"/>
              <w:bidi w:val="0"/>
              <w:spacing w:before="0" w:after="283"/>
              <w:jc w:val="left"/>
              <w:rPr/>
            </w:pPr>
            <w:r>
              <w:rPr/>
              <w:t> </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Mackaness</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(authorized officer and principal financial and </w:t>
              <w:br/>
              <w:t>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bookmarkStart w:id="23" w:name="slno-ex31_1.htm"/>
      <w:bookmarkStart w:id="24" w:name="ksslnoex31_1"/>
      <w:bookmarkEnd w:id="23"/>
      <w:bookmarkEnd w:id="2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RULES 13A-14(A) AND 15D-14(A)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Anish Bhatnagar, M.D.,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Soleno Therapeutics,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9, 2024</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Anish Bhatnagar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Anish Bhatnagar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lno-ex31_2.htm"/>
      <w:bookmarkStart w:id="26" w:name="ksslnoex31_2"/>
      <w:bookmarkEnd w:id="25"/>
      <w:bookmarkEnd w:id="26"/>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OF THE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EXCHANGE ACT RULES 13A-14(A) AND 15D-14(A)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James Mackaness, certify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Soleno Therapeutics,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9, 2024</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36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Mackaness</w:t>
            </w:r>
          </w:p>
        </w:tc>
      </w:tr>
      <w:tr>
        <w:trPr/>
        <w:tc>
          <w:tcPr>
            <w:tcW w:w="36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lno-ex32_1.htm"/>
      <w:bookmarkStart w:id="28" w:name="ksslnoex32_1"/>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Soleno Therapeutics, Inc. (the “Company”) on Form 10-Q for the fiscal quarter ended March 31, 2024, as filed with the Securities and Exchange Commission (the “Report”), Anish Bhatnagar, President, Chief Executive Officer of the Company does hereby certify, pursuant to 18 U.S.C. Section 1350, as adopted pursuant to Section 906 of the Sarbanes-Oxley Act of 2002,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9, 2024</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Anish Bhatnagar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Anish Bhatnagar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lno-ex32_2.htm"/>
      <w:bookmarkStart w:id="30" w:name="ksslnoex32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Soleno Therapeutics, Inc. (the “Company”) on Form 10-Q for the fiscal quarter ended March 31, 2024, as filed with the Securities and Exchange Commission (the “Report”), James Mackaness, Chief Financial Officer of the Company does hereby certify, pursuant to 18 U.S.C. Section 1350, as adopted pursuant to Section 906 of the Sarbanes-Oxley Act of 2002,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in the Report fairly presents, in all material respects, the financial condition and results of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9, 2024</w:t>
      </w:r>
    </w:p>
    <w:p>
      <w:pPr>
        <w:pStyle w:val="TextBody"/>
        <w:bidi w:val="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283"/>
              <w:jc w:val="left"/>
              <w:rPr>
                <w:sz w:val="4"/>
                <w:szCs w:val="4"/>
              </w:rPr>
            </w:pPr>
            <w:r>
              <w:rPr>
                <w:sz w:val="4"/>
                <w:szCs w:val="4"/>
              </w:rPr>
            </w:r>
          </w:p>
        </w:tc>
      </w:tr>
      <w:tr>
        <w:trPr/>
        <w:tc>
          <w:tcPr>
            <w:tcW w:w="36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James Mackaness</w:t>
            </w:r>
          </w:p>
        </w:tc>
      </w:tr>
      <w:tr>
        <w:trPr/>
        <w:tc>
          <w:tcPr>
            <w:tcW w:w="36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James Mackaness</w:t>
            </w:r>
          </w:p>
        </w:tc>
      </w:tr>
      <w:tr>
        <w:trPr/>
        <w:tc>
          <w:tcPr>
            <w:tcW w:w="36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6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11622</Words>
  <Characters>63279</Characters>
  <CharactersWithSpaces>75752</CharactersWithSpaces>
  <Paragraphs>3284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