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lno-20250331.htm"/>
      <w:bookmarkStart w:id="1" w:name="ksslno20250331"/>
      <w:bookmarkEnd w:id="0"/>
      <w:bookmarkEnd w:id="1"/>
      <w:r>
        <w:rPr/>
        <w:t> </w:t>
      </w:r>
    </w:p>
    <w:p>
      <w:pPr>
        <w:pStyle w:val="TextBody"/>
        <w:bidi w:val="0"/>
        <w:jc w:val="righ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March 31, 2025</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001-36593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77-0523891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19"/>
        </w:rPr>
        <w:t>100 Marine Parkway, Suite 400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Redwood City, California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94065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(650) 213-8444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7248" w:type="dxa"/>
        <w:jc w:val="left"/>
        <w:tblInd w:w="0" w:type="dxa"/>
        <w:tblLayout w:type="fixed"/>
        <w:tblCellMar>
          <w:top w:w="28" w:type="dxa"/>
          <w:left w:w="28" w:type="dxa"/>
          <w:bottom w:w="28" w:type="dxa"/>
          <w:right w:w="28" w:type="dxa"/>
        </w:tblCellMar>
      </w:tblPr>
      <w:tblGrid>
        <w:gridCol w:w="2476"/>
        <w:gridCol w:w="145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45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3316" w:type="dxa"/>
            <w:tcBorders>
              <w:top w:val="single" w:sz="8" w:space="0" w:color="000000"/>
              <w:left w:val="single" w:sz="8" w:space="0" w:color="000000"/>
              <w:right w:val="single" w:sz="8" w:space="0" w:color="000000"/>
            </w:tcBorders>
            <w:tcMar>
              <w:top w:w="30" w:type="dxa"/>
              <w:left w:w="30" w:type="dxa"/>
              <w:bottom w:w="0" w:type="dxa"/>
              <w:right w:w="3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247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$0.001 par value</w:t>
            </w:r>
          </w:p>
        </w:tc>
        <w:tc>
          <w:tcPr>
            <w:tcW w:w="145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SLNO</w:t>
            </w:r>
          </w:p>
        </w:tc>
        <w:tc>
          <w:tcPr>
            <w:tcW w:w="3316" w:type="dxa"/>
            <w:tcBorders>
              <w:top w:val="single" w:sz="8" w:space="0" w:color="000000"/>
              <w:left w:val="single" w:sz="8" w:space="0" w:color="000000"/>
              <w:bottom w:val="single" w:sz="8" w:space="0" w:color="000000"/>
              <w:right w:val="single" w:sz="8"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NASDAQ</w:t>
            </w:r>
          </w:p>
        </w:tc>
      </w:tr>
    </w:tbl>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0"/>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As of May 2, 2025, there were 50,393,931</w:t>
      </w:r>
      <w:r>
        <w:rPr>
          <w:rFonts w:ascii="Times New Roman" w:hAnsi="Times New Roman"/>
          <w:color w:val="000000"/>
          <w:sz w:val="20"/>
        </w:rPr>
        <w:t xml:space="preserve"> </w:t>
      </w:r>
      <w:r>
        <w:rPr>
          <w:rFonts w:ascii="Times New Roman" w:hAnsi="Times New Roman"/>
          <w:color w:val="000000"/>
          <w:sz w:val="17"/>
        </w:rPr>
        <w:t>shares of the registrant’s Common Stock, par value $0.001 per share, outstanding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157" w:type="dxa"/>
        <w:jc w:val="left"/>
        <w:tblInd w:w="0" w:type="dxa"/>
        <w:tblLayout w:type="fixed"/>
        <w:tblCellMar>
          <w:top w:w="28" w:type="dxa"/>
          <w:left w:w="28" w:type="dxa"/>
          <w:bottom w:w="28" w:type="dxa"/>
          <w:right w:w="28" w:type="dxa"/>
        </w:tblCellMar>
      </w:tblPr>
      <w:tblGrid>
        <w:gridCol w:w="8701"/>
        <w:gridCol w:w="1456"/>
      </w:tblGrid>
      <w:tr>
        <w:trPr/>
        <w:tc>
          <w:tcPr>
            <w:tcW w:w="8701"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8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financial_information">
              <w:r>
                <w:rPr>
                  <w:rStyle w:val="InternetLink"/>
                  <w:rFonts w:ascii="Times New Roman" w:hAnsi="Times New Roman"/>
                  <w:b/>
                  <w:color w:val="0000FF"/>
                  <w:sz w:val="20"/>
                  <w:u w:val="single"/>
                </w:rPr>
                <w:t>PART I—FINANCIAL INFORMATION</w:t>
              </w:r>
            </w:hyperlink>
            <w:r>
              <w:rPr>
                <w:rFonts w:ascii="Times New Roman" w:hAnsi="Times New Roman"/>
                <w:color w:val="000000"/>
                <w:sz w:val="20"/>
              </w:rPr>
              <w:t xml:space="preserve"> </w:t>
            </w:r>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1_financial_statements">
              <w:r>
                <w:rPr>
                  <w:rStyle w:val="InternetLink"/>
                  <w:rFonts w:ascii="Times New Roman" w:hAnsi="Times New Roman"/>
                  <w:color w:val="0000FF"/>
                  <w:sz w:val="20"/>
                  <w:u w:val="single"/>
                </w:rPr>
                <w:t>Item 1. Financial Statements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ndnsd_cnsldtd_stmnt_oprns_comprehensive">
              <w:r>
                <w:rPr>
                  <w:rStyle w:val="InternetLink"/>
                  <w:rFonts w:ascii="Times New Roman" w:hAnsi="Times New Roman"/>
                  <w:color w:val="0000FF"/>
                  <w:sz w:val="20"/>
                  <w:u w:val="single"/>
                </w:rPr>
                <w:t>Condensed Consolidated Statements of Operations and Comprehensive Loss (unaudited)</w:t>
              </w:r>
            </w:hyperlink>
            <w:hyperlink w:anchor="cndnsd_cnsldtd_stmnt_oprns_comprehensive">
              <w:r>
                <w:rPr>
                  <w:rStyle w:val="InternetLink"/>
                  <w:rFonts w:ascii="Times New Roman" w:hAnsi="Times New Roman"/>
                  <w:color w:val="0000FF"/>
                  <w:sz w:val="20"/>
                </w:rPr>
                <w:t xml:space="preserve"> </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4</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5</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cndnsd_cnsolidated_statements_cash_flows">
              <w:r>
                <w:rPr>
                  <w:rStyle w:val="InternetLink"/>
                  <w:rFonts w:ascii="Times New Roman" w:hAnsi="Times New Roman"/>
                  <w:color w:val="0000FF"/>
                  <w:sz w:val="20"/>
                  <w:u w:val="single"/>
                </w:rPr>
                <w:t>Condensed Consolidated Statements of Cash Flows (unaudited)</w:t>
              </w:r>
            </w:hyperlink>
            <w:hyperlink w:anchor="cndnsd_cnsolidated_statements_cash_flows">
              <w:r>
                <w:rPr>
                  <w:rStyle w:val="InternetLink"/>
                  <w:rFonts w:ascii="Times New Roman" w:hAnsi="Times New Roman"/>
                  <w:color w:val="0000FF"/>
                  <w:sz w:val="20"/>
                </w:rPr>
                <w:t xml:space="preserve"> </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6</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1200"/>
              <w:jc w:val="left"/>
              <w:rPr/>
            </w:pPr>
            <w:hyperlink w:anchor="notes_consolidated_financial_statements">
              <w:r>
                <w:rPr>
                  <w:rStyle w:val="InternetLink"/>
                  <w:rFonts w:ascii="Times New Roman" w:hAnsi="Times New Roman"/>
                  <w:color w:val="0000FF"/>
                  <w:sz w:val="20"/>
                  <w:u w:val="single"/>
                </w:rPr>
                <w:t>Notes to Condensed Consolidated Financial Statements (unaudited)</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7</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21</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trols_and_procedures">
              <w:r>
                <w:rPr>
                  <w:rStyle w:val="InternetLink"/>
                  <w:rFonts w:ascii="Times New Roman" w:hAnsi="Times New Roman"/>
                  <w:color w:val="0000FF"/>
                  <w:sz w:val="20"/>
                  <w:u w:val="single"/>
                </w:rPr>
                <w:t>Item 4. Controls and Procedures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22</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b/>
                  <w:color w:val="0000FF"/>
                  <w:sz w:val="20"/>
                  <w:u w:val="single"/>
                </w:rPr>
                <w:t>PART II—OTHER INFORMATION</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24</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legal_proceedings">
              <w:r>
                <w:rPr>
                  <w:rStyle w:val="InternetLink"/>
                  <w:rFonts w:ascii="Times New Roman" w:hAnsi="Times New Roman"/>
                  <w:color w:val="0000FF"/>
                  <w:sz w:val="20"/>
                  <w:u w:val="single"/>
                </w:rPr>
                <w:t>Item 1. Legal Proceedings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24</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a_risk_factors">
              <w:r>
                <w:rPr>
                  <w:rStyle w:val="InternetLink"/>
                  <w:rFonts w:ascii="Times New Roman" w:hAnsi="Times New Roman"/>
                  <w:color w:val="0000FF"/>
                  <w:sz w:val="20"/>
                  <w:u w:val="single"/>
                </w:rPr>
                <w:t>Item 1A. Risk Factors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24</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54</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54</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55</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5_or_information">
              <w:r>
                <w:rPr>
                  <w:rStyle w:val="InternetLink"/>
                  <w:rFonts w:ascii="Times New Roman" w:hAnsi="Times New Roman"/>
                  <w:color w:val="0000FF"/>
                  <w:sz w:val="20"/>
                  <w:u w:val="single"/>
                </w:rPr>
                <w:t>Item 5. Other Information</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55</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6_exhibits">
              <w:r>
                <w:rPr>
                  <w:rStyle w:val="InternetLink"/>
                  <w:rFonts w:ascii="Times New Roman" w:hAnsi="Times New Roman"/>
                  <w:color w:val="0000FF"/>
                  <w:sz w:val="20"/>
                  <w:u w:val="single"/>
                </w:rPr>
                <w:t>Item 6. Exhibits</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55</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hibit_index">
              <w:r>
                <w:rPr>
                  <w:rStyle w:val="InternetLink"/>
                  <w:rFonts w:ascii="Times New Roman" w:hAnsi="Times New Roman"/>
                  <w:b/>
                  <w:color w:val="0000FF"/>
                  <w:sz w:val="20"/>
                  <w:u w:val="single"/>
                </w:rPr>
                <w:t>EXHIBIT INDEX</w:t>
              </w:r>
            </w:hyperlink>
          </w:p>
        </w:tc>
        <w:tc>
          <w:tcPr>
            <w:tcW w:w="145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56</w:t>
            </w:r>
          </w:p>
        </w:tc>
      </w:tr>
      <w:tr>
        <w:trPr/>
        <w:tc>
          <w:tcPr>
            <w:tcW w:w="870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1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sz w:val="20"/>
        </w:rPr>
      </w:pPr>
      <w:bookmarkStart w:id="4" w:name="item1_financial_statement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8"/>
        <w:gridCol w:w="146"/>
        <w:gridCol w:w="212"/>
        <w:gridCol w:w="849"/>
        <w:gridCol w:w="166"/>
        <w:gridCol w:w="146"/>
        <w:gridCol w:w="217"/>
        <w:gridCol w:w="867"/>
        <w:gridCol w:w="994"/>
      </w:tblGrid>
      <w:tr>
        <w:trPr/>
        <w:tc>
          <w:tcPr>
            <w:tcW w:w="6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87,928</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203,509</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293,889</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330,972</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clinical trial site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18,747</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Contingent liability for Essentialis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49,828</w:t>
            </w:r>
          </w:p>
        </w:tc>
        <w:tc>
          <w:tcPr>
            <w:tcW w:w="9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9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85,859</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100,000,000 shares authorized,</w:t>
              <w:br/>
              <w:t> 48,527,469 and 45,703,811 shares issued and outstanding at</w:t>
              <w:br/>
              <w: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696,966</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(452,260</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0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245,113</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330,972</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Soleno Therapeutics, Inc.</w:t>
      </w:r>
    </w:p>
    <w:p>
      <w:pPr>
        <w:pStyle w:val="TextBody"/>
        <w:bidi w:val="0"/>
        <w:jc w:val="center"/>
        <w:rPr>
          <w:rFonts w:ascii="Times New Roman" w:hAnsi="Times New Roman"/>
          <w:b/>
          <w:color w:val="000000"/>
          <w:sz w:val="20"/>
        </w:rPr>
      </w:pPr>
      <w:bookmarkStart w:id="6" w:name="cndnsd_cnsldtd_stmnt_oprns_comprehensive"/>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2"/>
        <w:gridCol w:w="211"/>
        <w:gridCol w:w="1036"/>
        <w:gridCol w:w="166"/>
        <w:gridCol w:w="146"/>
        <w:gridCol w:w="211"/>
        <w:gridCol w:w="1036"/>
        <w:gridCol w:w="546"/>
        <w:gridCol w:w="591"/>
      </w:tblGrid>
      <w:tr>
        <w:trPr/>
        <w:tc>
          <w:tcPr>
            <w:tcW w:w="6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used to calculate basic and diluted net loss per common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46,178,793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36,208,371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For the Three Months Ended March 31, 2025 and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6"/>
        <w:gridCol w:w="146"/>
        <w:gridCol w:w="146"/>
        <w:gridCol w:w="916"/>
        <w:gridCol w:w="146"/>
        <w:gridCol w:w="146"/>
        <w:gridCol w:w="305"/>
        <w:gridCol w:w="446"/>
        <w:gridCol w:w="146"/>
        <w:gridCol w:w="146"/>
        <w:gridCol w:w="205"/>
        <w:gridCol w:w="726"/>
        <w:gridCol w:w="146"/>
        <w:gridCol w:w="146"/>
        <w:gridCol w:w="404"/>
        <w:gridCol w:w="902"/>
        <w:gridCol w:w="166"/>
        <w:gridCol w:w="146"/>
        <w:gridCol w:w="233"/>
        <w:gridCol w:w="893"/>
        <w:gridCol w:w="166"/>
        <w:gridCol w:w="146"/>
        <w:gridCol w:w="246"/>
        <w:gridCol w:w="869"/>
        <w:gridCol w:w="412"/>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45,703,811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245,113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exercise of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(43,773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48,527,469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232,261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56"/>
        <w:gridCol w:w="146"/>
        <w:gridCol w:w="146"/>
        <w:gridCol w:w="916"/>
        <w:gridCol w:w="146"/>
        <w:gridCol w:w="146"/>
        <w:gridCol w:w="305"/>
        <w:gridCol w:w="446"/>
        <w:gridCol w:w="146"/>
        <w:gridCol w:w="146"/>
        <w:gridCol w:w="205"/>
        <w:gridCol w:w="726"/>
        <w:gridCol w:w="146"/>
        <w:gridCol w:w="146"/>
        <w:gridCol w:w="404"/>
        <w:gridCol w:w="902"/>
        <w:gridCol w:w="166"/>
        <w:gridCol w:w="146"/>
        <w:gridCol w:w="233"/>
        <w:gridCol w:w="893"/>
        <w:gridCol w:w="166"/>
        <w:gridCol w:w="146"/>
        <w:gridCol w:w="246"/>
        <w:gridCol w:w="869"/>
        <w:gridCol w:w="412"/>
      </w:tblGrid>
      <w:tr>
        <w:trPr/>
        <w:tc>
          <w:tcPr>
            <w:tcW w:w="1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157,507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exercise of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common stock warrants and pre-funded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33,337,079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143,386</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ndnsd_c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671" w:type="dxa"/>
        <w:jc w:val="left"/>
        <w:tblInd w:w="0" w:type="dxa"/>
        <w:tblLayout w:type="fixed"/>
        <w:tblCellMar>
          <w:top w:w="28" w:type="dxa"/>
          <w:left w:w="28" w:type="dxa"/>
          <w:bottom w:w="28" w:type="dxa"/>
          <w:right w:w="28" w:type="dxa"/>
        </w:tblCellMar>
      </w:tblPr>
      <w:tblGrid>
        <w:gridCol w:w="6316"/>
        <w:gridCol w:w="146"/>
        <w:gridCol w:w="219"/>
        <w:gridCol w:w="764"/>
        <w:gridCol w:w="172"/>
        <w:gridCol w:w="151"/>
        <w:gridCol w:w="219"/>
        <w:gridCol w:w="873"/>
        <w:gridCol w:w="81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premium/discount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other current assets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clinical trial site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81,331</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operating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March 31, 2025</w:t>
      </w:r>
    </w:p>
    <w:p>
      <w:pPr>
        <w:pStyle w:val="TextBody"/>
        <w:bidi w:val="0"/>
        <w:jc w:val="center"/>
        <w:rPr>
          <w:rFonts w:ascii="Times New Roman" w:hAnsi="Times New Roman"/>
          <w:sz w:val="20"/>
        </w:rPr>
      </w:pPr>
      <w:bookmarkStart w:id="9" w:name="notes_consolidated_financial_statements"/>
      <w:bookmarkEnd w:id="9"/>
      <w:r>
        <w:rPr>
          <w:rFonts w:ascii="Times New Roman" w:hAnsi="Times New Roman"/>
          <w:b/>
          <w:color w:val="000000"/>
          <w:sz w:val="18"/>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Note 1.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Soleno Therapeutics, Inc. (the Company or Soleno) is a biopharmaceutical company developing novel therapeutics for the treatment of rare diseases. On March 26, 2025, the Company announced that its lead product candidate, VYKAT</w:t>
      </w:r>
      <w:r>
        <w:rPr>
          <w:rFonts w:ascii="Times New Roman" w:hAnsi="Times New Roman"/>
          <w:color w:val="000000"/>
          <w:sz w:val="13"/>
        </w:rPr>
        <w:t>TM</w:t>
      </w:r>
      <w:r>
        <w:rPr>
          <w:rFonts w:ascii="Times New Roman" w:hAnsi="Times New Roman"/>
          <w:color w:val="000000"/>
          <w:sz w:val="20"/>
        </w:rPr>
        <w:t xml:space="preserve"> XR (diazoxide choline) extended-release tablets, formerly known as DCCR, had been approved by the U.S. Food and Drug Administration (FDA). VYKAT XR is indicated to treat hyperphagia in adults and pediatric patients four years of age and older with Prader-Willi syndrome (PWS). On April 14, 2025, the Company announced that prescriptions of VYKAT XR had been delivered to the first individuals living with PWS who had been prescribed the medication. The Company is incorporated in the State of Delaware and is headquartered in Redwood City, California.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used $32.8 million of cash in its operating activities, had a net loss of $43.8 million during the three months ended March 31, 2025 and had an accumulated deficit of $496.0 million at March 31, 2025 resulting from having incurred losses since its inception. The Company had $81.3 million of cash and cash equivalents and $208.6 million of marketable securities on March 31, 2025. With FDA approval of VYKAT XR and first prescriptions being delivered in April 2025, the Company anticipates recording revenue in the three months ending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had $50.0 million of debt outstanding under the loan and security agreement with Oxford Financing LLC and its affiliates (collectively, Oxford) entered into in December 2024. Under the terms of the loan agreement with Oxford, following FDA approval of VYKAT XR, an additional $50 million is now available through September 30, 2025 and $25 million will become available during the period October 1, 2025 to September 30, 2026. An additional tranche of $25 million may become available upon achievement of certain commercial milestones. A final $50 million may be made available upon the Company's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 </w:t>
      </w:r>
    </w:p>
    <w:p>
      <w:pPr>
        <w:pStyle w:val="TextBody"/>
        <w:bidi w:val="0"/>
        <w:spacing w:before="120" w:after="283"/>
        <w:jc w:val="left"/>
        <w:rPr>
          <w:rFonts w:ascii="Times New Roman" w:hAnsi="Times New Roman"/>
          <w:sz w:val="20"/>
        </w:rPr>
      </w:pPr>
      <w:r>
        <w:rPr>
          <w:rFonts w:ascii="Times New Roman" w:hAnsi="Times New Roman"/>
          <w:color w:val="000000"/>
          <w:sz w:val="20"/>
        </w:rPr>
        <w:t>Prior to entering into the Oxford loan and security agreement, the Company had historically financed its operations principally through issuance of equity securities. 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 On July 19, 2024, the Company entered into an Open Market Sale Agreement</w:t>
      </w:r>
      <w:r>
        <w:rPr>
          <w:rFonts w:ascii="Times New Roman" w:hAnsi="Times New Roman"/>
          <w:color w:val="000000"/>
          <w:sz w:val="13"/>
        </w:rPr>
        <w:t xml:space="preserve">SM </w:t>
      </w:r>
      <w:r>
        <w:rPr>
          <w:rFonts w:ascii="Times New Roman" w:hAnsi="Times New Roman"/>
          <w:color w:val="000000"/>
          <w:sz w:val="20"/>
        </w:rPr>
        <w:t xml:space="preserve">(the Sales Agreement) with Jefferies LLC, as sales agent (Jefferies), pursuant to which the Company may offer and sell, from time to time, through Jefferies shares of its common stock having an aggregate offering price of up to $150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 entered into a Securities Purchase Agreement providing for the sale of up to $60.0 million in warrants (Tranche A and Tranche B) and the common stock issuable upon the exercise thereof. Cumulative to date through March 31, 2025, the Company has received $10.0 million from the sale of these warrants and $47.8 million in proceeds from the exercise of certain of these warrants. As of March 31, 2025, warrants with an aggregate exercise price of $2.2 million were still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continue incurring losses for the foreseeable future. However, the Company expects that its current cash, cash equivalents and marketable securities balances will be sufficient to enable the Company to meet its obligations for at least the next twelve months from the date of this filing.</w:t>
      </w:r>
    </w:p>
    <w:p>
      <w:pPr>
        <w:pStyle w:val="TextBody"/>
        <w:bidi w:val="0"/>
        <w:spacing w:before="360" w:after="283"/>
        <w:jc w:val="left"/>
        <w:rPr>
          <w:rFonts w:ascii="Times New Roman" w:hAnsi="Times New Roman"/>
          <w:sz w:val="20"/>
        </w:rPr>
      </w:pPr>
      <w:r>
        <w:rPr>
          <w:rFonts w:ascii="Times New Roman" w:hAnsi="Times New Roman"/>
          <w:b/>
          <w:color w:val="000000"/>
          <w:sz w:val="20"/>
        </w:rPr>
        <w:t>Note 3.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significant accounting policies during the three months ended March 31, 2025 as compared to the significant accounting policies described in Note 3 of the “Notes to Consolidated Financial Statements” in the Company’s Annual Report on Form 10-K for the year ended December 31, 2024, except as noted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2025 are not necessarily indicative of the results that may be expected for any other interim period or for the fiscal year ending December 31, 2025. For further information, refer to the financial statements and footnotes included in the Company’s annual financial statements for the fiscal year ended December 31, 2024, which are included in the Company’s Annual Report on Form 10-K filed with the SEC on February 28, 2025.</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which amends the guidance in </w:t>
      </w:r>
      <w:r>
        <w:rPr>
          <w:rFonts w:ascii="Times New Roman" w:hAnsi="Times New Roman"/>
          <w:i/>
          <w:color w:val="000000"/>
          <w:sz w:val="20"/>
        </w:rPr>
        <w:t>ASC 740, Income Taxes</w:t>
      </w:r>
      <w:r>
        <w:rPr>
          <w:rFonts w:ascii="Times New Roman" w:hAnsi="Times New Roman"/>
          <w:color w:val="000000"/>
          <w:sz w:val="20"/>
        </w:rPr>
        <w:t>.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The Company is evaluating the effect that ASU 2023-09 will have on its annual financial statements and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 </w:t>
      </w:r>
      <w:r>
        <w:rPr>
          <w:rFonts w:ascii="Times New Roman" w:hAnsi="Times New Roman"/>
          <w:color w:val="000000"/>
          <w:sz w:val="20"/>
        </w:rPr>
        <w:t>which requires the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 December 15, 2027. The Company is evaluating the effect that ASU 2024-03 will have on its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bidi w:val="0"/>
        <w:spacing w:before="360" w:after="283"/>
        <w:jc w:val="left"/>
        <w:rPr>
          <w:rFonts w:ascii="Times New Roman" w:hAnsi="Times New Roman"/>
          <w:sz w:val="20"/>
        </w:rPr>
      </w:pPr>
      <w:r>
        <w:rPr>
          <w:rFonts w:ascii="Times New Roman" w:hAnsi="Times New Roman"/>
          <w:b/>
          <w:color w:val="000000"/>
          <w:sz w:val="20"/>
        </w:rPr>
        <w:t>Note 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the Company’s cash, cash equivalents and accounts payable, approximate fair value due to the short-term nature of these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hierarchy defines a three-level valuation hierarchy for disclosure of fair value measurements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 —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III — Unobservable inputs that are supported by little or no market activity for the related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categorization of a financial instrument within the valuation hierarchy is based upon the lowest level of input that is significant to the fair value measurement.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March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2"/>
        <w:gridCol w:w="146"/>
        <w:gridCol w:w="257"/>
        <w:gridCol w:w="953"/>
        <w:gridCol w:w="146"/>
        <w:gridCol w:w="146"/>
        <w:gridCol w:w="428"/>
        <w:gridCol w:w="860"/>
        <w:gridCol w:w="146"/>
        <w:gridCol w:w="146"/>
        <w:gridCol w:w="471"/>
        <w:gridCol w:w="843"/>
        <w:gridCol w:w="166"/>
        <w:gridCol w:w="146"/>
        <w:gridCol w:w="332"/>
        <w:gridCol w:w="1230"/>
        <w:gridCol w:w="197"/>
      </w:tblGrid>
      <w:tr>
        <w:trPr/>
        <w:tc>
          <w:tcPr>
            <w:tcW w:w="3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 and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Company’s financial instruments that were measured at fair value on a recurring basis by level within the fair value hierarchy (in thousands): </w:t>
      </w:r>
    </w:p>
    <w:p>
      <w:pPr>
        <w:pStyle w:val="TextBody"/>
        <w:bidi w:val="0"/>
        <w:jc w:val="left"/>
        <w:rPr/>
      </w:pPr>
      <w:r>
        <w:rPr/>
        <w:t> </w:t>
      </w:r>
    </w:p>
    <w:tbl>
      <w:tblPr>
        <w:tblW w:w="9247" w:type="dxa"/>
        <w:jc w:val="left"/>
        <w:tblInd w:w="0" w:type="dxa"/>
        <w:tblLayout w:type="fixed"/>
        <w:tblCellMar>
          <w:top w:w="28" w:type="dxa"/>
          <w:left w:w="28" w:type="dxa"/>
          <w:bottom w:w="28" w:type="dxa"/>
          <w:right w:w="28" w:type="dxa"/>
        </w:tblCellMar>
      </w:tblPr>
      <w:tblGrid>
        <w:gridCol w:w="4076"/>
        <w:gridCol w:w="146"/>
        <w:gridCol w:w="211"/>
        <w:gridCol w:w="781"/>
        <w:gridCol w:w="146"/>
        <w:gridCol w:w="146"/>
        <w:gridCol w:w="211"/>
        <w:gridCol w:w="676"/>
        <w:gridCol w:w="146"/>
        <w:gridCol w:w="146"/>
        <w:gridCol w:w="211"/>
        <w:gridCol w:w="781"/>
        <w:gridCol w:w="146"/>
        <w:gridCol w:w="146"/>
        <w:gridCol w:w="211"/>
        <w:gridCol w:w="676"/>
        <w:gridCol w:w="391"/>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 and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47" w:type="dxa"/>
        <w:jc w:val="left"/>
        <w:tblInd w:w="0" w:type="dxa"/>
        <w:tblLayout w:type="fixed"/>
        <w:tblCellMar>
          <w:top w:w="28" w:type="dxa"/>
          <w:left w:w="28" w:type="dxa"/>
          <w:bottom w:w="28" w:type="dxa"/>
          <w:right w:w="28" w:type="dxa"/>
        </w:tblCellMar>
      </w:tblPr>
      <w:tblGrid>
        <w:gridCol w:w="4076"/>
        <w:gridCol w:w="146"/>
        <w:gridCol w:w="211"/>
        <w:gridCol w:w="781"/>
        <w:gridCol w:w="146"/>
        <w:gridCol w:w="146"/>
        <w:gridCol w:w="211"/>
        <w:gridCol w:w="676"/>
        <w:gridCol w:w="146"/>
        <w:gridCol w:w="146"/>
        <w:gridCol w:w="211"/>
        <w:gridCol w:w="781"/>
        <w:gridCol w:w="146"/>
        <w:gridCol w:w="146"/>
        <w:gridCol w:w="211"/>
        <w:gridCol w:w="676"/>
        <w:gridCol w:w="391"/>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 and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the terms of the Company’s completed merger with Essentialis on March 7, 2017, the Company is obligated to make cash earnout payments of up to a maximum of $21.2 million to the former Essentialis stockholders. The fair value of the Essentialis purchase price contingent liability has historically been estimated using scenario-based methods based upon the Company’s analysis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likelihood of obtaining specified approvals from the FDA as well as achieving two commercial sales milestones of $100 million and $200 million in cumulative revenue. The Level 3 estimates are based, in part, on subjective assumptions. As of March 31, 2025, following the receipt of FDA approval for VYKAT XR, the Company no longer considers FDA approval as a variable and determined a 100% probability of achieving the remaining two milestones. Prior to receiving FDA approval, management relied on published research relating to clinical development success rates to determine the likelihood of FDA approval occurring. Based on this assessment, an 88% probability of achieving all three milestones was determined to be reasonable as of December 31, 2024. During the periods presented, other than as discussed above regarding the receipt of FDA approval for VYKAT XR, the Company has not changed the manner in which it values its Essentialis purchase price contingent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transfers between levels of the fair value hierarchy as of the end of the reporting period. There were no transfers between levels within the hierarchy during the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changes in the fair value of the Company’s Level 3 liabilities for the three months ended March 31, 2025 and 2024 (dollars in thousands): </w:t>
      </w:r>
    </w:p>
    <w:p>
      <w:pPr>
        <w:pStyle w:val="TextBody"/>
        <w:bidi w:val="0"/>
        <w:jc w:val="left"/>
        <w:rPr/>
      </w:pPr>
      <w:r>
        <w:rPr/>
        <w:t> </w:t>
      </w:r>
    </w:p>
    <w:tbl>
      <w:tblPr>
        <w:tblW w:w="4823" w:type="dxa"/>
        <w:jc w:val="left"/>
        <w:tblInd w:w="0" w:type="dxa"/>
        <w:tblLayout w:type="fixed"/>
        <w:tblCellMar>
          <w:top w:w="28" w:type="dxa"/>
          <w:left w:w="28" w:type="dxa"/>
          <w:bottom w:w="28" w:type="dxa"/>
          <w:right w:w="28" w:type="dxa"/>
        </w:tblCellMar>
      </w:tblPr>
      <w:tblGrid>
        <w:gridCol w:w="3301"/>
        <w:gridCol w:w="146"/>
        <w:gridCol w:w="282"/>
        <w:gridCol w:w="903"/>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contingent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contingent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5.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The Company’s operating lease for its predecessor headquarters facility office space in Redwood City, California began on June 1, 2023 and expires in May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operating lease ROU assets, current operating lease liabilities and long-term operating lease liabilities each appear as a separate line within the Company's condensed consolidated balance sheets. In September 2024, the Company recorded an increase to its right-of-use assets by $2.8 million and an increase to its lease liability of $2.8 million as a result of the June 2024 office lease. As of March 31, 2025 and December 31, 2024, the Company's short-term liabilities were equal to $0.6 million and $0.5 million, respectively, and the long-term operating lease liabilities were equal to $2.4 million and $2.5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discount rate related to the Company's lease liabilities was 8.5% as of March 31, 2025 over a remaining term of 4.4 years, and 8.5% as of December 31, 2024 over a remaining term of 4.7 years. The discount rate was determined based on estimates of the Company’s incremental borrowing rate, as the discount rate implicit in the lease cannot be readily determined.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expense during the three months ended March 31, 2025 and 2024 were as follows (in thousands):</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99" w:type="dxa"/>
        <w:jc w:val="left"/>
        <w:tblInd w:w="0" w:type="dxa"/>
        <w:tblLayout w:type="fixed"/>
        <w:tblCellMar>
          <w:top w:w="28" w:type="dxa"/>
          <w:left w:w="28" w:type="dxa"/>
          <w:bottom w:w="28" w:type="dxa"/>
          <w:right w:w="28" w:type="dxa"/>
        </w:tblCellMar>
      </w:tblPr>
      <w:tblGrid>
        <w:gridCol w:w="2206"/>
        <w:gridCol w:w="217"/>
        <w:gridCol w:w="434"/>
        <w:gridCol w:w="150"/>
        <w:gridCol w:w="150"/>
        <w:gridCol w:w="217"/>
        <w:gridCol w:w="434"/>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6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 (in thousands):</w:t>
      </w:r>
    </w:p>
    <w:p>
      <w:pPr>
        <w:pStyle w:val="TextBody"/>
        <w:bidi w:val="0"/>
        <w:spacing w:before="120" w:after="283"/>
        <w:jc w:val="left"/>
        <w:rPr/>
      </w:pPr>
      <w:r>
        <w:rPr/>
        <w:t> </w:t>
      </w:r>
    </w:p>
    <w:tbl>
      <w:tblPr>
        <w:tblW w:w="8455" w:type="dxa"/>
        <w:jc w:val="left"/>
        <w:tblInd w:w="0" w:type="dxa"/>
        <w:tblLayout w:type="fixed"/>
        <w:tblCellMar>
          <w:top w:w="28" w:type="dxa"/>
          <w:left w:w="28" w:type="dxa"/>
          <w:bottom w:w="28" w:type="dxa"/>
          <w:right w:w="28" w:type="dxa"/>
        </w:tblCellMar>
      </w:tblPr>
      <w:tblGrid>
        <w:gridCol w:w="5866"/>
        <w:gridCol w:w="349"/>
        <w:gridCol w:w="696"/>
        <w:gridCol w:w="241"/>
        <w:gridCol w:w="241"/>
        <w:gridCol w:w="349"/>
        <w:gridCol w:w="522"/>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schedule by year of future maturities of the Company's operating lease liabilities as of March 31, 2025 (in thousands):</w:t>
      </w:r>
    </w:p>
    <w:p>
      <w:pPr>
        <w:pStyle w:val="TextBody"/>
        <w:bidi w:val="0"/>
        <w:spacing w:before="120" w:after="283"/>
        <w:jc w:val="left"/>
        <w:rPr/>
      </w:pPr>
      <w:r>
        <w:rPr/>
        <w:t> </w:t>
      </w:r>
    </w:p>
    <w:tbl>
      <w:tblPr>
        <w:tblW w:w="3609" w:type="dxa"/>
        <w:jc w:val="left"/>
        <w:tblInd w:w="0" w:type="dxa"/>
        <w:tblLayout w:type="fixed"/>
        <w:tblCellMar>
          <w:top w:w="28" w:type="dxa"/>
          <w:left w:w="28" w:type="dxa"/>
          <w:bottom w:w="28" w:type="dxa"/>
          <w:right w:w="28" w:type="dxa"/>
        </w:tblCellMar>
      </w:tblPr>
      <w:tblGrid>
        <w:gridCol w:w="2416"/>
        <w:gridCol w:w="211"/>
        <w:gridCol w:w="571"/>
        <w:gridCol w:w="411"/>
      </w:tblGrid>
      <w:tr>
        <w:trPr/>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the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agreements in the normal course of business, including with contract research organizations for clinical trials, contract manufacturing organizations for certain manufacturing services and supplies, and vendors for preclinical studies as well as other services and products for operating purposes, which are generally cancelable upon written notice. As of March 31, 2025, the Company’s non-cancelable other commitments were $4.1 million in the aggregate.</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 </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Note 6.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the Company entered into a loan and security agreement for up to $200 million with Oxford. The loan is collateralized by substantially all of the Company's assets, including its intellectual property, subject to certain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had $50.0 million outstanding under the Oxford loan agreement. Under the terms of the loan agreement with Oxford, following FDA approval of VYKAT XR, an additional $50 million is now available through September 30, 2025 and $25 million will become available during the period October 1, 2025 to September 30, 2026. An additional tranche of $25 million may become available upon achievement of certain commercial milestones. A final $50 million may be made available upon the mutual consent of the Company and Oxford. The loan carries an interest-only period of 48 months and a total term of 60 months; provided that if specific milestones are achieved prior to September 30, 2026, the interest-only period and maturity date will be extended by 12 months. The term loans accrue interest, payable monthly, at a floating rate equal to, subject to certain conditions, (a) 1-month term SOFR plus (b) 5.50%. The principal portion of the loan is due in eleven equal monthly installments beginning February 1, 2029, through December 1, 2029. However, if a specified milestone is achieved on or after December 17, 2025, then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 loan will begin to amortize in equal monthly installments beginning on February 1, 2030, and the maturity date will be extended to December 1, 2030. At maturity, the final principal payment will include a fee of 5% of the total principal borrowed. The $2.5 million final interest payment related to the $50 million borrowed as of March 31, 2025 is accrued over the term of loan as long-term accrued interest payable. However, if a specified milestone is achieved on or after December 17, 2025, then the term loan will begin to amortize in equal monthly installments beginning on February 1, 2030, the maturity date will be extended to December 1, 2030, and the final payment will include a fee of 6.5% of the total principal borrowed. As of March 31, 2025, $145 thousand was accrued as part of other long-term liabilities on the condensed consolidated balance sheet. Loan issuance costs of $174 thousand were recorded as a reduction of the principal loan balance on the condensed consolidated balance sheet and are amortized as interest expense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outstanding long-term debt consists of the following (in thousands):</w:t>
      </w:r>
    </w:p>
    <w:p>
      <w:pPr>
        <w:pStyle w:val="TextBody"/>
        <w:bidi w:val="0"/>
        <w:spacing w:before="120" w:after="283"/>
        <w:jc w:val="left"/>
        <w:rPr/>
      </w:pPr>
      <w:r>
        <w:rPr/>
        <w:t> </w:t>
      </w:r>
    </w:p>
    <w:tbl>
      <w:tblPr>
        <w:tblW w:w="4232" w:type="dxa"/>
        <w:jc w:val="left"/>
        <w:tblInd w:w="0" w:type="dxa"/>
        <w:tblLayout w:type="fixed"/>
        <w:tblCellMar>
          <w:top w:w="28" w:type="dxa"/>
          <w:left w:w="28" w:type="dxa"/>
          <w:bottom w:w="28" w:type="dxa"/>
          <w:right w:w="28" w:type="dxa"/>
        </w:tblCellMar>
      </w:tblPr>
      <w:tblGrid>
        <w:gridCol w:w="2761"/>
        <w:gridCol w:w="299"/>
        <w:gridCol w:w="961"/>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the components of interest expense related to the long-term debt (in thousands):</w:t>
      </w:r>
    </w:p>
    <w:p>
      <w:pPr>
        <w:pStyle w:val="TextBody"/>
        <w:bidi w:val="0"/>
        <w:spacing w:before="120" w:after="283"/>
        <w:jc w:val="left"/>
        <w:rPr/>
      </w:pPr>
      <w:r>
        <w:rPr/>
        <w:t> </w:t>
      </w:r>
    </w:p>
    <w:tbl>
      <w:tblPr>
        <w:tblW w:w="7962" w:type="dxa"/>
        <w:jc w:val="left"/>
        <w:tblInd w:w="0" w:type="dxa"/>
        <w:tblLayout w:type="fixed"/>
        <w:tblCellMar>
          <w:top w:w="28" w:type="dxa"/>
          <w:left w:w="28" w:type="dxa"/>
          <w:bottom w:w="28" w:type="dxa"/>
          <w:right w:w="28" w:type="dxa"/>
        </w:tblCellMar>
      </w:tblPr>
      <w:tblGrid>
        <w:gridCol w:w="6166"/>
        <w:gridCol w:w="433"/>
        <w:gridCol w:w="1172"/>
        <w:gridCol w:w="191"/>
      </w:tblGrid>
      <w:tr>
        <w:trPr/>
        <w:tc>
          <w:tcPr>
            <w:tcW w:w="61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based on contractual loan rate</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 and accretion of final interest payment</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a minimum revenue covenant commencing on the earlier of the date that the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Company’s obligations under the loan and security agreement, the termination of the lenders’ commitments, a 5.0% increase in the applicable rate of interest and the exercise by the lender of other rights and remedies provided for under the loan and security agreement. The Company was in compliance with all applicable debt covenants as of March 31, 2025.</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7.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Public Offering of Common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pStyle w:val="TextBody"/>
        <w:bidi w:val="0"/>
        <w:jc w:val="left"/>
        <w:rPr>
          <w:rFonts w:ascii="Times New Roman" w:hAnsi="Times New Roman"/>
          <w:b/>
          <w:i/>
          <w:color w:val="000000"/>
          <w:sz w:val="20"/>
        </w:rPr>
      </w:pPr>
      <w:r>
        <w:rPr>
          <w:rFonts w:ascii="Times New Roman" w:hAnsi="Times New Roman"/>
          <w:b/>
          <w:i/>
          <w:color w:val="000000"/>
          <w:sz w:val="20"/>
        </w:rPr>
        <w:t>Public Offering of Common Stock and Concurrent Private Placement of Common Stock and Pre-Funded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entities affiliated with existing stockholders, at a price per share of common stock equal to the public offering price of $20.00 and a price per pre-funded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Securities Purchase Agreement</w:t>
      </w:r>
    </w:p>
    <w:p>
      <w:pPr>
        <w:pStyle w:val="TextBody"/>
        <w:bidi w:val="0"/>
        <w:jc w:val="left"/>
        <w:rPr>
          <w:rFonts w:ascii="Times New Roman" w:hAnsi="Times New Roman"/>
          <w:color w:val="000000"/>
          <w:sz w:val="20"/>
        </w:rPr>
      </w:pPr>
      <w:r>
        <w:rPr>
          <w:rFonts w:ascii="Times New Roman" w:hAnsi="Times New Roman"/>
          <w:color w:val="000000"/>
          <w:sz w:val="20"/>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warrants were separated into two tranches with 8,598,870 Tranche A Warrants with an exercise price of $1.75 per share and aggregate proceeds of up to approximately $15.0 million, and 14,000,000 Tranche B Warrants with an exercise price of $2.50 per share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following the FDA’s approval of VYKAT XR, were set to expire on April 25, 2025. Through March 31, 2025, certain investors had exercised their Tranche B warrants and the Company has received $32.8 million. In April 2025, the remaining warrants were exercised and the Company received proceeds of $2.2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Underwritten 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March 31, 2025, 2,150,406 of the March 2022 common warrants had been exercised for gross proceeds of $9.7 million and 1,333,329 warrants were exercised using the cashless exercise option with no proceeds to the Company. As of March 31, 2025, 516,265 of the March 2022 common warrants remained outstanding. </w:t>
      </w:r>
    </w:p>
    <w:p>
      <w:pPr>
        <w:pStyle w:val="TextBody"/>
        <w:bidi w:val="0"/>
        <w:spacing w:before="240" w:after="283"/>
        <w:jc w:val="left"/>
        <w:rPr>
          <w:rFonts w:ascii="Times New Roman" w:hAnsi="Times New Roman"/>
          <w:sz w:val="20"/>
        </w:rPr>
      </w:pPr>
      <w:r>
        <w:rPr>
          <w:rFonts w:ascii="Times New Roman" w:hAnsi="Times New Roman"/>
          <w:b/>
          <w:i/>
          <w:color w:val="000000"/>
          <w:sz w:val="20"/>
        </w:rPr>
        <w:t>At the Market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entered into the Sales Agreement with Jefferies, pursuant to which the Company may offer and sell up to $150.0 million of shares of its common stock, from time to time, through Jefferies.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Sales Agreement will terminate upon the termination of the Sales Agreement by Jefferies or the Company, as permitted therein. </w:t>
      </w:r>
    </w:p>
    <w:p>
      <w:pPr>
        <w:pStyle w:val="TextBody"/>
        <w:bidi w:val="0"/>
        <w:spacing w:before="240" w:after="283"/>
        <w:jc w:val="left"/>
        <w:rPr>
          <w:rFonts w:ascii="Times New Roman" w:hAnsi="Times New Roman"/>
          <w:sz w:val="20"/>
        </w:rPr>
      </w:pPr>
      <w:r>
        <w:rPr>
          <w:rFonts w:ascii="Times New Roman" w:hAnsi="Times New Roman"/>
          <w:b/>
          <w:i/>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following table summarizes the Company's outstanding common stock warrants: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4"/>
        <w:gridCol w:w="146"/>
        <w:gridCol w:w="213"/>
        <w:gridCol w:w="1360"/>
        <w:gridCol w:w="146"/>
        <w:gridCol w:w="146"/>
        <w:gridCol w:w="469"/>
        <w:gridCol w:w="1037"/>
        <w:gridCol w:w="146"/>
        <w:gridCol w:w="146"/>
        <w:gridCol w:w="213"/>
        <w:gridCol w:w="1360"/>
        <w:gridCol w:w="146"/>
        <w:gridCol w:w="146"/>
        <w:gridCol w:w="469"/>
        <w:gridCol w:w="1037"/>
        <w:gridCol w:w="146"/>
        <w:gridCol w:w="146"/>
        <w:gridCol w:w="1189"/>
      </w:tblGrid>
      <w:tr>
        <w:trPr/>
        <w:tc>
          <w:tcPr>
            <w:tcW w:w="1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2027</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November 2026 </w:t>
            </w:r>
            <w:r>
              <w:rPr>
                <w:rFonts w:ascii="Times New Roman" w:hAnsi="Times New Roman"/>
                <w:color w:val="000000"/>
                <w:sz w:val="13"/>
              </w:rPr>
              <w:t>(1)</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Subject to earlier expiration as described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2024, the Company filed a Registration Statement on Form S-8 which registered an additional 1.0 million shares which automatically became available for issuance under the 2014 Plan as of January 1, 2024. On June 6, 2024, the Company's stockholders approved the Amended and Restated 2014 Plan which included an increase of 2.0 million shares, which became immediately available for issuance. On February 28, 2025, the Company filed a Registration Statement on Form S-8 which registered an additional 1.8 million shares which automatically became available for issuance under the 2014 Plan as of January 1, 2025. As of March 31, 2025, a total of 1,318,588 shares were available for future grant under the 2014 Plan.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 total of 5,318 shares were available for future grant under the Inducement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stock-based compensation expense related to options and restricted stock units granted to employees, directors and consultants. The compensation expense is allocated on a departmental basis, based on the classification of the award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 No income tax benefits have been recognized in the condensed consolidated statements of operations and comprehensive loss for stock-based compensation arrangements during any of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was recognized in the condensed consolidated statements of operations and comprehensive loss as follows (in thousands): </w:t>
      </w:r>
    </w:p>
    <w:tbl>
      <w:tblPr>
        <w:tblW w:w="5745" w:type="dxa"/>
        <w:jc w:val="left"/>
        <w:tblInd w:w="0" w:type="dxa"/>
        <w:tblLayout w:type="fixed"/>
        <w:tblCellMar>
          <w:top w:w="28" w:type="dxa"/>
          <w:left w:w="28" w:type="dxa"/>
          <w:bottom w:w="28" w:type="dxa"/>
          <w:right w:w="28" w:type="dxa"/>
        </w:tblCellMar>
      </w:tblPr>
      <w:tblGrid>
        <w:gridCol w:w="2956"/>
        <w:gridCol w:w="258"/>
        <w:gridCol w:w="827"/>
        <w:gridCol w:w="178"/>
        <w:gridCol w:w="178"/>
        <w:gridCol w:w="258"/>
        <w:gridCol w:w="699"/>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options to purchase 587,161 and 736,680 shares of the Company’s common stock to employees during the three months ended March 31, 2025 and 2024, respectively. The Company granted options to purchase 3,600 shares of the Company’s stock to a consultant during the three months ended March 31, 2025. There were no performance-based options granted during the three months ended March 31, 2025 and 2024, respectively. The fair value of each award granted was estimated on the date of grant using the Black-Scholes option pricing model with the following assumptions:</w:t>
      </w:r>
    </w:p>
    <w:p>
      <w:pPr>
        <w:pStyle w:val="TextBody"/>
        <w:bidi w:val="0"/>
        <w:jc w:val="left"/>
        <w:rPr/>
      </w:pPr>
      <w:r>
        <w:rPr/>
        <w:t> </w:t>
      </w:r>
    </w:p>
    <w:tbl>
      <w:tblPr>
        <w:tblW w:w="4437" w:type="dxa"/>
        <w:jc w:val="left"/>
        <w:tblInd w:w="0" w:type="dxa"/>
        <w:tblLayout w:type="fixed"/>
        <w:tblCellMar>
          <w:top w:w="28" w:type="dxa"/>
          <w:left w:w="28" w:type="dxa"/>
          <w:bottom w:w="28" w:type="dxa"/>
          <w:right w:w="28" w:type="dxa"/>
        </w:tblCellMar>
      </w:tblPr>
      <w:tblGrid>
        <w:gridCol w:w="1846"/>
        <w:gridCol w:w="1127"/>
        <w:gridCol w:w="146"/>
        <w:gridCol w:w="1127"/>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option-pricing model requires the use of highly subjective assumptions to estimate the fair value of stock-based awards. These assumptions include the following estimates: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life:</w:t>
      </w:r>
      <w:r>
        <w:rPr>
          <w:color w:val="000000"/>
        </w:rPr>
        <w:t xml:space="preserve"> </w:t>
      </w:r>
      <w:r>
        <w:rPr>
          <w:rFonts w:ascii="Times New Roman" w:hAnsi="Times New Roman"/>
          <w:color w:val="000000"/>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The risk-free interest rate is based on the yields of U.S. Treasury securities with maturities similar to the expected life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Volatility:</w:t>
      </w:r>
      <w:r>
        <w:rPr>
          <w:color w:val="000000"/>
        </w:rPr>
        <w:t xml:space="preserve"> </w:t>
      </w:r>
      <w:r>
        <w:rPr>
          <w:rFonts w:ascii="Times New Roman" w:hAnsi="Times New Roman"/>
          <w:color w:val="000000"/>
          <w:sz w:val="20"/>
        </w:rPr>
        <w:t>The estimated volatility rate is based on the volatilities of the Company’s common stock for a historical period equal to the expected life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Dividend rate:</w:t>
      </w:r>
      <w:r>
        <w:rPr>
          <w:color w:val="000000"/>
        </w:rPr>
        <w:t xml:space="preserve"> </w:t>
      </w:r>
      <w:r>
        <w:rPr>
          <w:rFonts w:ascii="Times New Roman" w:hAnsi="Times New Roman"/>
          <w:color w:val="000000"/>
          <w:sz w:val="20"/>
        </w:rPr>
        <w:t xml:space="preserve">The Company has never declared or paid any cash dividends and does not presently plan to pay cash dividends in the foreseeable future. Consequently, the Company used an expected dividend yield of zero.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transactions for the three months ended March 31, 2025 which were for awards issued under the 2014 Plan: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8"/>
        <w:gridCol w:w="146"/>
        <w:gridCol w:w="146"/>
        <w:gridCol w:w="991"/>
        <w:gridCol w:w="166"/>
        <w:gridCol w:w="146"/>
        <w:gridCol w:w="230"/>
        <w:gridCol w:w="626"/>
        <w:gridCol w:w="146"/>
        <w:gridCol w:w="146"/>
        <w:gridCol w:w="236"/>
        <w:gridCol w:w="755"/>
        <w:gridCol w:w="146"/>
        <w:gridCol w:w="146"/>
        <w:gridCol w:w="384"/>
        <w:gridCol w:w="1425"/>
        <w:gridCol w:w="392"/>
      </w:tblGrid>
      <w:tr>
        <w:trPr/>
        <w:tc>
          <w:tcPr>
            <w:tcW w:w="3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129,984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129,984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was $43.23 and $36.70 per share for the three months ended March 31, 2025 and 2024, respectively. The intrinsic value of the stock options exercised was $54.8 million and zero for the three months ended March 31, 2025 and 2024, respectively. At March 31, 2025, total unrecognized employee stock-based compensation related to stock options that are likely to vest was $84.2 million, which is expected to be recognized over the weighted-average remaining vesting period of 2.8 years. Of the 1,007,534 options exercised, 991,834 were exercised immediately prior to March 31, 2025 and the proceeds of $13.1 million were included in Prepaid Expenses and Other Current Assets in the March 31, 2025 condensed consolidated balance sheet and were subsequently received by the Company. The 991,834 shares of common stock issued after March 31, 2025 and are therefore not included in the outstanding common stock as of March 31, 2025.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222,626 and 359,030 restricted stock units granted to employees during the three months ended March 31, 2025 and March 31, 2024, respectively. During the three months ended March 31, 2024, the Company granted 10,000 performance-based restricted stock units to a consultant. The shares were valued based on the Company’s common stock price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restricted stock unit transactions for the three months ended March 31, 2025 under the 2014 Plan: </w:t>
      </w:r>
    </w:p>
    <w:tbl>
      <w:tblPr>
        <w:tblW w:w="8685" w:type="dxa"/>
        <w:jc w:val="left"/>
        <w:tblInd w:w="0" w:type="dxa"/>
        <w:tblLayout w:type="fixed"/>
        <w:tblCellMar>
          <w:top w:w="28" w:type="dxa"/>
          <w:left w:w="28" w:type="dxa"/>
          <w:bottom w:w="28" w:type="dxa"/>
          <w:right w:w="28" w:type="dxa"/>
        </w:tblCellMar>
      </w:tblPr>
      <w:tblGrid>
        <w:gridCol w:w="3591"/>
        <w:gridCol w:w="146"/>
        <w:gridCol w:w="253"/>
        <w:gridCol w:w="1457"/>
        <w:gridCol w:w="166"/>
        <w:gridCol w:w="146"/>
        <w:gridCol w:w="683"/>
        <w:gridCol w:w="1852"/>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grant-date fair value of all restricted stock units granted during the three months ended March 31, 2025 and 2024 was $49.17 and $36.96, respectively. The fair value of all restricted stock units vested during the three months ended March 31, 2025 and 2024 was $39.2 million and $3.7 million, respectively. At March 31, 2025, total unrecognized employee stock-based compensation related to restricted stock units was $13.5 million, which is expected to be recognized over the weighted-average remaining vesting period of 3.1 years. </w:t>
      </w:r>
    </w:p>
    <w:p>
      <w:pPr>
        <w:pStyle w:val="TextBody"/>
        <w:bidi w:val="0"/>
        <w:spacing w:before="240" w:after="283"/>
        <w:jc w:val="left"/>
        <w:rPr>
          <w:rFonts w:ascii="Times New Roman" w:hAnsi="Times New Roman"/>
          <w:sz w:val="20"/>
        </w:rPr>
      </w:pPr>
      <w:r>
        <w:rPr>
          <w:rFonts w:ascii="Times New Roman" w:hAnsi="Times New Roman"/>
          <w:b/>
          <w:i/>
          <w:color w:val="000000"/>
          <w:sz w:val="20"/>
        </w:rPr>
        <w:t>2014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of the outstanding shares of the Company’s common stock on the first day of such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3,729 shares;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amount as determined by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there were no purchases by employees under this plan.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hAnsi="Times New Roman"/>
          <w:i/>
          <w:color w:val="000000"/>
          <w:sz w:val="20"/>
        </w:rPr>
        <w:t>ASC 260 Earnings Per Shares</w:t>
      </w:r>
      <w:r>
        <w:rPr>
          <w:rFonts w:ascii="Times New Roman" w:hAnsi="Times New Roman"/>
          <w:color w:val="000000"/>
          <w:sz w:val="20"/>
        </w:rPr>
        <w:t xml:space="preserve">.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 For the three months ended March 31, 2025 and 2024, the effect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issuing potential common stock is anti-dilutive due to the net losses in those periods and therefore the number of shares used to compute basic and diluted net loss per share are the same in each of those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securities are the weighted-average common shares outstanding used to calculate basic and diluted net loss per common share:</w:t>
      </w:r>
    </w:p>
    <w:p>
      <w:pPr>
        <w:pStyle w:val="TextBody"/>
        <w:bidi w:val="0"/>
        <w:jc w:val="left"/>
        <w:rPr/>
      </w:pPr>
      <w:r>
        <w:rPr/>
        <w:t> </w:t>
      </w:r>
    </w:p>
    <w:tbl>
      <w:tblPr>
        <w:tblW w:w="6689" w:type="dxa"/>
        <w:jc w:val="left"/>
        <w:tblInd w:w="0" w:type="dxa"/>
        <w:tblLayout w:type="fixed"/>
        <w:tblCellMar>
          <w:top w:w="28" w:type="dxa"/>
          <w:left w:w="28" w:type="dxa"/>
          <w:bottom w:w="28" w:type="dxa"/>
          <w:right w:w="28" w:type="dxa"/>
        </w:tblCellMar>
      </w:tblPr>
      <w:tblGrid>
        <w:gridCol w:w="3496"/>
        <w:gridCol w:w="146"/>
        <w:gridCol w:w="146"/>
        <w:gridCol w:w="1036"/>
        <w:gridCol w:w="146"/>
        <w:gridCol w:w="146"/>
        <w:gridCol w:w="146"/>
        <w:gridCol w:w="1036"/>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45,928,793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32,432,524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A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2,408,830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46,178,793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36,208,371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potentially dilutive securities outstanding have been excluded from the computations of diluted weighted-average shares outstanding for the periods presented because such securities have an antidilutive impact due to losses reported (in common stock equivalent shares): </w:t>
      </w:r>
    </w:p>
    <w:p>
      <w:pPr>
        <w:pStyle w:val="TextBody"/>
        <w:bidi w:val="0"/>
        <w:jc w:val="left"/>
        <w:rPr/>
      </w:pPr>
      <w:r>
        <w:rPr/>
        <w:t> </w:t>
      </w:r>
    </w:p>
    <w:tbl>
      <w:tblPr>
        <w:tblW w:w="7874" w:type="dxa"/>
        <w:jc w:val="left"/>
        <w:tblInd w:w="0" w:type="dxa"/>
        <w:tblLayout w:type="fixed"/>
        <w:tblCellMar>
          <w:top w:w="28" w:type="dxa"/>
          <w:left w:w="28" w:type="dxa"/>
          <w:bottom w:w="28" w:type="dxa"/>
          <w:right w:w="28" w:type="dxa"/>
        </w:tblCellMar>
      </w:tblPr>
      <w:tblGrid>
        <w:gridCol w:w="4786"/>
        <w:gridCol w:w="146"/>
        <w:gridCol w:w="146"/>
        <w:gridCol w:w="931"/>
        <w:gridCol w:w="146"/>
        <w:gridCol w:w="146"/>
        <w:gridCol w:w="146"/>
        <w:gridCol w:w="1036"/>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2010/2012 convertible note</w:t>
              <w:br/>
              <w:t>   holders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underwriter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3,102,856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11,819,108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9.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operating and reporting segment focused on the development and commercialization of its lead therapeutic product, VYKAT XR. The Company’s chief operating decision maker (CODM) is the chief executive officer who reviews cash operating expenses on a consolidated basis to make decisions about allocating resources and assessing performance for the entire Company. The CODM does not review assets at a level or category different than the amounts disclosed in the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operating expenses reconciled to net loss on a consolidated basis were as follows (in thousands):</w:t>
      </w:r>
    </w:p>
    <w:p>
      <w:pPr>
        <w:pStyle w:val="TextBody"/>
        <w:bidi w:val="0"/>
        <w:jc w:val="left"/>
        <w:rPr/>
      </w:pPr>
      <w:r>
        <w:rPr/>
        <w:t> </w:t>
      </w:r>
    </w:p>
    <w:tbl>
      <w:tblPr>
        <w:tblW w:w="7021" w:type="dxa"/>
        <w:jc w:val="left"/>
        <w:tblInd w:w="0" w:type="dxa"/>
        <w:tblLayout w:type="fixed"/>
        <w:tblCellMar>
          <w:top w:w="28" w:type="dxa"/>
          <w:left w:w="28" w:type="dxa"/>
          <w:bottom w:w="28" w:type="dxa"/>
          <w:right w:w="28" w:type="dxa"/>
        </w:tblCellMar>
      </w:tblPr>
      <w:tblGrid>
        <w:gridCol w:w="4166"/>
        <w:gridCol w:w="146"/>
        <w:gridCol w:w="229"/>
        <w:gridCol w:w="801"/>
        <w:gridCol w:w="180"/>
        <w:gridCol w:w="158"/>
        <w:gridCol w:w="229"/>
        <w:gridCol w:w="801"/>
        <w:gridCol w:w="31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non-cash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its subsequent events from March 31, 2025 through the date these condensed consolidated financial statements were issued and has determined that there are no subsequent events disclosure required.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212529"/>
          <w:sz w:val="20"/>
        </w:rPr>
        <w:br/>
        <w:t> </w:t>
      </w:r>
    </w:p>
    <w:p>
      <w:pPr>
        <w:pStyle w:val="TextBody"/>
        <w:bidi w:val="0"/>
        <w:jc w:val="both"/>
        <w:rPr>
          <w:rFonts w:ascii="Times New Roman" w:hAnsi="Times New Roman"/>
          <w:i/>
          <w:color w:val="000000"/>
          <w:sz w:val="20"/>
        </w:rPr>
      </w:pPr>
      <w:r>
        <w:rPr>
          <w:rFonts w:ascii="Times New Roman" w:hAnsi="Times New Roman"/>
          <w:i/>
          <w:color w:val="000000"/>
          <w:sz w:val="20"/>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any projections of financial information; any statements about the commercialization of VYKAT XR, any statements about historical results that may suggest trends for our business; any statements of the plans, strategies, and objectives of management for future operations; any statements of expectation or belief regarding future events, our products, product sales, expenses, liquidity, cash flow, market growth rates or enforceability of our intellectual property rights and related litigation expenses; and any statements of assumptions underlying any of the foregoing. We have based these forward-looking statements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known and unknown risks, uncertainties, and other factors described in the section titled “Risk Factors” and elsewhere in this Quarterly Report on Form 10-Q.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 All forward-looking statements are based on information and estimates available to us at the time of filing this Quarterly Report on Form 10-Q and are not guarantees of future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120" w:after="283"/>
        <w:jc w:val="left"/>
        <w:rPr>
          <w:rFonts w:ascii="Times New Roman" w:hAnsi="Times New Roman"/>
          <w:sz w:val="20"/>
        </w:rPr>
      </w:pPr>
      <w:r>
        <w:rPr>
          <w:rFonts w:ascii="Times New Roman" w:hAnsi="Times New Roman"/>
          <w:i/>
          <w:color w:val="000000"/>
          <w:sz w:val="20"/>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2024, and the related Management’s Discussion and Analysis of Financial Condition and Results of Operations, contained in our Annual Report on Form 10-K for the year ended December 31, 2024.</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developing novel therapeutics for the treatment of rare diseases. On March 26, 2025, we announced that our lead product candidate, VYKAT XR (diazoxide choline) extended-release tablets, formerly known as DCCR, had been approved by the U.S. Food and Drug Administration (FDA). VYKAT XR is indicated to treat hyperphagia in adults and pediatric patients four years of age and older with Prader-Willi syndrome (PWS). On April 14, 2025, we announced that prescriptions of VYKAT XR had been delivered to the first individuals living with PWS who had been prescribed the medication.</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significant changes in our critical accounting estimates during the quarter ended March 31, 2025 compared to</w:t>
        <w:br/>
        <w:t>those previously disclosed in “Critical Accounting Policies and Estimates” in “Management’s Discussion and Analysis of Financial</w:t>
        <w:br/>
        <w:t xml:space="preserve">Condition and Results of Operations” included in our Annual Report on Form 10-K for the year ended December 31, 2024. Our significant accounting policies are more fully described in Note 3 of our most recent Annual Report on Form 10-K.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March 31, 2025 and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9"/>
        <w:gridCol w:w="146"/>
        <w:gridCol w:w="211"/>
        <w:gridCol w:w="736"/>
        <w:gridCol w:w="546"/>
        <w:gridCol w:w="546"/>
        <w:gridCol w:w="211"/>
        <w:gridCol w:w="736"/>
        <w:gridCol w:w="166"/>
        <w:gridCol w:w="146"/>
        <w:gridCol w:w="211"/>
        <w:gridCol w:w="736"/>
        <w:gridCol w:w="166"/>
        <w:gridCol w:w="146"/>
        <w:gridCol w:w="213"/>
        <w:gridCol w:w="703"/>
        <w:gridCol w:w="767"/>
      </w:tblGrid>
      <w:tr>
        <w:trPr/>
        <w:tc>
          <w:tcPr>
            <w:tcW w:w="3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commenced commercialization of VYKAT XR and accordingly, through the three months ended March 31, 2025, have generated no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was $13.5 million, which includes $4.3 million of non-cash stock-based compensation, for the three months ended March 31, 2025, compared to $14.6 million, which includes $2.4 million of non-cash stock-based compensation, in the same period of 2024. Personnel and other associated costs increased $1.9 million as we hired additional employees in support of our research and development activities while costs in support of our June 2024 New Drug Application (NDA) submission decreased $1.3 million. Pre-launch supply chain activities and clinical activities decreased $1.2 million and $3.1 million. respectively, between comparable periods. We incurred $0.7 million in the three months ended, March 31, 2025 towards our Marketing Authorization Application (MAA) submission in Europe, which is expected to be submitted in the second quarter of 2025. The cadence of our research and development expenditures will fluctuate depending upon the state of our clinical programs, the timing of manufacturing and other projects necessary to support the submission of our regulatory filings and preparation activities for commercial launch. The $1.9 million of additional non-cash stock-based compensation being recognized in the period is predominantly due to performance-based RSU grants which vested upon the approval of our NDA for VYKAT XR by the FDA in March 2025.</w:t>
      </w:r>
    </w:p>
    <w:p>
      <w:pPr>
        <w:pStyle w:val="TextBody"/>
        <w:bidi w:val="0"/>
        <w:spacing w:before="360" w:after="283"/>
        <w:jc w:val="left"/>
        <w:rPr>
          <w:rFonts w:ascii="Times New Roman" w:hAnsi="Times New Roman"/>
          <w:sz w:val="20"/>
        </w:rPr>
      </w:pPr>
      <w:r>
        <w:rPr>
          <w:rFonts w:ascii="Times New Roman" w:hAnsi="Times New Roman"/>
          <w:b/>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 was $29.3 million, which includes $10.4 million of non-cash stock-based compensation, for the three months ended March 31, 2025, compared to $8.5 million, which includes $4.0 million of non-cash stock-based compensation, in the same period of 2024. Personnel and associated costs increased $7.7 million as we hired additional employees in preparation for commercial launch and in support of our increased business activities. New program costs associated with preparation for commercial launch, including disease state education, analytics, other marketing programs, medical affairs activities and patient advocacy activities increased by $5.8 million. We expect selling, general and administrative expenses to continue to increase once we enter commercialization of VYKAT XR. The $6.4 million of additional non-cash stock-based compensation being recognized in the period is predominantly due to performance-based RSU grants which vested upon approval of our NDA for VYKAT XR by the FDA in March 2025.</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obligated to make cash payments up to a maximum of $21.2 million to the former Essentialis stockholders upon the achievement of certain future commercial milestones associated with the sales of VYKAT XR in accordance with the terms of our 2017 merger agreement with Essentialis. The fair value of the liability for the contingent consideration payable by us achieving two commercial sales milestones of $100 million and $200 million in cumulative revenue in future years was estimated to be $17.8 million as of March 31, 2025, a $3.0 million increase from the estimate as of December 31, 2024, primarily due to the approval of our NDA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VYKAT XR by the FDA in March 2025. During the three months ended March 31, 2024, the estimate increased by $0.4 million from the $11.6 million estimate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other income (expense), net of approximately $2.0 million in the three months ended March 31, 2025, compared to approximately $2.1 million during the three months ended March 31, 2024. The decrease was primarily due to interest expense associated with the long-term debt, partially offset by an increase in interest income driven by higher cash and cash equivalents and marketable securities during the three months ended March 31, 2025, compared to the three months ended March 31, 2024.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used $32.8 million of cash in operating activities and had a net loss of $43.8 million during the three months ended March 31, 2025. We had an accumulated deficit of $496.0 million at March 31, 2025 as a result of having incurred losses since our inception. We had $81.3 million in cash and cash equivalents, $208.6 million of marketable securities and $293.2 million of working capital on March 31, 2025 and we had lease obligations totaling $3.0 million to be paid through August 2029, consisting of two operating leases for office space in Redwood City, California, one of which terminates in May 2025. Following FDA approval of VYKAT XR and first prescriptions being delivered in April 2025, the Company anticipates recording revenue in the three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$50.0 million outstanding under our loan and security agreement with Oxford. Under the terms of the loan agreement with Oxford, following FDA approval of VYKAT XR, an additional $50 million is now available through September 30, 2025 and $25 million will become available during the period October 1, 2025 to September 30, 2026. An additional tranche of $25 million may become available upon achievement of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The term loans accrue interest at a floating rate equal to, subject to certain conditions, (a) 1-month term SOFR plus (b) 5.50%. </w:t>
      </w:r>
    </w:p>
    <w:p>
      <w:pPr>
        <w:pStyle w:val="TextBody"/>
        <w:bidi w:val="0"/>
        <w:spacing w:before="120" w:after="283"/>
        <w:jc w:val="left"/>
        <w:rPr>
          <w:rFonts w:ascii="Times New Roman" w:hAnsi="Times New Roman"/>
          <w:sz w:val="20"/>
        </w:rPr>
      </w:pPr>
      <w:r>
        <w:rPr>
          <w:rFonts w:ascii="Times New Roman" w:hAnsi="Times New Roman"/>
          <w:color w:val="000000"/>
          <w:sz w:val="20"/>
        </w:rPr>
        <w:t>Prior to entering into the Oxford loan and security agreement, we had historically financed our operations principally through issuance of equity securities. In May 2024, we closed an underwritten public offering of 3,450,000 shares of our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of $9.7 million. In July 2024, we entered into an Open Market Sale Agreement</w:t>
      </w:r>
      <w:r>
        <w:rPr>
          <w:rFonts w:ascii="Times New Roman" w:hAnsi="Times New Roman"/>
          <w:color w:val="000000"/>
          <w:sz w:val="13"/>
        </w:rPr>
        <w:t xml:space="preserve">SM </w:t>
      </w:r>
      <w:r>
        <w:rPr>
          <w:rFonts w:ascii="Times New Roman" w:hAnsi="Times New Roman"/>
          <w:color w:val="000000"/>
          <w:sz w:val="20"/>
        </w:rPr>
        <w:t>with Jefferies LLC, as sales agent (Jefferies), pursuant to which we may offer and sell, from time to time, through Jefferies, shares of our common stock having an aggregate offering price of up to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2022, we entered into a securities purchase agreement providing for the sale of up to $60.0 million in warrants and the common stock issuable upon the exercise thereof. Through March 31, 2025, we have received $10.0 million from the sale of these warrants and $47.8 million in proceeds from the exercise of certain of these warrants. Warrants with an aggregate exercise price of $2.2 million are still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incurring losses for the foreseeable future and may require additional capital to penetrate markets for the sale of our product, and pursue product development initiatives. We believe that our existing cash, cash equivalents and marketable securities will be sufficient to meet the company's working capital needs for the next twelve months. Our long-term capital requirements will depend on several factors, most notably the timing and degree of success of our commercialization of VYKAT XR.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commercial launch activities and take additional measures to reduce costs in order to conserve our cash in amounts sufficient to sustain operations and meet our obligations. These measures could cause significant delays in our efforts to commercialize our products, which is critical to the realization of our business plan and our future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of the periods presented below: </w:t>
      </w:r>
    </w:p>
    <w:p>
      <w:pPr>
        <w:pStyle w:val="TextBody"/>
        <w:bidi w:val="0"/>
        <w:jc w:val="left"/>
        <w:rPr/>
      </w:pPr>
      <w:r>
        <w:rPr/>
        <w:t> </w:t>
      </w:r>
    </w:p>
    <w:tbl>
      <w:tblPr>
        <w:tblW w:w="7136" w:type="dxa"/>
        <w:jc w:val="left"/>
        <w:tblInd w:w="0" w:type="dxa"/>
        <w:tblLayout w:type="fixed"/>
        <w:tblCellMar>
          <w:top w:w="28" w:type="dxa"/>
          <w:left w:w="28" w:type="dxa"/>
          <w:bottom w:w="28" w:type="dxa"/>
          <w:right w:w="28" w:type="dxa"/>
        </w:tblCellMar>
      </w:tblPr>
      <w:tblGrid>
        <w:gridCol w:w="4201"/>
        <w:gridCol w:w="146"/>
        <w:gridCol w:w="219"/>
        <w:gridCol w:w="764"/>
        <w:gridCol w:w="172"/>
        <w:gridCol w:w="151"/>
        <w:gridCol w:w="219"/>
        <w:gridCol w:w="873"/>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operating activities used net cash of $32.8 million, which was primarily due to the net loss of $43.8 million, less non-cash expense of $14.7 million for stock-based compensation, $0.5 million for depreciation and amortization, $0.2 million for non-cash lease expense, $3.0 million related to the change in fair value of contingent consideration, and $1.0 million added back for accretion of premium/discount on marketable securities. Additionally, cash used during the three months ended March 31, 2025 decreased by $6.4 million due to changes in operating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operating activities used net cash of $12.5 million, which was primarily due to the net loss of $21.4 million, less non-cash expense of $6.4 million for stock-based compensation, $0.5 million for depreciation and amortization, $0.1 million for non-cash lease expense, and $0.4 million related to the change in fair value of contingent consideration, and $0.5 million added back for the accretion of premium/discount on marketable securities. Additionally, cash used during the three months ended March 31, 2024 increased by $2.0 million due to changes in operating assets and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we used $45.4 million for purchases of marketable securities. We received proceeds of $68.3 million from maturities of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we used $115.2 million for purchases of marketable securities and $11,000 for purchases of property and equipment.</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2025, we received $3.0 million from the exercise of common stock warrants. We also received $0.3 million from the exercise of stock options. We paid $0.1 million of debt issuance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2024, we received $0.9 million from the exercise of common stock warrants. We also received $15,000 from the exercise of stock options.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off-balance sheet arrangements.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“Recent Adopted Accounting Pronouncements” described in Note 3, Basis of Presentation and Summary of Significant Accounting Policies within Notes to the Condensed Consolidated Financial Statements.</w:t>
      </w:r>
    </w:p>
    <w:p>
      <w:pPr>
        <w:pStyle w:val="TextBody"/>
        <w:bidi w:val="0"/>
        <w:spacing w:before="36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not been any material changes to our exposure to market risk during the three months ended March 31, 2025. For additional information regarding market risk, refer to Part II, Item </w:t>
      </w:r>
      <w:r>
        <w:rPr>
          <w:rFonts w:ascii="Times New Roman" w:hAnsi="Times New Roman"/>
          <w:i/>
          <w:color w:val="000000"/>
          <w:sz w:val="20"/>
        </w:rPr>
        <w:t>7A Qualitative and Quantitative Disclosures About Market Risk</w:t>
      </w:r>
      <w:r>
        <w:rPr>
          <w:rFonts w:ascii="Times New Roman" w:hAnsi="Times New Roman"/>
          <w:color w:val="000000"/>
          <w:sz w:val="20"/>
        </w:rPr>
        <w:t xml:space="preserve"> in our Annual Report on Form 10-K for the year ended December 31,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controls_and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Inherent Limitations on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36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were not effective at the reasonable assurance level due to the material weakness described below.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Material Weakness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our Annual Report on Form 10-K for the year ended December 31, 2024, we identified a material weakness in internal control related to ineffective design and operation of controls over certain information technology general controls (ITGCs), including segregation of incompatible duties, program change management, and user access controls. As a result, the related business process controls (IT application controls and IT-dependent manual controls) that are dependent on the ineffective ITGCs, or that use data produced from the system impacted by the ineffective ITGCs, were also ineffective.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(GAAP).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Remediation of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committed to maintaining a strong internal control environment. Management is taking comprehensive actions to remediate the material weakness in internal control over financial reporting, which include the following:</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Hire additional personnel in the accounting and financial reporting function that would allow for appropriate segregation of duties, both systematically and operationally. We will continue to reassess staffing and add additional resources, as required, with the requisite experience and training, to support our system of internal control;</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Implement a training program for all personnel responsible for internal controls over financial reporting, including educating control owners regarding the requirements of each control. For control owners with IT responsibilities, develop and implement additional training and awareness programs addressing ITGC policy and requirements, with a specific focus on user access and change management processes and controls;</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Continue to enhance, standardize and monitor the ongoing improvements in design and operating effectiveness of our controls and the adherence of our personnel to any enhancements in controls, policies, and procedures. Moreover,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within our IT environment, increase the extent of oversight and verification checks included in the operation of user access and program change management controls and processes; and</w:t>
      </w:r>
    </w:p>
    <w:p>
      <w:pPr>
        <w:pStyle w:val="TextBody"/>
        <w:bidi w:val="0"/>
        <w:spacing w:before="360" w:after="283"/>
        <w:jc w:val="left"/>
        <w:rPr>
          <w:color w:val="000000"/>
        </w:rPr>
      </w:pPr>
      <w:r>
        <w:rPr>
          <w:color w:val="00000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will continue to report regularly to the audit committee on the progress and results of the remediation plan, including the identification, status and resolution of internal control deficiencies.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believe the foregoing efforts will effectively remediate the identified material weakness in internal controls over financial reporting. Because the reliability of the internal control process requires repeatable execution, the successful remediation will require review and evidence of effectiveness prior to management concluding that the Company’s internal controls over financial reporting are effective. We may also conclude that the additional measures may be required to remediate the material weakness which may necessitate additional implementation and evaluation time. We will continue to assess the effectiveness of our internal control over financial reporting and take steps to remediate the material weakness expeditiously.</w:t>
      </w:r>
    </w:p>
    <w:p>
      <w:pPr>
        <w:pStyle w:val="TextBody"/>
        <w:bidi w:val="0"/>
        <w:spacing w:before="360" w:after="283"/>
        <w:jc w:val="left"/>
        <w:rPr>
          <w:rFonts w:ascii="Times New Roman" w:hAnsi="Times New Roman"/>
          <w:sz w:val="20"/>
        </w:rPr>
      </w:pPr>
      <w:r>
        <w:rPr>
          <w:rFonts w:ascii="Times New Roman" w:hAnsi="Times New Roman"/>
          <w:b/>
          <w:color w:val="000000"/>
          <w:sz w:val="20"/>
        </w:rPr>
        <w:t>(d)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we began to implement certain internal controls in connection with remediation efforts related to the material weakness identified in our Annual Report on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have been no changes to our internal control over financial reporting that occurred during the three months ended March 31, 2025, that have materially affected, or are reasonably likely to materially affect, our internal control over financial reporting.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fully described below. The principal factors and uncertainties that make investing in our company risky include,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have no commercialization history as a company and have incurred significant losses since our inception, and we anticipate that we will continue to incur substantial losses for the immediate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upon the success of VYKAT XR, our sole FDA-approved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VYKAT XR may fail to achieve the degree of market acceptance by physicians, patients, caregivers, healthcare payers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expand our development, regulatory and sales and marketing capabilities, and as a result, we may encounter difficulties in managing our growth, which could disrupt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rights may prove to be an inadequate barrier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and will continue to incur significant increased costs as a result of operating as a public company, and our management has devoted and will be required to continue to devote substantial time to new compliance initiatives;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no commercialization history as a company and have incurred significant losses since our inception, and we anticipate that we will continue to incur substantial losses for the immediate future.</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We have historically been a clinical-stage company with no approved therapeutic products or revenues from the sale of therapeutic products. Following FDA approval on March 26, 2025, we have begun to commercialize our first product, VYKAT XR, to treat hyperphagia in patients four years and older who have Prader-Willi syndrome (PWS). Evaluating our performance, viability or future success will be more difficult than if we had a longer operating history or prior approved products for sale on the market. Even following approval of VYKAT XR, we will continue to incur significant research and development and selling, general and administrative expenses and will incur substantial commercial expenses related to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immediate future financial results will depend primarily on our success in launching, selling and supporting VYKAT XR.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We are dependent upon the success of VYKAT XR, our sole FDA-approved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substantially all of our efforts and financial resources in the development of VYKAT XR for the treatment of PWS, a rare complex genetic neurobehavioral/metabolic disease. Our ability to generate product revenues will depend primarily on the successful commercialization of VYKAT XR.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success of VYKAT XR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building an infrastructure capable of supporting product sales, marketing, and distribution of VYKAT XR in the U.S. and territories where we pursue commercialization 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commercial manufacturing arrangements with third 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distribution agreements with third party distributors in geographies outside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VYKAT XR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VYKAT XR by patients, the medical community, and third-party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requirements or post-approval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 commercially viable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marketing approvals for VYKAT XR in the E.U. and other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any potential challenges to patent listings in the U.S “Approved Drug Products with Therapeutic Equivalence Evaluations” or the “Orange Book”.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achieve one or more of these factors in a timely manner or at all, we could experience significant delays or an inability to successfully commercialize VYKAT XR, which would materially harm our business.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early stages of commercializing VYKAT XR, our current sole novel therapeutic product, and accordingly, through March 31, 2025, have generated no revenue from operations. We had a net loss of $175.9 million during the year ended December 31, 2024 (including non-cash stock-based compensation of $100.0 million) and $43.8 million during the three months ended March 31, 2025 (including non-cash stock-based compensation of $14.7 million) and an accumulated deficit of $496.0 million at March 31, 2025 as a result of having incurred losses since our inception. We had $81.3 million in cash and cash equivalents and $208.6 million in marketable securities at March 31, 2025, used $69.1 million and $32.8 million of cash in operating activities during the year ended December 31, 2024 and three months ended March 31, 2025, respectively, and expect to continue incurring losses for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either through debt or equity financings to achieve our business plan objectives, including ongoing expenses related to our ongoing regulatory activities and scaling of a sales and marketing organization to support the launch of VYKAT XR.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the other risks described in this "Risk Factors" section.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generated no product revenue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have not generated revenue from the commercialization of VYKAT XR.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VYKAT XR also depends on a number of additional factors, including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 commercial organization capable of sales, marketing and distribution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a commercially viable price for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supply and manufacturing relationships with reliable third parties, and ensure adequate and legally compliant manufacturing to maintain that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coverage and adequate reimbursement from third-party payers, including government and private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find suitable distribution partners to help us market, sell and distribute VYKAT XR in other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and submit applications to, and obtain regulatory approval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development activities successfully and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maintain and enforce our intellectual property rights and avoid third-party patent interference, intellectual property challenges, including any potential challenges to our Orange Book patent listings in the U.S., or intellectual property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a significant amount of debt, which may affect our ability to operate our business and secure additional financing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$50.0 million outstanding under our loan and security agreement with Oxford Financing LLC and its affiliates (collectively, Oxford). Under the terms of the loan agreement with Oxford, following FDA approval of VYKAT XR, an additional $50 million is now available through September 30, 2025 and $25 million will become available during the period October 1, 2025 to September 30, 2026. One additional tranche of $25 million may become available upon achievement of certain commercial milestones. A final $50 million may be made available upon mutual consent with Oxford. The loan carries an interest-only period of 48 months and a total term of 60 months; provided that if specific milestones are achieved prior to September 30, 2026, the interest-only period and maturity date will be extended by 12 months. Subject to certain conditions, the term loans accrue interest at a floating rate equal to (a) 1-month term SOFR plus (b) 5.50%. Our debt with Oxford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our loan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Oxford, as well as in any future financing agreements into which we may enter, may restrict our ability to finance our operations and engage in, expand or otherwise pursue our business activities and strategies. Our ability to comply with these covenants may be 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below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In addition to the risks related to a company launching its first commercial drug described elsewhere in this "Risk Factors" section, the success of a new drug product is inherently difficult to predict and we may not recognize revenue as quickly, consistently or in the amounts that we, analysts or investors anticipate following the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risk of initiating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products may vary depending on FDA and other regulatory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planned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landscape of our industry, including consolidation among our competitors or potential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our products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future products, if approved, and existing and potential future drugs that compete with our planned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offerings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our products inside and outside of the U.S.,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patients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timing and outcomes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review or approval in the U.S. or globally, of any of our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planned products, which will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changing and volatile global economic environment.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and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likelihood of payment of milestones or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expenditures, including additional research, development and sales and marketing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and personnel of any acquired businesses with our operations and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able to enter into strategic transactions on a timely basis or on acceptable terms, which may impact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commercialization of VYKAT XR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VYKAT XR may fail to achieve the degree of market acceptance by physicians, patients, caregivers, healthcare payers and others in the medical community necessary for commercial success.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VYKAT XR may fail to gain sufficient market acceptance by physicians, hospital administrators, patients, healthcare payers and others in the medical community. The degree of market acceptance of VYKAT XR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incidence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its effectiveness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we charge for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to change their current treatment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perception of the efficacy of VYKAT XR and interest in remaining on-drug long-term;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or effectiveness of marketing and distribution support of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or reimbursement.</w:t>
      </w:r>
    </w:p>
    <w:p>
      <w:pPr>
        <w:pStyle w:val="TextBody"/>
        <w:bidi w:val="0"/>
        <w:spacing w:before="180" w:after="283"/>
        <w:jc w:val="left"/>
        <w:rPr>
          <w:rFonts w:ascii="Times New Roman" w:hAnsi="Times New Roman"/>
          <w:sz w:val="20"/>
        </w:rPr>
      </w:pPr>
      <w:r>
        <w:rPr>
          <w:rFonts w:ascii="Times New Roman" w:hAnsi="Times New Roman"/>
          <w:b/>
          <w:i/>
          <w:color w:val="000000"/>
          <w:sz w:val="20"/>
        </w:rPr>
        <w:t>If the market opportunity for VYKAT XR is smaller than we believe it is, then our revenues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PWS is a rare disease, and as such, our projections of both the number of people who have this disease, as well as the subset of people with PWS who have the potential to benefit from treatment with VYKAT XR, are estimates based on data analysis of the reported patient population. If our estimates of the prevalence of PWS, the number of patients who may benefit from treatment with VYKAT XR, or the number of patients willing to stay on treatment indefinitely prove to be incorrect, the market opportunity for VYKAT XR may be smaller than we believe it is, our prospects for generating revenue may be adversely affected and our business may suffer.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execute our sales and marketing strategy for VYKAT XR or are unable to gain acceptance in the market, we may be unable to generate sufficient revenue to sustain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that VYKAT XR represents a promising commercial opportunity, VYKAT XR may never gain significant acceptance in the marketplace and therefore may never generate substantial revenue or profits for us. We will need to establish a market for VYKAT XR globally and build these markets through physician education, awareness programs, and other marketing efforts. Gaining acceptance in medical communities depends on a variety of factors, including clinical data published or reported in reputable contexts, the provisions of the approved label for VYKAT XR, and word-of-mouth between physicians. The process of publication in leading medical journals is subject to a peer review process and peer reviewers may not consider the results of our trials sufficiently novel or worthy of publication. Failure to have our trials published in peer-reviewed journals may limit the adoption of our products. Our ability to successfully market our products will depend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outcomes of clinical utility trials of such products in collaboration with key thought leaders to demonstrate our products’ value in informing important medical decisions such as treatment selection;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distribution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healthcare providers believe VYKAT XR provides clinical utility;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health insurers, government health programs and other payers will cover and pay for VYKAT XR and, if so, whether they will adequately reimburse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third parties, who we do not control, to distribute and sell VYKAT XR. If these distributors are not committed to VYKAT XR or otherwise run into their own financial or other difficulties, it may result in failure to achieve widespread market acceptance of VYKAT XR, and would materially harm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implement our sales, marketing, distribution, training and support strategies or enter into agreements with third parties to perform these functions, we will not be able to effectively commercialize VYKAT XR and may not reach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achieve commercial success for VYKAT XR, we will need to establish a robust sales and marketing organization. We have built a targeted sales, marketing, training and support infrastructure to market VYKAT XR in the U.S. and to establish relationships with collaborations to market, distribute and support VYKAT XR outside of the U.S. There are risks involved with establishing our own sales, marketing, distribution, training and support capabilities. For example, recruiting and training sales and marketing personnel is expensive and time-consuming and could impact any product launch. Additionally, commercialization of therapeutic products is subject to a variety of regulations regarding the manner in which potential customers may be engaged, the manner in which products may be lawfully advertised, and the claims that can be made for the benefits of the product, among other things. Our lack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with product launches may expose us to a higher than usual level of risk of non-compliance with these regulations, with consequences that may include fines or the removal of our approved products from the marketplace by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VYKAT XR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or persuade adequate numbers of physicians to prescribe VYKAT XR or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by our competitors to commercialize products at or about the time when our product candidates would be coming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VYKAT XR ourselves. In addition, we may not be successful in entering into arrangements with third parties to sell, market and distribute VYKAT XR or may be unable to do so on terms that are favorable to us. We likely will have little control over such third parties, and any of them may fail to devote the necessary resources and attention to commercialize VYKAT XR effectively. If we do not establish sales, marketing, distribution, training and support capabilities successfully, either on our own or in collaboration with third parties, we will not be successful in commercializing VYKAT XR and achieving profitability, and our business would be harmed. </w:t>
      </w:r>
    </w:p>
    <w:p>
      <w:pPr>
        <w:pStyle w:val="TextBody"/>
        <w:bidi w:val="0"/>
        <w:spacing w:before="180" w:after="283"/>
        <w:jc w:val="left"/>
        <w:rPr>
          <w:rFonts w:ascii="Times New Roman" w:hAnsi="Times New Roman"/>
          <w:sz w:val="20"/>
        </w:rPr>
      </w:pPr>
      <w:r>
        <w:rPr>
          <w:rFonts w:ascii="Times New Roman" w:hAnsi="Times New Roman"/>
          <w:b/>
          <w:i/>
          <w:color w:val="000000"/>
          <w:sz w:val="20"/>
        </w:rPr>
        <w:t>If physicians decide not to prescribe VYKAT XR, we may be unable to generate sufficient revenue to sustain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generate demand for VYKAT XR,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payers and others in the medical community that the clinical and economic utility of our products justifies payment for VYKAT XR at adequate pricing levels. We will need to hire additional commercial, scientific, technical and other personnel to support this process.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attempt to form partnerships with respect to VYKAT XR, but we may not be able to do so, which may cause us to alter our development and commercialization plans and may cause us to terminate any such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strategic alliances, create joint ventures or collaborations, or enter into licensing agreements with third parties that we believe will more effectively provide resources to develop and commercialize VYKAT XR.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identifying suitable collaborators and entering into agreements to develop or commercialize VYKAT XR could negatively impact the development or commercialization of our products, particularly in geographic regions like the Europe,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products or bring them to market, and our business may be materially and adversely affected. </w:t>
      </w:r>
    </w:p>
    <w:p>
      <w:pPr>
        <w:pStyle w:val="TextBody"/>
        <w:bidi w:val="0"/>
        <w:spacing w:before="180" w:after="283"/>
        <w:jc w:val="left"/>
        <w:rPr>
          <w:rFonts w:ascii="Times New Roman" w:hAnsi="Times New Roman"/>
          <w:sz w:val="20"/>
        </w:rPr>
      </w:pPr>
      <w:r>
        <w:rPr>
          <w:rFonts w:ascii="Times New Roman" w:hAnsi="Times New Roman"/>
          <w:b/>
          <w:i/>
          <w:color w:val="000000"/>
          <w:sz w:val="20"/>
        </w:rPr>
        <w:t>VYKAT XR may cause serious adverse side effects or have other properties that could limit the commercial desirability or result in significant negative consequences following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VYKAT XR could result in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recall VYKAT XR and suspend the marketing of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approvals of VYKAT XR;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that could diminish the usage or otherwise limit the commercial success of VYKAT XR;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bodies may issue safety alerts, Dear Healthcare Provider letters, press releases or other communications containing warnings about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require the establishment of Risk Evaluation Mitigation Strategy or a comparable foreign regulatory authority may require a similar strategy that may, for instance, restrict distribution of our products and impose burdensome implementation requirements on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VYKAT XR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subjects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litigation or product liability claims;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VYKAT XR. We currently hold $10.0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 </w:t>
      </w:r>
    </w:p>
    <w:p>
      <w:pPr>
        <w:pStyle w:val="TextBody"/>
        <w:bidi w:val="0"/>
        <w:spacing w:before="180" w:after="283"/>
        <w:jc w:val="left"/>
        <w:rPr>
          <w:rFonts w:ascii="Times New Roman" w:hAnsi="Times New Roman"/>
          <w:sz w:val="20"/>
        </w:rPr>
      </w:pPr>
      <w:r>
        <w:rPr>
          <w:rFonts w:ascii="Times New Roman" w:hAnsi="Times New Roman"/>
          <w:b/>
          <w:i/>
          <w:color w:val="000000"/>
          <w:sz w:val="20"/>
        </w:rPr>
        <w:t>We face competition, which may result in others discovering, developing or commercializing products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Alternatives product candidates are being developed by our competitors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recently been increased activity in the development of drugs to treat the symptoms of PWS. We are aware of at least nine other current or proposed clinical trials evaluating PWS therapies, including with glucagon-like peptide-1 (GLP-1) receptors in patients with PWS. </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are able to engage partners in commercializing VYKAT XR, they may become subject to unfavorable pricing regulations, third-party reimbursement practices or healthcare reform initiatives, thereby harming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eligibility for reimbursement does not imply that any product will be paid for in all cases or at a rate that covers our costs, including research, development, manufacture, sale and distribution. Interim payments for new products, if applicable, may also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 </w:t>
      </w:r>
    </w:p>
    <w:p>
      <w:pPr>
        <w:pStyle w:val="TextBody"/>
        <w:bidi w:val="0"/>
        <w:spacing w:before="180" w:after="283"/>
        <w:jc w:val="left"/>
        <w:rPr>
          <w:rFonts w:ascii="Times New Roman" w:hAnsi="Times New Roman"/>
          <w:sz w:val="20"/>
        </w:rPr>
      </w:pPr>
      <w:r>
        <w:rPr>
          <w:rFonts w:ascii="Times New Roman" w:hAnsi="Times New Roman"/>
          <w:b/>
          <w:i/>
          <w:color w:val="000000"/>
          <w:sz w:val="20"/>
        </w:rPr>
        <w:t>International expansion of our business will expose us to business, regulatory, political, operational, financial and economic risks associated with doing business outside of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contemplates international expansion, including partnering with distributors, and introducing VYKAT XR and other planned products outside the U.S. Doing business internationally involves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tariffs, employment laws, regulatory requirements and other governmental approvals, permits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by us or our distributors to obtain regulatory approvals for the sale or use of our current products and our planned future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foreign operations, including hiring and maintaining a foreign employee base;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government payer systems, multiple payer-reimbursement regimes or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logistics and regulations associated with shipping products, including infrastructure conditions and transportation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on our ability to penetrate international markets if our distributors do not execute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enforcing contracts and collecting accounts receivable, and 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or lack of them in certain jurisdictions, forcing more reliance on our trade secrets, if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political and economic instability, including wars, terrorism and political unrest, including the outbreak of hostilities in the Ukraine and the Middle East, outbreak of disease, boycotts, curtailment of trade and other business restrictions;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 Foreign Corrupt Practices Act, including its books and records provisions and its anti-bribery provisions, by maintaining accurate information and control over sales activities and distributors’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risks, if encountered, could significantly harm our future international expansion and operations and, consequently, have a material adverse effect on our financial condition, results of operations and cash flows.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operation of our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We expect to continue to expand our development, regulatory and sales and marketing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115 employees, up from 92 and 33 full-time employees as of December 31, 2024 and December 31, 2023, respectively. We have experienced significant growth in the number of our employees and the scope of our operations, particularly in the areas of sales and marketing, quality assurance, product development, regulatory affairs and drug development.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physical expansion of our operations may lead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costs and may divert our management and business development resources.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maintaining, motivating and integrating additional employees with the expertise and experience we will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while complying with our contractual obligations to licensors, licensees, contractors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additional relationships with various strategic partners, suppliers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improving our managerial, development, operational and finance reporting systems and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clinical trials effectively, which we anticipate being conducted at numerous clinical sites;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our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accomplish any of these tasks could prevent us from successfully growing. Any inability to manage growth could delay the execution of our business plans or disrupt our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The loss of key members of our executive management team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executive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 </w:t>
      </w:r>
    </w:p>
    <w:p>
      <w:pPr>
        <w:pStyle w:val="TextBody"/>
        <w:bidi w:val="0"/>
        <w:spacing w:before="180" w:after="283"/>
        <w:jc w:val="left"/>
        <w:rPr>
          <w:rFonts w:ascii="Times New Roman" w:hAnsi="Times New Roman"/>
          <w:sz w:val="20"/>
        </w:rPr>
      </w:pPr>
      <w:r>
        <w:rPr>
          <w:rFonts w:ascii="Times New Roman" w:hAnsi="Times New Roman"/>
          <w:b/>
          <w:i/>
          <w:color w:val="000000"/>
          <w:sz w:val="20"/>
        </w:rPr>
        <w:t>There is a scarcity of experienced professionals in our industry. If we are not able to retain and recruit personnel with the requisite technical skills, we may be unable to successfully execute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Any future development or commercialization agreements we may enter into for our products may place the development or distribution of these products outside our control, may require us to relinquish important rights, or may otherwise be on terms unfavorable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products are subject to numerous risks,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any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efforts based on clinical trail results, changes in their strategic focus for a variety of reasons, potentially including the acquisition of competitive products, availability of funding, and mergers or acquisitions that divert resources or create competing priorities;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product, repeat or conduct new clinical trials or require a new engineering iteration of a product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their marketing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commercialize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termination or disruption of collaborations could result in delays in the development of products, increases in our costs to develop the products or the termination of development of a product.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intend to do business outside the U.S., we will be subject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variety of risks associated with international operations could materially adversely affect our business,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regulatory requirements for drug approvals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wars, trade barriers, trade restrictions, export or import sanctions,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including the outbreak of hostilities in the Ukraine, the Middle East, outbreaks of disease, or natural disasters including earthquakes, typhoons, floods and fires.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with respect to trade policies, treaties, tariffs, taxes and other limitations on cross-border operations. Since beginning his second term in office, President Trump has made and continues to make significant additional changes in U.S. trade policy and may continue to take future actions that could negatively impact U.S. trade. Such trade policies and tariff implementations, and any related retaliatory trade policies and tariff implementations by foreign governments, may result in any materials that we import to the U.S. from countries subject to tariffs becoming more expensive or increase the price of VYKAT XR in other countries, which could have a material adverse impact on our business, financial condition and results of operations. We cannot predict what actions may ultimately be taken with respect to trade relations between the United States and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incurred and will continue to incur significant increased costs as a result of operating as a public company, and our management has devoted and will be required to continue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(SOX)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SOX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SOX (Section 404). We currently do not have an internal audit group, and we will need to hire additional accounting and financial staff with appropriate public company experience and technical accounting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required by Section 404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 which requires annual assessments by management of the effectiveness of our internal control over financial reporting. Effective December 31, 2024, we no longer qualify as a smaller reporting company and the reduced compliance requirements to smaller reporting companies no longer apply to us. As such, our auditor was required to attest to the effectiveness of our internal control over financial reporting beginning with our annual report on Form 10-K for the year ended December 31, 2024. We must implement and maintain substantial internal control systems and procedures to satisfy the reporting requirements under the Securities Exchange Act of 1934. 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 or any subsequent testing by our independent registered public accounting firm in connection with Section 404,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 the effectiveness of these controls annually. Ineffective internal controls could also cause investors to lose confidence in our reported financial information, which could have a negative effect on the trading price of our common stock. To achieve compliance with Section 404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In the future we may identify additional material weaknesses, fail to remediate our current material weakness or otherwise fail to maintain an effective system of internal controls, which may result in material misstatements of our financial statements or cause us to fail to meet our periodic reporting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Item 4 of this Quarterly Report on Form 10-Q, in preparing our consolidated financial statements as of and for the year ended December 31, 2024, our management concluded that our disclosure controls and procedures and our internal control over financial reporting were not effective at the reasonable assurance level. To address these material weakness, we plan to take actions designed to improve our internal control over financial reporting and remediate the control deficiencies that led to the material weakness. 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Capital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we experience an interruption in supply from a material sole source supplier, our business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or distribute VYKAT XR. We will initially be dependent on sole source suppliers to produce raw materials, active pharmaceutical ingredients (APIs), the finished drug product and the associated packaging for VYKAT XR. If there is an interruption in supply from these sole source suppliers,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contract manufacturer's ability to manufacture VYKAT XR, which in turn could adversely affect the commercialization of VYKAT XR.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Regardless of whether a sole source supplier enters into a written supply arrangement with us, such supplier could still delay, suspend, or terminate supply of raw materials to us for a number of reasons, including manufacturing or quality issues, payment disputes with us, or bankruptcy or insolvency situations.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VYKAT XR, leading to lost revenue or reduced market opportunities. Supply constraints may also lead to pauses, discontinuations, or other product availability issues, which could have a material adverse effect on our consolidated results of operations and cash flows. Further, cost inflation and transportation and logistics challenges in the future may cause delays in, and increase costs related to, procurement activity, and supplier or contract manufacturer arrangements.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If a sole source supplier ceases supply of drug substance, drug product or labeled finished product, there is no guarantee that we will find an alternative supplier on terms acceptable to us, or at all. Finding alternative suppliers may not be feasible or could take a significant amount of time and involve significant expense due to the nature of VYKAT XR. Further the qualification process for a new vendor could take months or years, and any such delay in qualification could significantly harm our business. </w:t>
      </w:r>
    </w:p>
    <w:p>
      <w:pPr>
        <w:pStyle w:val="TextBody"/>
        <w:bidi w:val="0"/>
        <w:jc w:val="both"/>
        <w:rPr>
          <w:rFonts w:ascii="Times New Roman" w:hAnsi="Times New Roman"/>
          <w:b/>
          <w:i/>
          <w:color w:val="000000"/>
          <w:sz w:val="20"/>
        </w:rPr>
      </w:pPr>
      <w:r>
        <w:rPr>
          <w:rFonts w:ascii="Times New Roman" w:hAnsi="Times New Roman"/>
          <w:b/>
          <w:i/>
          <w:color w:val="000000"/>
          <w:sz w:val="20"/>
        </w:rPr>
        <w:t>In the United States, we intend to continue to rely on one or more specialty pharmacies to dispense VYKAT XR, deliver customer support, and provide us with related services, and our business could be harmed and we could be subject to liabilities if these services are performed inadequately or in a manner that does not comply with applicable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VYKAT XR sales in the United States will initially be through specialty pharmacies and therefore our sales of VYKAT XR will be highly dependent on the performance of these specialty pharmacies. A specialty pharmacy is a pharmacy that specializes in the dispensing of medications which often require a high level of patient education and ongoing management. The use of a specialty pharmacy involves risks, including, but not limited to, risks that a specialty pharmacy: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effectively dispense or support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fails to properly administer copay mitigation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provide us with accurate or timely information regarding their inventories or the number of patients who are using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fails to provide timely and accurate information regarding product adverse events or product complaints;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devote the resources necessary to dispense VYKAT XR in a manner that meets patient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unable to satisfy financial obligations to us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loses the required licenses to distribute VYKAT XR;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specialty pharmacy partner does not fulfill its contractual obligations to us or fails to adequately dispense VYKAT XR and deliver customer support, our product sales and business could be harmed or we could be subject to legal or regulatory liabilities or sanctions. Furthermore, arrangements between manufacturers and specialty pharmacies can be subject to government scrutiny and challenge under fraud and abuse laws if not structured properly. </w:t>
      </w:r>
    </w:p>
    <w:p>
      <w:pPr>
        <w:pStyle w:val="TextBody"/>
        <w:bidi w:val="0"/>
        <w:spacing w:before="180" w:after="283"/>
        <w:jc w:val="left"/>
        <w:rPr>
          <w:rFonts w:ascii="Times New Roman" w:hAnsi="Times New Roman"/>
          <w:sz w:val="20"/>
        </w:rPr>
      </w:pPr>
      <w:r>
        <w:rPr>
          <w:rFonts w:ascii="Times New Roman" w:hAnsi="Times New Roman"/>
          <w:b/>
          <w:i/>
          <w:color w:val="000000"/>
          <w:sz w:val="20"/>
        </w:rPr>
        <w:t>We rely on third parties to conduct certain components of our clinical trials, and those third parties may not perform satisfactorily, including failing to meet deadlines for the completion of such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trials is conducted in accordance with the general investigational plan and protocols for the study. Moreover, the FDA requires us and third parties involved in the set-up, conduct, analysis and reporting of the clinical trials to comply with regulations and with standards, commonly referred to as good clinical practices (GCPs), to assure that data and reported results are credible and accurate and that the rights, integrity and confidentiality of patients in clinical trials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use biological and hazardous materials in a manner that causes injury, we could be liable for damages.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w:t>
      </w:r>
      <w:r>
        <w:rPr>
          <w:rFonts w:ascii="Times New Roman" w:hAnsi="Times New Roman"/>
          <w:i/>
          <w:color w:val="000000"/>
          <w:sz w:val="20"/>
        </w:rPr>
        <w:t>inter partes</w:t>
      </w:r>
      <w:r>
        <w:rPr>
          <w:rFonts w:ascii="Times New Roman" w:hAnsi="Times New Roman"/>
          <w:color w:val="000000"/>
          <w:sz w:val="20"/>
        </w:rPr>
        <w:t xml:space="preserve">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biotechnology and pharmaceutical industries expand and more patents are issued, and as we gain greater visibility and market exposure, the risk increases that our commercialization of VYKAT XR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there may be third-party patents or patent applications with claims to materials, formulations, methods of manufacture or methods for treatment related to the use or manufacture of VYKAT XR. Because patent applications can take many years to issue, there may be currently pending patent applications which may later result in issued patents that our product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third parties may obtain patent rights in the future and claim that use of our products infringes upon these rights. If any third-party patents were held by a court of competent jurisdiction to cover the manufacturing process of VYKAT XR, any molecules formed during the manufacturing process or any final product itself, the holders of any such patents may be able to block our ability to commercialize VYKAT XR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 </w:t>
      </w:r>
    </w:p>
    <w:p>
      <w:pPr>
        <w:pStyle w:val="TextBody"/>
        <w:bidi w:val="0"/>
        <w:spacing w:before="180" w:after="283"/>
        <w:jc w:val="left"/>
        <w:rPr>
          <w:rFonts w:ascii="Times New Roman" w:hAnsi="Times New Roman"/>
          <w:sz w:val="20"/>
        </w:rPr>
      </w:pPr>
      <w:r>
        <w:rPr>
          <w:rFonts w:ascii="Times New Roman" w:hAnsi="Times New Roman"/>
          <w:b/>
          <w:i/>
          <w:color w:val="000000"/>
          <w:sz w:val="20"/>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and other intellectual property protection in the U.S. and in other countries with respect to our proprietary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we may be subject to a third-party pre-issuance submission of prior art to the USPTO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VYKAT XR.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VYKAT XR, we may be open to competition from generic versions of VYKAT XR.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validity, enforceability, and commercial value of trademark rights are also uncertain. Pending and future trademark applications may not be successful.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become involved in legal proceedings to protect or enforce our intellectual property rights, which could be expensive, time-consuming, or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or otherwise violate the patents we rely on, or our other intellectual property rights including trademarks. To counter infringement or unauthorized use, we may be required to file infringement claims, which can be expensive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time-consuming, and there can be no assurance that such efforts will be successful. Our ability to enforce our patents also depends on the laws of individual countries and each country’s practices regarding the enforcement of intellectual property rights and may also be impacted by regulatory actions taken by governmental authorities that affect our ability to use and maintain our intellectual property rights. The loss of patent protection or regulatory exclusivity on VYKAT XR or future products, including potential challenges to our Orange Book patent listings in the U.S., could materially impact our business, results of operations, financial condition and prospects.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ex parte</w:t>
      </w:r>
      <w:r>
        <w:rPr>
          <w:rFonts w:ascii="Times New Roman" w:hAnsi="Times New Roman"/>
          <w:color w:val="000000"/>
          <w:sz w:val="20"/>
        </w:rPr>
        <w:t xml:space="preserve"> reexaminations, </w:t>
      </w:r>
      <w:r>
        <w:rPr>
          <w:rFonts w:ascii="Times New Roman" w:hAnsi="Times New Roman"/>
          <w:i/>
          <w:color w:val="000000"/>
          <w:sz w:val="20"/>
        </w:rPr>
        <w:t>inter partes</w:t>
      </w:r>
      <w:r>
        <w:rPr>
          <w:rFonts w:ascii="Times New Roman" w:hAnsi="Times New Roman"/>
          <w:color w:val="000000"/>
          <w:sz w:val="20"/>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Congress and certain state legislatures in the U.S. have also passed, or have proposed passing, legislation that could adversely impact our ability to settle patent litigations. For example, the State of California has enacted legislation that creates a presumption, with certain exceptions and safe harbors, that various types of patent litigation settlements are anti-competitive, and imposes substantial monetary penalties on companies and individuals who do not comply. The enforcement of this law has been preliminarily enjoined on constitutional grounds, but such legislation still creates a risk of significant potential exposure for settling patent litigations and, in turn, makes it more difficult to settle in the first place, which could have a material adverse effect on our business. VYKAT XR is listed in the Orange Book and can be cited by potential generic competitors in support of approval of an ANDA. An ANDA provides for the marketing of a drug product that has the same active ingredients in the same strengths and dosage form as the listed drug and has been shown to be bioequivalent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patented method-of-use rather than certify to a listed method-of-use patent. If the ANDA applicant does not challenge the listed patents, the ANDA application will not be approved until all the listed patents claiming the referenced product have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receive a Paragraph IV certification asserting that the new product will not infringe our listed patents for VYKAT XR, or that such patents are invalid. Upon receipt of such a Paragraph IV certification, we would have 45 days from the receipt of such a certification to initiate a patent infringement lawsuit.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ANDA application also will not be approved until any applicable non-patent exclusivity, such as Orphan Exclusivity, listed in the Orange Book for the referenced product has expired.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including potential challenges to our Orange Book patent listings in the U.S.,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technology could be materially adversely affected, harming our business and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able to protect or enforce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pStyle w:val="TextBody"/>
        <w:bidi w:val="0"/>
        <w:spacing w:before="18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our current and planned products, but that are not covered by claims in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original filers of our patents that we developed or purchased might not have been the first to make the inventions covered by the claims contained in such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covering an invention;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may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may not provide us with any competitive advantages, or may be held invalid, unenforceable or not properly listable in the Orange Book in the U.S.,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or in-license additional proprietary technologies that are patentable;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results of operations and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do not obtain a patent term extension in the U.S. under the Hatch-Waxman Act and in foreign countries under similar legislation, thereby potentially extending the term of our marketing exclusivity for our planned products,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their former employers or other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The regulatory approval process is expensive, time consuming and uncertain, and we may not be successful in obtaining approvals for our planned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Obtaining approvals from the FDA can be a lengthy, expensive and uncertain process. In addition, failure to comply with FDA and other applicable U.S. and foreign regulatory requirements may subject us to administrative or judicially imposed sanctions,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or criminal penalties and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any ongoing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accept or approve applications for marketing approval of new drugs or biologics or supplements to approved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 or detention of our products or import bans.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receiving approval to commercialize any of our planned products in the U.S. or abroad, we will be required to demonstrate with substantial evidence from well-controlled clinical trials, and to the satisfaction of the FDA and other regulatory authorities abroad, that such planned products are safe and effective for their intended uses. Results from preclinical studies and clinical trials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trials of our planned products and result in the FDA or other regulatory authorities denying approval of our planned products for any or all targeted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trials or perform additional preclinical studies and clinical trials. The number of preclinical studies and clinical trials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planned product may not be deemed safe or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officials may not find the data from preclinical studies and clinical trials sufficient;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might not approve our or our third-party manufacturer’s processes or facilities;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change its approval policies or adopt new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planned products fail to demonstrate safety and effectiveness in clinical trials or do not gain regulatory approval, our business and results of operations will be materially and adversely harmed.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reject some or all of our data from clinical trials due to concerns related to bias, unblinding before statistical analysis plan is finalized, and/or reliability of data when the analysis is considered exploratory and not planned prospectively;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not accept data pooled from different studies, especially if the studies features are not sufficiently similar;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finds that our data are not adequate to support the safety and efficacy of our product candidate for the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disagree with our statistical analysis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disagree with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clinical trials may not meet the statutory standard for substantial evidence of effectiveness or may fail to demonstrate statistical significance on the primary endpoint;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FDA or other comparable foreign regulatory authorities that our product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priorities, reduction in staffing, large staff turnover or inadequate funding for the FDA or comparable foreign regulatory authorities could hinder those agencies from performing normal business functions and increase the time necessary for regulatory submissions to be reviewed and approved, or decrease the likelihood of an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other comparable foreign regulatory authorities may significantly change in a manner rendering our clinical data insufficient for approval or resulting in delays in our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we obtain approval of a product candidate, regulatory authorities may approve a product candidate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a product candidate, may grant approval contingent on the performance of costly post-marketing clinical trials or other post-marketing studies, or may approve a product candidate with a label that does not include the labeling claims necessary or desirable for the successful commercialization of a product candidate. Any of the foregoing scenarios could seriously harm our business.</w:t>
      </w:r>
    </w:p>
    <w:p>
      <w:pPr>
        <w:pStyle w:val="TextBody"/>
        <w:bidi w:val="0"/>
        <w:spacing w:before="180" w:after="283"/>
        <w:jc w:val="left"/>
        <w:rPr>
          <w:rFonts w:ascii="Times New Roman" w:hAnsi="Times New Roman"/>
          <w:sz w:val="20"/>
        </w:rPr>
      </w:pPr>
      <w:r>
        <w:rPr>
          <w:rFonts w:ascii="Times New Roman" w:hAnsi="Times New Roman"/>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w:t>
      </w:r>
      <w:r>
        <w:rPr>
          <w:rFonts w:ascii="Times New Roman" w:hAnsi="Times New Roman"/>
          <w:i/>
          <w:color w:val="000000"/>
          <w:sz w:val="20"/>
        </w:rPr>
        <w:t>Catalyst Pharms., Inc. v. Becerra</w:t>
      </w:r>
      <w:r>
        <w:rPr>
          <w:rFonts w:ascii="Times New Roman" w:hAnsi="Times New Roman"/>
          <w:color w:val="000000"/>
          <w:sz w:val="20"/>
        </w:rPr>
        <w:t xml:space="preserve">, 14 F.4th 1299 (11th Cir. 2021), the court disagreed with the FDA’s longstanding position that the orphan drug exclusivity only applies to the approved use or indication within an eligible disease. While this court decision created uncertainty in the application of the orphan drug exclusivity, on January 24, 2023, the FDA published a notice in the Federal Register to clarify that while the agency complies with the court’s order in </w:t>
      </w:r>
      <w:r>
        <w:rPr>
          <w:rFonts w:ascii="Times New Roman" w:hAnsi="Times New Roman"/>
          <w:i/>
          <w:color w:val="000000"/>
          <w:sz w:val="20"/>
        </w:rPr>
        <w:t>Catalyst</w:t>
      </w:r>
      <w:r>
        <w:rPr>
          <w:rFonts w:ascii="Times New Roman" w:hAnsi="Times New Roman"/>
          <w:color w:val="000000"/>
          <w:sz w:val="20"/>
        </w:rPr>
        <w:t xml:space="preserve">, the FDA intends to continue to apply its longstanding interpretation of the regulations to matters outside of the scope of the </w:t>
      </w:r>
      <w:r>
        <w:rPr>
          <w:rFonts w:ascii="Times New Roman" w:hAnsi="Times New Roman"/>
          <w:i/>
          <w:color w:val="000000"/>
          <w:sz w:val="20"/>
        </w:rPr>
        <w:t>Catalyst</w:t>
      </w:r>
      <w:r>
        <w:rPr>
          <w:rFonts w:ascii="Times New Roman" w:hAnsi="Times New Roman"/>
          <w:color w:val="000000"/>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In view of the overturn of the </w:t>
      </w:r>
      <w:r>
        <w:rPr>
          <w:rFonts w:ascii="Times New Roman" w:hAnsi="Times New Roman"/>
          <w:i/>
          <w:color w:val="000000"/>
          <w:sz w:val="20"/>
        </w:rPr>
        <w:t>Chevron</w:t>
      </w:r>
      <w:r>
        <w:rPr>
          <w:rFonts w:ascii="Times New Roman" w:hAnsi="Times New Roman"/>
          <w:color w:val="000000"/>
          <w:sz w:val="20"/>
        </w:rPr>
        <w:t xml:space="preserve"> doctrine in </w:t>
      </w:r>
      <w:r>
        <w:rPr>
          <w:rFonts w:ascii="Times New Roman" w:hAnsi="Times New Roman"/>
          <w:i/>
          <w:color w:val="000000"/>
          <w:sz w:val="20"/>
        </w:rPr>
        <w:t>Loper Bright Enterprises v. Raimondo</w:t>
      </w:r>
      <w:r>
        <w:rPr>
          <w:rFonts w:ascii="Times New Roman" w:hAnsi="Times New Roman"/>
          <w:color w:val="000000"/>
          <w:sz w:val="20"/>
        </w:rPr>
        <w:t xml:space="preserve">, this landmark Supreme Court decision may invite various stakeholders to bring lawsuits against the FDA to challenge longstanding decisions and policies, including market exclusivities, which could lead to uncertainties in the industry. It is unclear how future litigation, legislation, agency decisions, and administrative actions will impact the scope of the orphan drug exclusivity.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orphan exclusivity in the U.S. may be lost if the FDA later determines that the request for designation was materially defective or if we are unable to ensure that we will be able to manufacture sufficient quantities of the product to meet the needs of patients with the rare disease or condition. In the U.S.,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 </w:t>
      </w:r>
    </w:p>
    <w:p>
      <w:pPr>
        <w:pStyle w:val="TextBody"/>
        <w:bidi w:val="0"/>
        <w:spacing w:before="180" w:after="283"/>
        <w:jc w:val="left"/>
        <w:rPr>
          <w:rFonts w:ascii="Times New Roman" w:hAnsi="Times New Roman"/>
          <w:sz w:val="20"/>
        </w:rPr>
      </w:pPr>
      <w:r>
        <w:rPr>
          <w:rFonts w:ascii="Times New Roman" w:hAnsi="Times New Roman"/>
          <w:b/>
          <w:i/>
          <w:color w:val="000000"/>
          <w:sz w:val="20"/>
        </w:rPr>
        <w:t>Failure to obtain marketing approvals in foreign jurisdictions will prevent us from marketing our products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seek distribution and marketing partners for our current products outside the U.S. and may market planned products in international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limited interactions with foreign regulatory authorities. The approval procedures vary among countries and can involve additional clinical testing, and the time required to obtain approval may differ from that required to obtain FDA approval. Moreover, clinical trials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 </w:t>
      </w:r>
    </w:p>
    <w:p>
      <w:pPr>
        <w:pStyle w:val="TextBody"/>
        <w:bidi w:val="0"/>
        <w:spacing w:before="180" w:after="283"/>
        <w:jc w:val="left"/>
        <w:rPr>
          <w:rFonts w:ascii="Times New Roman" w:hAnsi="Times New Roman"/>
          <w:sz w:val="20"/>
        </w:rPr>
      </w:pPr>
      <w:r>
        <w:rPr>
          <w:rFonts w:ascii="Times New Roman" w:hAnsi="Times New Roman"/>
          <w:b/>
          <w:i/>
          <w:color w:val="000000"/>
          <w:sz w:val="20"/>
        </w:rPr>
        <w:t>Healthcare reform measures could hinder or prevent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result in the imposition of 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requires collection of rebates for drugs paid by Medicaid managed care organizations;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how any additional legislative changes or changes in presidential administrations will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In April 2025, President Trump issued an executive order and an accompanying fact sheet focused on lowering drug prices, but it is unclear what actions will be implemented by the Department of Health and Human Services, CMS, and FDA under the new leadership, and how those actions will impact our industry and our business. To the extent these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changes in regulatory requirements and guidance may occur and we may need to amend clinical trial protocols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in June 2024, the U.S. Supreme Court in </w:t>
      </w:r>
      <w:r>
        <w:rPr>
          <w:rFonts w:ascii="Times New Roman" w:hAnsi="Times New Roman"/>
          <w:i/>
          <w:color w:val="000000"/>
          <w:sz w:val="20"/>
        </w:rPr>
        <w:t>Loper Bright Enterprises v. Raimondo</w:t>
      </w:r>
      <w:r>
        <w:rPr>
          <w:rFonts w:ascii="Times New Roman" w:hAnsi="Times New Roman"/>
          <w:color w:val="000000"/>
          <w:sz w:val="20"/>
        </w:rPr>
        <w:t xml:space="preserve"> reversed its longstanding approach under the </w:t>
      </w:r>
      <w:r>
        <w:rPr>
          <w:rFonts w:ascii="Times New Roman" w:hAnsi="Times New Roman"/>
          <w:i/>
          <w:color w:val="000000"/>
          <w:sz w:val="20"/>
        </w:rPr>
        <w:t xml:space="preserve">Chevron </w:t>
      </w:r>
      <w:r>
        <w:rPr>
          <w:rFonts w:ascii="Times New Roman" w:hAnsi="Times New Roman"/>
          <w:color w:val="000000"/>
          <w:sz w:val="20"/>
        </w:rPr>
        <w:t xml:space="preserve">doctrine, which gave deference to regulatory agencies in litigation against the FDA and other agencies. As a result, more companies may bring lawsuits against the FDA to challenge longstanding decisions and policies of the FDA, which could undermine the FDA’s authority, lead to uncertainties in the industry, and disrupt the FDA’s normal operations, which could delay the FDA’s review of our marketing applications. Under the new leadership at the HHS under the Trump administration, mass layoffs due to the reduction in force initiative and other measures implemented by the Department of Government Efficiency may impact the normal operations of federal agencies. There is significant uncertainty in the industry, and we cannot predict how federal agencies will change in the coming years under the new administration or how our business will be impacted.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fail to comply with healthcare regulations, we could face substantial penalties and our business, operations and financial condition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indirectly, to induce either the referral of an individual, for an item or service or the purchasing or ordering of a good or service, for which payment may be made under federal healthcare programs,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criminal laws that prohibit executing a scheme to defraud any healthcare benefit program or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Insurance Portability and Accountability Act (HIPAA), as amended by the Health Information Technology for Economic and Clinical Health Act of 2009 (HITECH Act), which governs the conduct of certain electronic healthcare transactions and protects the security and privacy of protected health information;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which may apply to items or services reimbursed by any third-party payer, including commercial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relationships with healthcare providers, other customers, and third-party payers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we begin commercializing VYKAT XR, we will be subject to additional healthcare statutory and regulatory requirements and enforcement by the federal government and the states and foreign governments in which we conduct our business. Healthcare providers, physicians, and third-party payers will play a primary role in the recommendation and prescription of VYKAT XR. Our future arrangements with third-party payors and customers may expose us to broadly applicable fraud and abuse and other healthcare laws and regulations that may constrain the business or financial arrangements and relationships through which we market, sell, and distribute VYKAT XR. Restrictions under applicable federal and state healthcare laws and regulations include, but are not limited to, the Anti-Kickback Statute, the False Claims Act, HIPAA and the HITECH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are subject to U.S. and foreign laws regarding privacy, data protection, and data security that could entail substantial compliance costs, while the failure to comply could subject us to significant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 In the event we enroll subjects in clinical trials in the E.U. or other jurisdictions, or otherwise acquire or process personal data of individuals in those jurisdictions, we may be subject to additional restrictions and obligations relating to the collection, use, storage, transfer, and other processing of this data. Clinical trial activities in the European Economic Area (EEA), for example, are governed by the E.U. General Data Protection Regulation (GDPR).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take additional steps, such as new contractual negotiations or modifications to our policies or practices relating to cross-border transfers of personal data, to comply with these restrictions and obligations. More generally, laws and regulations governing privacy and data protection exist in many other countries around the world, and these laws (which are evolving and expanding) create complicated and potentially inconsistent obligations that may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increasing number, complexity, and potential inconsistency of current and future laws and regulations relating to privacy, data protection, and data security in the U.S. and other countries make our compliance obligations more difficult and costly.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Our stock price may be volatile, and purchasers of our securities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purchase price. The market price for our common stock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and realize significant revenues from sales of VYKAT XR;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other clinical trials of our products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products or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our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our ability to bring our manufacturing processes to scale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those due to inflation;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risks described in this “Risk Factors”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Future sales of our common stock, or the perception that future sales may occur, may cause the market price of our common stock to decline,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 </w:t>
      </w:r>
    </w:p>
    <w:p>
      <w:pPr>
        <w:pStyle w:val="TextBody"/>
        <w:bidi w:val="0"/>
        <w:spacing w:before="180" w:after="283"/>
        <w:jc w:val="left"/>
        <w:rPr>
          <w:rFonts w:ascii="Times New Roman" w:hAnsi="Times New Roman"/>
          <w:sz w:val="20"/>
        </w:rPr>
      </w:pPr>
      <w:r>
        <w:rPr>
          <w:rFonts w:ascii="Times New Roman" w:hAnsi="Times New Roman"/>
          <w:b/>
          <w:i/>
          <w:color w:val="000000"/>
          <w:sz w:val="20"/>
        </w:rPr>
        <w:t>Our ability to use our net operating loss carry forwards and certain other tax attributes will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The Company has completed a Section 382 analysis from January 1, 2017 through December 31, 2023 and determined that a change in ownership has occurred on March 7, 2017, December 21, 2018, June 30, 2020 and September 26, 2023. As a result, the net operating loss carryforwards and tax credit carryforwards maybe subject to annual limitations before being applied to reduce future income tax liabilities. For years ended after December 31, 2024, the utilization of net operating losses and tax credit carryforwards are subject to further limitation in the event an additional ownership change were to occur for tax purposes. In addition, we also raised capital in May 2024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 </w:t>
      </w:r>
    </w:p>
    <w:p>
      <w:pPr>
        <w:pStyle w:val="TextBody"/>
        <w:bidi w:val="0"/>
        <w:spacing w:before="180" w:after="283"/>
        <w:jc w:val="left"/>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continue to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 </w:t>
      </w:r>
    </w:p>
    <w:p>
      <w:pPr>
        <w:pStyle w:val="TextBody"/>
        <w:bidi w:val="0"/>
        <w:spacing w:before="180" w:after="283"/>
        <w:jc w:val="left"/>
        <w:rPr>
          <w:rFonts w:ascii="Times New Roman" w:hAnsi="Times New Roman"/>
          <w:sz w:val="20"/>
        </w:rPr>
      </w:pPr>
      <w:r>
        <w:rPr>
          <w:rFonts w:ascii="Times New Roman" w:hAnsi="Times New Roman"/>
          <w:b/>
          <w:i/>
          <w:color w:val="000000"/>
          <w:sz w:val="20"/>
        </w:rPr>
        <w:t>Provisions in our corporate charter documents and under Delaware law could make an acquisition of us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divided into three classes with staggered three-year terms which may delay or prevent a change of our management or a change in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the right to elect directors to fill a vacancy created by the expansion of our Board or the resignation, death or removal of a director, which will prevent stockholders from being able to fill vacancies on our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prohibits cumulative voting in the election of directors, which limits the ability of minority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amendments of our certificate of incorporation and bylaws require the approval of 66 2/3% of our outstanding voting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180" w:after="283"/>
        <w:jc w:val="left"/>
        <w:rPr>
          <w:rFonts w:ascii="Times New Roman" w:hAnsi="Times New Roman"/>
          <w:sz w:val="20"/>
        </w:rPr>
      </w:pPr>
      <w:r>
        <w:rPr>
          <w:rFonts w:ascii="Times New Roman" w:hAnsi="Times New Roman"/>
          <w:b/>
          <w:i/>
          <w:color w:val="000000"/>
          <w:sz w:val="20"/>
        </w:rPr>
        <w:t>Our employment agreements with our executive officers may require us to pay severance benefits to any of those persons who are terminated in connection with a change in control of us, which could harm our financial condition or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executive officers are parties to employment agreements that contain change in control and severance provisions providing for aggregate cash payments for severance and other benefits and acceleration of equity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information technology systems may fail or experience security breaches and incidents that could adversely impact our business and operations and subject us to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significant growth in the complexity of our data and the software tools that we rely upon.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costs related to technical and procedural controls to reduce the risks to our information technology systems.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accurately predict and identify our information technology systems requirements and failures and timely enhance our information technology systems, or if our remediation efforts are not successful, it could result in a material disruption of our business operations, including the loss or unauthorized disclosure of our trade secrets, individuals’ personal information, or other proprietary or sensitive data. </w:t>
      </w:r>
    </w:p>
    <w:p>
      <w:pPr>
        <w:pStyle w:val="TextBody"/>
        <w:bidi w:val="0"/>
        <w:spacing w:before="120" w:after="283"/>
        <w:jc w:val="left"/>
        <w:rPr>
          <w:rFonts w:ascii="Times New Roman" w:hAnsi="Times New Roman"/>
          <w:sz w:val="20"/>
        </w:rPr>
      </w:pPr>
      <w:r>
        <w:rPr>
          <w:rFonts w:ascii="Times New Roman" w:hAnsi="Times New Roman"/>
          <w:color w:val="000000"/>
          <w:sz w:val="20"/>
        </w:rPr>
        <w:t>Moreover, any security breach or other event that leads to loss of, unauthorized access to, disclosure of, or other processing of personal information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our risk factor “</w:t>
      </w:r>
      <w:r>
        <w:rPr>
          <w:rFonts w:ascii="Times New Roman" w:hAnsi="Times New Roman"/>
          <w:i/>
          <w:color w:val="000000"/>
          <w:sz w:val="20"/>
        </w:rPr>
        <w:t>We are subject to U.S. and foreign laws regarding privacy, data protection, and data security that could entail substantial compliance costs, while the failure to comply could subject us to significant liability</w:t>
      </w:r>
      <w:r>
        <w:rPr>
          <w:rFonts w:ascii="Times New Roman" w:hAnsi="Times New Roman"/>
          <w:color w:val="000000"/>
          <w:sz w:val="20"/>
        </w:rPr>
        <w: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Unfavorable U.S. or global economic conditions as a result of international conflict, or otherwise, could adversely affect our ability to raise capital and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products could be interrupted.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Redwood City, California, facilities house our corporate, research and development and quality assurance teams. Our drug product is manufactured and packaged at various locations in the United States. Our facilities in Redwood City and those of our third-party manufacturers are vulnerable to natural disasters, public health crises,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The inability to manufacture our drug product, combined with our limited inventory of drug product, may result in the loss of future customers or harm our reputation, and we may be unable to re-establish relationships with those customers in the future. If our or our third-party manufacturer’s capabilities are impaired, we may not be able to manufacture and ship our products in a timely manner, which would adversely impact our business.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have social media posts at X (formerly Twitter)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 Insider Adoption or Termination of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provides information regarding "Rule 10b5-1 trading arrangements" (as defined in Item 408 of Regulation S-K under the Securities Exchange Act of 1934, each a 10b5-1 Plan) adopted or terminated during the three months ended March 31, 2025 by any director or officer who is subject to the filing requirements of Section 16 of the Securities Exchange Act of 1934 (Section 16 Director or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Anish Bhatnagar, our Chief Executive Officer and Chairman of our board of directors adopted a 10b5-1 Plan on September 6, 2024. Mr. Bhatnagar's 10b5-1 Plan provided for the potential sale of up to 300,000 shares of our common stock, and was set to expire on September 6, 2025, or upon the earlier completion of all authorized transactions thereunder. Dr. Bhatnagar terminated this 10b5-1 plan on January 14,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Jim Mackaness, our Chief Financial Officer, adopted a 10b5-1 Plan on September 6, 2024. Mr. Mackaness's 10b5-1 Plan provided for the potential sale of up to 60,000 shares of our common stock, and was set to expire on September 6, 2025, or upon the earlier completion of all authorized transactions thereunder. Mr. Mackaness terminated this 10b5-1 plan on January 14,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Kristen Yen, our Senior Vice President, Global Clinical Operations and Patient Advocacy, adopted a 10b5-1 Plan on September 13, 2024. Ms. Yen's 10b5-1 Plan provided for the potential sale of up to 95,089 shares of our common stock, and was set to expire on September 30, 2025, or upon the earlier completion of all authorized transactions thereunder. Ms. Yen terminated this 10b5-1 plan on March 13,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trading arrangements are intended to satisfy the affirmative defense of Rule 10b5-1(c). Certain of our Section 16 Directors or Officers may participate in employee stock purchase plans, 401(k) plans or dividend investment plans of us that have been designed to comply with Rule 10b5-1(c). No "non-Rule 10b5-1 trading arrangements" (as defined in Item 408 of Regulation S-K under the Securities Exchange Act of 1934) were adopted or terminated by any Section 16 Director or Officer during the three months ended March 31, 2025. </w:t>
      </w:r>
    </w:p>
    <w:p>
      <w:pPr>
        <w:pStyle w:val="TextBody"/>
        <w:bidi w:val="0"/>
        <w:spacing w:before="360" w:after="240"/>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See the Exhibit Index on the page immediately preceding the exhibits for a list of exhibits filed as part of this Quarterly Report on Form 10-Q, which Exhibit Index is incorporated herein by reference.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79"/>
        <w:gridCol w:w="266"/>
        <w:gridCol w:w="5209"/>
        <w:gridCol w:w="258"/>
        <w:gridCol w:w="991"/>
        <w:gridCol w:w="146"/>
        <w:gridCol w:w="646"/>
        <w:gridCol w:w="146"/>
        <w:gridCol w:w="691"/>
        <w:gridCol w:w="146"/>
        <w:gridCol w:w="827"/>
      </w:tblGrid>
      <w:tr>
        <w:trPr/>
        <w:tc>
          <w:tcPr>
            <w:tcW w:w="87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52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87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25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8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31.1</w:t>
            </w:r>
          </w:p>
        </w:tc>
        <w:tc>
          <w:tcPr>
            <w:tcW w:w="266"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1_1.htm">
              <w:r>
                <w:rPr>
                  <w:rStyle w:val="InternetLink"/>
                  <w:rFonts w:ascii="Times New Roman" w:hAnsi="Times New Roman"/>
                  <w:color w:val="0000FF"/>
                  <w:sz w:val="20"/>
                  <w:u w:val="single"/>
                </w:rPr>
                <w:t>Certification of Principal Executive Officer Required Under Rule 13a-14(a) and 15d-14(a) of the Securities and Exchange Act of 1934, as amended</w:t>
              </w:r>
            </w:hyperlink>
            <w:hyperlink w:anchor="slno-ex31_1.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31.2</w:t>
            </w:r>
          </w:p>
        </w:tc>
        <w:tc>
          <w:tcPr>
            <w:tcW w:w="266"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1_2.htm">
              <w:r>
                <w:rPr>
                  <w:rStyle w:val="InternetLink"/>
                  <w:rFonts w:ascii="Times New Roman" w:hAnsi="Times New Roman"/>
                  <w:color w:val="0000FF"/>
                  <w:sz w:val="20"/>
                  <w:u w:val="single"/>
                </w:rPr>
                <w:t>Certification of Principal Financial and Accounting Officer Required Under Rule 13a-14(a) and 15d-14(a) of the Securities and Exchange Act of 1934, as amended</w:t>
              </w:r>
            </w:hyperlink>
            <w:hyperlink w:anchor="slno-ex31_2.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32.1</w:t>
            </w:r>
            <w:r>
              <w:rPr>
                <w:rFonts w:ascii="Times New Roman" w:hAnsi="Times New Roman"/>
                <w:color w:val="000000"/>
                <w:sz w:val="16"/>
              </w:rPr>
              <w:t></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2_1.htm">
              <w:r>
                <w:rPr>
                  <w:rStyle w:val="InternetLink"/>
                  <w:rFonts w:ascii="Times New Roman" w:hAnsi="Times New Roman"/>
                  <w:color w:val="0000FF"/>
                  <w:sz w:val="20"/>
                  <w:u w:val="single"/>
                </w:rPr>
                <w:t>Certification of Principal Executive Officer Required Under Rule 13a-14(b) of the Securities and Exchange Act of 1934, as amended, and 18 U.S.C. §1350</w:t>
              </w:r>
            </w:hyperlink>
            <w:hyperlink w:anchor="slno-ex32_1.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32.2</w:t>
            </w:r>
            <w:r>
              <w:rPr>
                <w:rFonts w:ascii="Times New Roman" w:hAnsi="Times New Roman"/>
                <w:color w:val="000000"/>
                <w:sz w:val="16"/>
              </w:rPr>
              <w:t></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hyperlink w:anchor="slno-ex32_2.htm">
              <w:r>
                <w:rPr>
                  <w:rStyle w:val="InternetLink"/>
                  <w:rFonts w:ascii="Times New Roman" w:hAnsi="Times New Roman"/>
                  <w:color w:val="0000FF"/>
                  <w:sz w:val="20"/>
                  <w:u w:val="single"/>
                </w:rPr>
                <w:t>Certification of Principal Financial and Accounting Officer Required Under Rule 13a-14(b) of the Securities and Exchange Act of 1934, as amended, and 18 U.S.C. §1350</w:t>
              </w:r>
            </w:hyperlink>
            <w:hyperlink w:anchor="slno-ex32_2.htm">
              <w:r>
                <w:rPr>
                  <w:rStyle w:val="InternetLink"/>
                  <w:rFonts w:ascii="Times New Roman" w:hAnsi="Times New Roman"/>
                  <w:color w:val="0000FF"/>
                  <w:sz w:val="20"/>
                </w:rPr>
                <w:t xml:space="preserve"> </w:t>
              </w:r>
            </w:hyperlink>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101.INS</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101.SCH</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104</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5209" w:type="dxa"/>
            <w:tcBorders/>
            <w:tcMar>
              <w:top w:w="0" w:type="dxa"/>
              <w:left w:w="0" w:type="dxa"/>
              <w:bottom w:w="0" w:type="dxa"/>
              <w:right w:w="0" w:type="dxa"/>
            </w:tcMar>
            <w:vAlign w:val="center"/>
          </w:tcPr>
          <w:p>
            <w:pPr>
              <w:pStyle w:val="TableContents"/>
              <w:bidi w:val="0"/>
              <w:ind w:left="0" w:right="0" w:firstLine="12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ind w:left="0" w:right="0" w:firstLine="112"/>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ind w:left="0" w:right="0" w:firstLine="112"/>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both"/>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153" w:type="dxa"/>
        <w:jc w:val="left"/>
        <w:tblInd w:w="0" w:type="dxa"/>
        <w:tblLayout w:type="fixed"/>
        <w:tblCellMar>
          <w:top w:w="28" w:type="dxa"/>
          <w:left w:w="28" w:type="dxa"/>
          <w:bottom w:w="28" w:type="dxa"/>
          <w:right w:w="28" w:type="dxa"/>
        </w:tblCellMar>
      </w:tblPr>
      <w:tblGrid>
        <w:gridCol w:w="1636"/>
        <w:gridCol w:w="406"/>
        <w:gridCol w:w="41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2025</w:t>
            </w:r>
          </w:p>
        </w:tc>
        <w:tc>
          <w:tcPr>
            <w:tcW w:w="45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SOLENO THERAPEUTICS,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Mackaness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(authorized officer and principal financial and </w:t>
              <w:br/>
              <w:t>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bookmarkStart w:id="23" w:name="slno-ex31_1.htm"/>
      <w:bookmarkStart w:id="24" w:name="ksslno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Anish Bhatnagar, M.D.,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Soleno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2025</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lno-ex31_2.htm"/>
      <w:bookmarkStart w:id="26" w:name="ksslno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Mackaness,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Soleno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2025</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lno-ex32_1.htm"/>
      <w:bookmarkStart w:id="28" w:name="ksslno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Soleno Therapeutics, Inc. (the “Company”) on Form 10-Q for the fiscal quarter ended March 31, 2025, as filed with the Securities and Exchange Commission (the “Report”), Anish Bhatnagar, President, Chief Executive Officer of the Company does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2025</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Anish Bhatnagar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lno-ex32_2.htm"/>
      <w:bookmarkStart w:id="30" w:name="ksslnoex32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Soleno Therapeutics, Inc. (the “Company”) on Form 10-Q for the fiscal quarter ended March 31, 2025, as filed with the Securities and Exchange Commission (the “Report”), James Mackaness, Chief Financial Officer of the Company does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2025</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Mackaness</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40728</Words>
  <Characters>225420</Characters>
  <CharactersWithSpaces>266631</CharactersWithSpaces>
  <Paragraphs>4420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