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53340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58420</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5"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2" w:lineRule="exact"/>
        <w:rPr>
          <w:sz w:val="24"/>
          <w:szCs w:val="24"/>
          <w:color w:val="auto"/>
        </w:rPr>
      </w:pPr>
    </w:p>
    <w:tbl>
      <w:tblPr>
        <w:tblLayout w:type="fixed"/>
        <w:tblInd w:w="406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8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580" w:type="dxa"/>
            <w:vAlign w:val="bottom"/>
            <w:tcBorders>
              <w:bottom w:val="single" w:sz="8" w:color="auto"/>
            </w:tcBorders>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660" w:type="dxa"/>
            <w:vAlign w:val="bottom"/>
            <w:gridSpan w:val="3"/>
          </w:tcPr>
          <w:p>
            <w:pPr>
              <w:ind w:left="660"/>
              <w:spacing w:after="0"/>
              <w:rPr>
                <w:sz w:val="20"/>
                <w:szCs w:val="20"/>
                <w:color w:val="auto"/>
              </w:rPr>
            </w:pPr>
            <w:r>
              <w:rPr>
                <w:rFonts w:ascii="Arial" w:cs="Arial" w:eastAsia="Arial" w:hAnsi="Arial"/>
                <w:sz w:val="14"/>
                <w:szCs w:val="14"/>
                <w:b w:val="1"/>
                <w:bCs w:val="1"/>
                <w:color w:val="auto"/>
                <w:w w:val="92"/>
              </w:rPr>
              <w:t>Commission File No.: 001-36593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52" w:lineRule="exact"/>
        <w:rPr>
          <w:sz w:val="24"/>
          <w:szCs w:val="24"/>
          <w:color w:val="auto"/>
        </w:rPr>
      </w:pPr>
    </w:p>
    <w:tbl>
      <w:tblPr>
        <w:tblLayout w:type="fixed"/>
        <w:tblInd w:w="10" w:type="dxa"/>
        <w:tblCellMar>
          <w:top w:w="0" w:type="dxa"/>
          <w:left w:w="0" w:type="dxa"/>
          <w:bottom w:w="0" w:type="dxa"/>
          <w:right w:w="0" w:type="dxa"/>
        </w:tblCellMar>
      </w:tblPr>
      <w:tr>
        <w:trPr>
          <w:trHeight w:val="383"/>
        </w:trPr>
        <w:tc>
          <w:tcPr>
            <w:tcW w:w="7500" w:type="dxa"/>
            <w:vAlign w:val="bottom"/>
            <w:gridSpan w:val="6"/>
          </w:tcPr>
          <w:p>
            <w:pPr>
              <w:jc w:val="center"/>
              <w:ind w:left="3844"/>
              <w:spacing w:after="0"/>
              <w:rPr>
                <w:sz w:val="20"/>
                <w:szCs w:val="20"/>
                <w:color w:val="auto"/>
              </w:rPr>
            </w:pPr>
            <w:r>
              <w:rPr>
                <w:rFonts w:ascii="Arial" w:cs="Arial" w:eastAsia="Arial" w:hAnsi="Arial"/>
                <w:sz w:val="32"/>
                <w:szCs w:val="32"/>
                <w:b w:val="1"/>
                <w:bCs w:val="1"/>
                <w:color w:val="auto"/>
                <w:w w:val="90"/>
              </w:rPr>
              <w:t>Soleno Therapeutics, Inc.</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80" w:type="dxa"/>
            <w:vAlign w:val="bottom"/>
            <w:vMerge w:val="restart"/>
          </w:tcPr>
          <w:p>
            <w:pPr>
              <w:jc w:val="center"/>
              <w:ind w:left="1464"/>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380" w:type="dxa"/>
            <w:vAlign w:val="bottom"/>
            <w:vMerge w:val="restart"/>
          </w:tcPr>
          <w:p>
            <w:pPr>
              <w:jc w:val="right"/>
              <w:ind w:right="2391"/>
              <w:spacing w:after="0"/>
              <w:rPr>
                <w:sz w:val="20"/>
                <w:szCs w:val="20"/>
                <w:color w:val="auto"/>
              </w:rPr>
            </w:pPr>
            <w:r>
              <w:rPr>
                <w:rFonts w:ascii="Arial" w:cs="Arial" w:eastAsia="Arial" w:hAnsi="Arial"/>
                <w:sz w:val="14"/>
                <w:szCs w:val="14"/>
                <w:b w:val="1"/>
                <w:bCs w:val="1"/>
                <w:color w:val="auto"/>
              </w:rPr>
              <w:t>77-0523891</w:t>
            </w:r>
          </w:p>
        </w:tc>
        <w:tc>
          <w:tcPr>
            <w:tcW w:w="0" w:type="dxa"/>
            <w:vAlign w:val="bottom"/>
          </w:tcPr>
          <w:p>
            <w:pPr>
              <w:spacing w:after="0"/>
              <w:rPr>
                <w:sz w:val="1"/>
                <w:szCs w:val="1"/>
                <w:color w:val="auto"/>
              </w:rPr>
            </w:pPr>
          </w:p>
        </w:tc>
      </w:tr>
      <w:tr>
        <w:trPr>
          <w:trHeight w:val="164"/>
        </w:trPr>
        <w:tc>
          <w:tcPr>
            <w:tcW w:w="4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jc w:val="center"/>
              <w:ind w:left="1464"/>
              <w:spacing w:after="0" w:line="135" w:lineRule="exact"/>
              <w:rPr>
                <w:sz w:val="20"/>
                <w:szCs w:val="20"/>
                <w:color w:val="auto"/>
              </w:rPr>
            </w:pPr>
            <w:r>
              <w:rPr>
                <w:rFonts w:ascii="Arial" w:cs="Arial" w:eastAsia="Arial" w:hAnsi="Arial"/>
                <w:sz w:val="13"/>
                <w:szCs w:val="13"/>
                <w:b w:val="1"/>
                <w:bCs w:val="1"/>
                <w:color w:val="auto"/>
                <w:w w:val="86"/>
              </w:rPr>
              <w:t>(State or other Jurisdiction of</w:t>
            </w: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380" w:type="dxa"/>
            <w:vAlign w:val="bottom"/>
          </w:tcPr>
          <w:p>
            <w:pPr>
              <w:jc w:val="center"/>
              <w:ind w:right="2191"/>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4080" w:type="dxa"/>
            <w:vAlign w:val="bottom"/>
          </w:tcPr>
          <w:p>
            <w:pPr>
              <w:jc w:val="center"/>
              <w:ind w:left="1464"/>
              <w:spacing w:after="0"/>
              <w:rPr>
                <w:sz w:val="20"/>
                <w:szCs w:val="20"/>
                <w:color w:val="auto"/>
              </w:rPr>
            </w:pPr>
            <w:r>
              <w:rPr>
                <w:rFonts w:ascii="Arial" w:cs="Arial" w:eastAsia="Arial" w:hAnsi="Arial"/>
                <w:sz w:val="13"/>
                <w:szCs w:val="13"/>
                <w:b w:val="1"/>
                <w:bCs w:val="1"/>
                <w:color w:val="auto"/>
                <w:w w:val="90"/>
              </w:rPr>
              <w:t>Incorporation or Organization)</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tcPr>
          <w:p>
            <w:pPr>
              <w:jc w:val="center"/>
              <w:ind w:right="2171"/>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69"/>
        </w:trPr>
        <w:tc>
          <w:tcPr>
            <w:tcW w:w="4080" w:type="dxa"/>
            <w:vAlign w:val="bottom"/>
          </w:tcPr>
          <w:p>
            <w:pPr>
              <w:jc w:val="center"/>
              <w:ind w:left="1464"/>
              <w:spacing w:after="0"/>
              <w:rPr>
                <w:sz w:val="20"/>
                <w:szCs w:val="20"/>
                <w:color w:val="auto"/>
              </w:rPr>
            </w:pPr>
            <w:r>
              <w:rPr>
                <w:rFonts w:ascii="Arial" w:cs="Arial" w:eastAsia="Arial" w:hAnsi="Arial"/>
                <w:sz w:val="14"/>
                <w:szCs w:val="14"/>
                <w:b w:val="1"/>
                <w:bCs w:val="1"/>
                <w:color w:val="auto"/>
                <w:w w:val="92"/>
              </w:rPr>
              <w:t>203 Redwood Shores Parkway, Suite 500</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80" w:type="dxa"/>
            <w:vAlign w:val="bottom"/>
          </w:tcPr>
          <w:p>
            <w:pPr>
              <w:jc w:val="center"/>
              <w:ind w:left="1464"/>
              <w:spacing w:after="0"/>
              <w:rPr>
                <w:sz w:val="20"/>
                <w:szCs w:val="20"/>
                <w:color w:val="auto"/>
              </w:rPr>
            </w:pPr>
            <w:r>
              <w:rPr>
                <w:rFonts w:ascii="Arial" w:cs="Arial" w:eastAsia="Arial" w:hAnsi="Arial"/>
                <w:sz w:val="14"/>
                <w:szCs w:val="14"/>
                <w:b w:val="1"/>
                <w:bCs w:val="1"/>
                <w:color w:val="auto"/>
                <w:w w:val="95"/>
              </w:rPr>
              <w:t>Redwood City, California</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tcPr>
          <w:p>
            <w:pPr>
              <w:jc w:val="right"/>
              <w:ind w:right="2571"/>
              <w:spacing w:after="0"/>
              <w:rPr>
                <w:sz w:val="20"/>
                <w:szCs w:val="20"/>
                <w:color w:val="auto"/>
              </w:rPr>
            </w:pPr>
            <w:r>
              <w:rPr>
                <w:rFonts w:ascii="Arial" w:cs="Arial" w:eastAsia="Arial" w:hAnsi="Arial"/>
                <w:sz w:val="14"/>
                <w:szCs w:val="14"/>
                <w:b w:val="1"/>
                <w:bCs w:val="1"/>
                <w:color w:val="auto"/>
              </w:rPr>
              <w:t>94065</w:t>
            </w:r>
          </w:p>
        </w:tc>
        <w:tc>
          <w:tcPr>
            <w:tcW w:w="0" w:type="dxa"/>
            <w:vAlign w:val="bottom"/>
          </w:tcPr>
          <w:p>
            <w:pPr>
              <w:spacing w:after="0"/>
              <w:rPr>
                <w:sz w:val="1"/>
                <w:szCs w:val="1"/>
                <w:color w:val="auto"/>
              </w:rPr>
            </w:pPr>
          </w:p>
        </w:tc>
      </w:tr>
      <w:tr>
        <w:trPr>
          <w:trHeight w:val="164"/>
        </w:trPr>
        <w:tc>
          <w:tcPr>
            <w:tcW w:w="4080" w:type="dxa"/>
            <w:vAlign w:val="bottom"/>
          </w:tcPr>
          <w:p>
            <w:pPr>
              <w:jc w:val="center"/>
              <w:ind w:left="1464"/>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tcPr>
          <w:p>
            <w:pPr>
              <w:jc w:val="center"/>
              <w:ind w:right="217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93"/>
        </w:trPr>
        <w:tc>
          <w:tcPr>
            <w:tcW w:w="8060" w:type="dxa"/>
            <w:vAlign w:val="bottom"/>
            <w:gridSpan w:val="7"/>
          </w:tcPr>
          <w:p>
            <w:pPr>
              <w:jc w:val="center"/>
              <w:ind w:left="3284"/>
              <w:spacing w:after="0"/>
              <w:rPr>
                <w:sz w:val="20"/>
                <w:szCs w:val="20"/>
                <w:color w:val="auto"/>
              </w:rPr>
            </w:pPr>
            <w:r>
              <w:rPr>
                <w:rFonts w:ascii="Arial" w:cs="Arial" w:eastAsia="Arial" w:hAnsi="Arial"/>
                <w:sz w:val="14"/>
                <w:szCs w:val="14"/>
                <w:b w:val="1"/>
                <w:bCs w:val="1"/>
                <w:color w:val="auto"/>
                <w:w w:val="92"/>
              </w:rPr>
              <w:t>Registrant’s telephone number, including area code: (650) 213-8444</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4080" w:type="dxa"/>
            <w:vAlign w:val="bottom"/>
          </w:tcPr>
          <w:p>
            <w:pPr>
              <w:ind w:left="440"/>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80" w:type="dxa"/>
            <w:vAlign w:val="bottom"/>
            <w:tcBorders>
              <w:left w:val="single" w:sz="8" w:color="auto"/>
              <w:bottom w:val="single" w:sz="8" w:color="auto"/>
            </w:tcBorders>
          </w:tcPr>
          <w:p>
            <w:pPr>
              <w:jc w:val="center"/>
              <w:ind w:left="884"/>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840" w:type="dxa"/>
            <w:vAlign w:val="bottom"/>
            <w:tcBorders>
              <w:bottom w:val="single" w:sz="8" w:color="auto"/>
            </w:tcBorders>
            <w:gridSpan w:val="2"/>
          </w:tcPr>
          <w:p>
            <w:pPr>
              <w:spacing w:after="0"/>
              <w:rPr>
                <w:sz w:val="16"/>
                <w:szCs w:val="16"/>
                <w:color w:val="auto"/>
              </w:rPr>
            </w:pPr>
          </w:p>
        </w:tc>
        <w:tc>
          <w:tcPr>
            <w:tcW w:w="3940" w:type="dxa"/>
            <w:vAlign w:val="bottom"/>
            <w:tcBorders>
              <w:bottom w:val="single" w:sz="8" w:color="auto"/>
              <w:right w:val="single" w:sz="8" w:color="auto"/>
            </w:tcBorders>
            <w:gridSpan w:val="2"/>
          </w:tcPr>
          <w:p>
            <w:pPr>
              <w:jc w:val="center"/>
              <w:ind w:right="79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6"/>
        </w:trPr>
        <w:tc>
          <w:tcPr>
            <w:tcW w:w="4080" w:type="dxa"/>
            <w:vAlign w:val="bottom"/>
            <w:tcBorders>
              <w:left w:val="single" w:sz="8" w:color="auto"/>
              <w:bottom w:val="single" w:sz="8" w:color="auto"/>
            </w:tcBorders>
          </w:tcPr>
          <w:p>
            <w:pPr>
              <w:jc w:val="center"/>
              <w:ind w:left="904"/>
              <w:spacing w:after="0"/>
              <w:rPr>
                <w:sz w:val="20"/>
                <w:szCs w:val="20"/>
                <w:color w:val="auto"/>
              </w:rPr>
            </w:pPr>
            <w:r>
              <w:rPr>
                <w:rFonts w:ascii="Arial" w:cs="Arial" w:eastAsia="Arial" w:hAnsi="Arial"/>
                <w:sz w:val="14"/>
                <w:szCs w:val="14"/>
                <w:color w:val="auto"/>
                <w:w w:val="93"/>
              </w:rPr>
              <w:t>Common Stock, $0.001 par value</w:t>
            </w:r>
          </w:p>
        </w:tc>
        <w:tc>
          <w:tcPr>
            <w:tcW w:w="56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SLNO</w:t>
            </w:r>
          </w:p>
        </w:tc>
        <w:tc>
          <w:tcPr>
            <w:tcW w:w="84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jc w:val="center"/>
              <w:ind w:right="1351"/>
              <w:spacing w:after="0"/>
              <w:rPr>
                <w:sz w:val="20"/>
                <w:szCs w:val="20"/>
                <w:color w:val="auto"/>
              </w:rPr>
            </w:pPr>
            <w:r>
              <w:rPr>
                <w:rFonts w:ascii="Arial" w:cs="Arial" w:eastAsia="Arial" w:hAnsi="Arial"/>
                <w:sz w:val="14"/>
                <w:szCs w:val="14"/>
                <w:color w:val="auto"/>
              </w:rPr>
              <w:t>NASDAQ</w:t>
            </w:r>
          </w:p>
        </w:tc>
        <w:tc>
          <w:tcPr>
            <w:tcW w:w="0" w:type="dxa"/>
            <w:vAlign w:val="bottom"/>
          </w:tcPr>
          <w:p>
            <w:pPr>
              <w:spacing w:after="0"/>
              <w:rPr>
                <w:sz w:val="1"/>
                <w:szCs w:val="1"/>
                <w:color w:val="auto"/>
              </w:rPr>
            </w:pPr>
          </w:p>
        </w:tc>
      </w:tr>
      <w:tr>
        <w:trPr>
          <w:trHeight w:val="312"/>
        </w:trPr>
        <w:tc>
          <w:tcPr>
            <w:tcW w:w="7500" w:type="dxa"/>
            <w:vAlign w:val="bottom"/>
            <w:gridSpan w:val="6"/>
          </w:tcPr>
          <w:p>
            <w:pPr>
              <w:ind w:left="6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640" w:type="dxa"/>
            <w:vAlign w:val="bottom"/>
            <w:gridSpan w:val="2"/>
          </w:tcPr>
          <w:p>
            <w:pPr>
              <w:spacing w:after="0"/>
              <w:rPr>
                <w:sz w:val="4"/>
                <w:szCs w:val="4"/>
                <w:color w:val="auto"/>
              </w:rPr>
            </w:pPr>
          </w:p>
        </w:tc>
        <w:tc>
          <w:tcPr>
            <w:tcW w:w="2140" w:type="dxa"/>
            <w:vAlign w:val="bottom"/>
            <w:tcBorders>
              <w:bottom w:val="single" w:sz="8" w:color="auto"/>
            </w:tcBorders>
            <w:gridSpan w:val="3"/>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8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93"/>
        </w:trPr>
        <w:tc>
          <w:tcPr>
            <w:tcW w:w="7500" w:type="dxa"/>
            <w:vAlign w:val="bottom"/>
            <w:gridSpan w:val="6"/>
          </w:tcPr>
          <w:p>
            <w:pPr>
              <w:ind w:left="60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500" w:type="dxa"/>
            <w:vAlign w:val="bottom"/>
            <w:gridSpan w:val="6"/>
          </w:tcPr>
          <w:p>
            <w:pPr>
              <w:ind w:left="60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-2385695</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right="220" w:firstLine="598"/>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6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9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98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ind w:right="160" w:firstLine="59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60" w:firstLine="598"/>
        <w:spacing w:after="0" w:line="238" w:lineRule="auto"/>
        <w:rPr>
          <w:sz w:val="20"/>
          <w:szCs w:val="20"/>
          <w:color w:val="auto"/>
        </w:rPr>
      </w:pPr>
      <w:r>
        <w:rPr>
          <w:rFonts w:ascii="Arial" w:cs="Arial" w:eastAsia="Arial" w:hAnsi="Arial"/>
          <w:sz w:val="14"/>
          <w:szCs w:val="14"/>
          <w:color w:val="auto"/>
        </w:rPr>
        <w:t>The aggregate market value of stock held by non-affiliates of the registrant on June 28, 2019, based on the closing price of $2.80 for shares of the registrant’s common stock as reported by the NASDAQ Capital Market, was approximately $28.0 million. Shares of Common Stock held by each executive officer, director and beneficial holder of 5% or more of the outstanding Common Stock have been excluded in that such persons may be deemed affiliates.</w:t>
      </w:r>
    </w:p>
    <w:p>
      <w:pPr>
        <w:ind w:left="600"/>
        <w:spacing w:after="0"/>
        <w:rPr>
          <w:sz w:val="20"/>
          <w:szCs w:val="20"/>
          <w:color w:val="auto"/>
        </w:rPr>
      </w:pPr>
      <w:r>
        <w:rPr>
          <w:rFonts w:ascii="Arial" w:cs="Arial" w:eastAsia="Arial" w:hAnsi="Arial"/>
          <w:sz w:val="14"/>
          <w:szCs w:val="14"/>
          <w:color w:val="auto"/>
        </w:rPr>
        <w:t>As of February 28, 2020 there were 44,686,811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42545</wp:posOffset>
            </wp:positionV>
            <wp:extent cx="1363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7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300" w:firstLine="598"/>
        <w:spacing w:after="0" w:line="231" w:lineRule="auto"/>
        <w:rPr>
          <w:sz w:val="20"/>
          <w:szCs w:val="20"/>
          <w:color w:val="auto"/>
        </w:rPr>
      </w:pPr>
      <w:r>
        <w:rPr>
          <w:rFonts w:ascii="Arial" w:cs="Arial" w:eastAsia="Arial" w:hAnsi="Arial"/>
          <w:sz w:val="14"/>
          <w:szCs w:val="14"/>
          <w:color w:val="auto"/>
        </w:rPr>
        <w:t>Portions of the registrant’s Definitive Proxy Statement to be filed with the Commission pursuant to Regulation 14A in connection with the registrant’s 2020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2019.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88"/>
              </w:rPr>
              <w:t>Soleno Therapeutics, Inc.</w:t>
            </w:r>
          </w:p>
        </w:tc>
        <w:tc>
          <w:tcPr>
            <w:tcW w:w="1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93"/>
              </w:rPr>
              <w:t>Annual Report on Form 10-K</w:t>
            </w:r>
          </w:p>
        </w:tc>
        <w:tc>
          <w:tcPr>
            <w:tcW w:w="1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17"/>
          </w:tcPr>
          <w:p>
            <w:pPr>
              <w:jc w:val="center"/>
              <w:ind w:right="284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2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3"/>
          </w:tcPr>
          <w:p>
            <w:pPr>
              <w:jc w:val="center"/>
              <w:ind w:right="4200"/>
              <w:spacing w:after="0"/>
              <w:rPr>
                <w:sz w:val="20"/>
                <w:szCs w:val="20"/>
                <w:color w:val="auto"/>
              </w:rPr>
            </w:pPr>
            <w:r>
              <w:rPr>
                <w:rFonts w:ascii="Arial" w:cs="Arial" w:eastAsia="Arial" w:hAnsi="Arial"/>
                <w:sz w:val="18"/>
                <w:szCs w:val="18"/>
                <w:b w:val="1"/>
                <w:bCs w:val="1"/>
                <w:color w:val="auto"/>
              </w:rPr>
              <w:t>INDEX</w:t>
            </w:r>
          </w:p>
        </w:tc>
        <w:tc>
          <w:tcPr>
            <w:tcW w:w="124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jc w:val="center"/>
              <w:ind w:right="41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240" w:type="dxa"/>
            <w:vAlign w:val="bottom"/>
          </w:tcPr>
          <w:p>
            <w:pPr>
              <w:spacing w:after="0"/>
              <w:rPr>
                <w:sz w:val="24"/>
                <w:szCs w:val="24"/>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60" w:type="dxa"/>
            <w:vAlign w:val="bottom"/>
            <w:gridSpan w:val="16"/>
          </w:tcPr>
          <w:p>
            <w:pPr>
              <w:spacing w:after="0"/>
              <w:rPr>
                <w:sz w:val="17"/>
                <w:szCs w:val="17"/>
                <w:color w:val="auto"/>
              </w:rPr>
            </w:pPr>
          </w:p>
        </w:tc>
        <w:tc>
          <w:tcPr>
            <w:tcW w:w="580" w:type="dxa"/>
            <w:vAlign w:val="bottom"/>
            <w:tcBorders>
              <w:top w:val="single" w:sz="8" w:color="0000EE"/>
            </w:tcBorders>
            <w:gridSpan w:val="2"/>
          </w:tcPr>
          <w:p>
            <w:pPr>
              <w:spacing w:after="0"/>
              <w:rPr>
                <w:sz w:val="17"/>
                <w:szCs w:val="17"/>
                <w:color w:val="auto"/>
              </w:rPr>
            </w:pPr>
          </w:p>
        </w:tc>
        <w:tc>
          <w:tcPr>
            <w:tcW w:w="416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4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40" w:type="dxa"/>
            <w:vAlign w:val="bottom"/>
            <w:gridSpan w:val="2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Unresolved Staff Comments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700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7700" w:type="dxa"/>
            <w:vAlign w:val="bottom"/>
            <w:gridSpan w:val="2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40" w:type="dxa"/>
            <w:vAlign w:val="bottom"/>
            <w:gridSpan w:val="2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2"/>
          </w:tcPr>
          <w:p>
            <w:pPr>
              <w:jc w:val="center"/>
              <w:ind w:right="4120"/>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Market for Registrant’s Common Equity, Related Stockholder Matters and Issuer Purchases of Equity Securities</w:t>
              </w:r>
            </w:hyperlink>
          </w:p>
        </w:tc>
        <w:tc>
          <w:tcPr>
            <w:tcW w:w="9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40" w:type="dxa"/>
            <w:vAlign w:val="bottom"/>
            <w:gridSpan w:val="2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Selected Financial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40" w:type="dxa"/>
            <w:vAlign w:val="bottom"/>
            <w:gridSpan w:val="2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2020" w:type="dxa"/>
            <w:vAlign w:val="bottom"/>
            <w:tcBorders>
              <w:top w:val="single" w:sz="8" w:color="0000EE"/>
            </w:tcBorders>
            <w:gridSpan w:val="6"/>
          </w:tcPr>
          <w:p>
            <w:pPr>
              <w:spacing w:after="0"/>
              <w:rPr>
                <w:sz w:val="24"/>
                <w:szCs w:val="24"/>
                <w:color w:val="auto"/>
              </w:rPr>
            </w:pPr>
          </w:p>
        </w:tc>
        <w:tc>
          <w:tcPr>
            <w:tcW w:w="266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40" w:type="dxa"/>
            <w:vAlign w:val="bottom"/>
            <w:gridSpan w:val="2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Changes in and Disagreements with Accountants on Accounting and Financial Disclosure</w:t>
              </w:r>
            </w:hyperlink>
          </w:p>
        </w:tc>
        <w:tc>
          <w:tcPr>
            <w:tcW w:w="256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040" w:type="dxa"/>
            <w:vAlign w:val="bottom"/>
            <w:gridSpan w:val="2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7280" w:type="dxa"/>
            <w:vAlign w:val="bottom"/>
            <w:gridSpan w:val="21"/>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40" w:type="dxa"/>
            <w:vAlign w:val="bottom"/>
            <w:gridSpan w:val="15"/>
          </w:tcPr>
          <w:p>
            <w:pPr>
              <w:jc w:val="center"/>
              <w:ind w:right="3940"/>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1240" w:type="dxa"/>
            <w:vAlign w:val="bottom"/>
          </w:tcPr>
          <w:p>
            <w:pPr>
              <w:spacing w:after="0"/>
              <w:rPr>
                <w:sz w:val="24"/>
                <w:szCs w:val="24"/>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Directors, Executive Officers and Corporate Governance</w:t>
              </w:r>
            </w:hyperlink>
          </w:p>
        </w:tc>
        <w:tc>
          <w:tcPr>
            <w:tcW w:w="140" w:type="dxa"/>
            <w:vAlign w:val="bottom"/>
          </w:tcPr>
          <w:p>
            <w:pPr>
              <w:spacing w:after="0"/>
              <w:rPr>
                <w:sz w:val="24"/>
                <w:szCs w:val="24"/>
                <w:color w:val="auto"/>
              </w:rPr>
            </w:pPr>
          </w:p>
        </w:tc>
        <w:tc>
          <w:tcPr>
            <w:tcW w:w="740" w:type="dxa"/>
            <w:vAlign w:val="bottom"/>
            <w:tcBorders>
              <w:top w:val="single" w:sz="8" w:color="0000EE"/>
            </w:tcBorders>
            <w:gridSpan w:val="8"/>
          </w:tcPr>
          <w:p>
            <w:pPr>
              <w:spacing w:after="0"/>
              <w:rPr>
                <w:sz w:val="24"/>
                <w:szCs w:val="24"/>
                <w:color w:val="auto"/>
              </w:rPr>
            </w:pPr>
          </w:p>
        </w:tc>
        <w:tc>
          <w:tcPr>
            <w:tcW w:w="4060" w:type="dxa"/>
            <w:vAlign w:val="bottom"/>
            <w:gridSpan w:val="6"/>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40" w:type="dxa"/>
            <w:vAlign w:val="bottom"/>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040" w:type="dxa"/>
            <w:vAlign w:val="bottom"/>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176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360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14"/>
          </w:tcPr>
          <w:p>
            <w:pPr>
              <w:jc w:val="center"/>
              <w:ind w:right="408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IV</w:t>
              </w:r>
            </w:hyperlink>
          </w:p>
        </w:tc>
        <w:tc>
          <w:tcPr>
            <w:tcW w:w="1240" w:type="dxa"/>
            <w:vAlign w:val="bottom"/>
          </w:tcPr>
          <w:p>
            <w:pPr>
              <w:spacing w:after="0"/>
              <w:rPr>
                <w:sz w:val="24"/>
                <w:szCs w:val="24"/>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60" w:type="dxa"/>
            <w:vAlign w:val="bottom"/>
            <w:gridSpan w:val="1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08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160" w:type="dxa"/>
            <w:vAlign w:val="bottom"/>
            <w:gridSpan w:val="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1000"/>
        </w:trPr>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the regulatory regime for our products,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Soleno Therapeutics is focused on the development and commercialization of novel therapeutics for the treatment of rare diseases. Our lead candidate, referred to as DCCR, a once-daily oral tablet for the treatment of Prader-Willi Syndrome, or PWS, a complex metabolic/neurobehavioral disorder, is currently being evaluated in a Phase III clinical development program.</w:t>
      </w:r>
    </w:p>
    <w:p>
      <w:pPr>
        <w:spacing w:after="0" w:line="73"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has been the development and commercialization of novel therapeutics for the treatment of rare diseases. Essentialis was a privately-held, clinical-stage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metabolically-regulated membrane protein whose modulation has the potential to impact a wide range of rare metabolic, cardiovascular, and CNS diseases. Essentialis had tested Diazoxide Choline Controlled Release tablets, or DCCR, as a treatment for PWS. DCCR has orphan designation for the treatment of PWS in the United States, or U.S., as well as in the European Union, or E.U.</w:t>
      </w:r>
    </w:p>
    <w:p>
      <w:pPr>
        <w:spacing w:after="0" w:line="5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We initially established our operations as a diversified healthcare company that developed and commercialized innovative diagnostics, devices and therapeutics addressing unmet medical needs, which consisted of: precision metering of gas flow technology marketed as Serenz® Allergy Relief, or Serenz; the CoSense®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ind w:right="680" w:firstLine="598"/>
        <w:spacing w:after="0" w:line="286" w:lineRule="auto"/>
        <w:rPr>
          <w:sz w:val="20"/>
          <w:szCs w:val="20"/>
          <w:color w:val="auto"/>
        </w:rPr>
      </w:pPr>
      <w:r>
        <w:rPr>
          <w:rFonts w:ascii="Arial" w:cs="Arial" w:eastAsia="Arial" w:hAnsi="Arial"/>
          <w:sz w:val="17"/>
          <w:szCs w:val="17"/>
          <w:color w:val="auto"/>
        </w:rPr>
        <w:t>Subsequent to the Merger with Essentialis described above, we determined to divest, sell or dispose of our business efforts focused on the development and commercialization of our Serenz and CoSense technologies. Our current research and development efforts are primarily focused on advancing our lead candidate, DCCR tablets for the treatment of PWS, through late-stage clinical development.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right="200" w:firstLine="598"/>
        <w:spacing w:after="0" w:line="273" w:lineRule="auto"/>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ATP-</w:t>
      </w:r>
    </w:p>
    <w:p>
      <w:pPr>
        <w:spacing w:after="0" w:line="1"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sensitive K</w:t>
      </w:r>
      <w:r>
        <w:rPr>
          <w:rFonts w:ascii="Arial" w:cs="Arial" w:eastAsia="Arial" w:hAnsi="Arial"/>
          <w:sz w:val="15"/>
          <w:szCs w:val="15"/>
          <w:color w:val="auto"/>
        </w:rPr>
        <w:t>+</w:t>
      </w:r>
      <w:r>
        <w:rPr>
          <w:rFonts w:ascii="Arial" w:cs="Arial" w:eastAsia="Arial" w:hAnsi="Arial"/>
          <w:sz w:val="18"/>
          <w:szCs w:val="18"/>
          <w:color w:val="auto"/>
        </w:rPr>
        <w:t xml:space="preserve"> channels (K</w:t>
      </w:r>
      <w:r>
        <w:rPr>
          <w:rFonts w:ascii="Arial" w:cs="Arial" w:eastAsia="Arial" w:hAnsi="Arial"/>
          <w:sz w:val="15"/>
          <w:szCs w:val="15"/>
          <w:color w:val="auto"/>
        </w:rPr>
        <w:t>ATP</w:t>
      </w:r>
      <w:r>
        <w:rPr>
          <w:rFonts w:ascii="Arial" w:cs="Arial" w:eastAsia="Arial" w:hAnsi="Arial"/>
          <w:sz w:val="18"/>
          <w:szCs w:val="18"/>
          <w:color w:val="auto"/>
        </w:rPr>
        <w:t>). Diazoxide appears to act on signs and symptoms of PWS in a variety of ways. Agonizing the KATP channel in the hypothalamus has the potential to address the hallmark symptom of PWS – hyperphagia – a chronic feeling of insatiable hunger; and may also reduce aggressive behaviors in patients with PWS.</w:t>
      </w:r>
    </w:p>
    <w:p>
      <w:pPr>
        <w:spacing w:after="0" w:line="81"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indications. In addition, there are also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193"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(DCCR) that lowers peak plasma concentration compared to diazoxide oral suspension and allows for the gradual release of diazoxide choline from DCCR, making it suitable for once-a-</w:t>
      </w:r>
    </w:p>
    <w:p>
      <w:pPr>
        <w:ind w:right="580"/>
        <w:spacing w:after="0" w:line="255" w:lineRule="auto"/>
        <w:rPr>
          <w:sz w:val="20"/>
          <w:szCs w:val="20"/>
          <w:color w:val="auto"/>
        </w:rPr>
      </w:pPr>
      <w:r>
        <w:rPr>
          <w:rFonts w:ascii="Arial" w:cs="Arial" w:eastAsia="Arial" w:hAnsi="Arial"/>
          <w:sz w:val="18"/>
          <w:szCs w:val="18"/>
          <w:color w:val="auto"/>
        </w:rPr>
        <w:t>day dosing. The gradual release and absorption of diazoxide achieved using DCCR results in consistent intraday circulating drug levels. Once it enters circulation, diazoxide becomes extensively protein bound, however only the unbound drug is active and readily enters tissues. Thus, the continuous absorption of diazoxide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t>from DCCR may result in higher levels of unbound diazoxide for a given administered dose. The extended release and absorption from the formulation, reduced intraday variability in circulating drug levels, and the potentially higher levels of unbound diazoxide makes DCCR tablets suitable for once daily dosing.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200" w:lineRule="exact"/>
        <w:rPr>
          <w:sz w:val="20"/>
          <w:szCs w:val="20"/>
          <w:color w:val="auto"/>
        </w:rPr>
      </w:pP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Prader-Willi Syndrome</w:t>
      </w:r>
    </w:p>
    <w:p>
      <w:pPr>
        <w:spacing w:after="0" w:line="11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6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7"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PWS is typically thought of as a genetic obesity. However, many PWS patients today may not be obese because of increasing awareness among families and caregivers leading to significant control of food and its intake. However, patients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11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 </w:t>
      </w:r>
      <w:r>
        <w:rPr>
          <w:rFonts w:ascii="Arial" w:cs="Arial" w:eastAsia="Arial" w:hAnsi="Arial"/>
          <w:sz w:val="15"/>
          <w:szCs w:val="15"/>
          <w:u w:val="single" w:color="auto"/>
          <w:color w:val="auto"/>
        </w:rPr>
        <w:t>https://www.fpwr.org/pws-patient-voices</w:t>
      </w:r>
      <w:r>
        <w:rPr>
          <w:rFonts w:ascii="Arial" w:cs="Arial" w:eastAsia="Arial" w:hAnsi="Arial"/>
          <w:sz w:val="17"/>
          <w:szCs w:val="17"/>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79" w:lineRule="exact"/>
        <w:rPr>
          <w:sz w:val="20"/>
          <w:szCs w:val="20"/>
          <w:color w:val="auto"/>
        </w:rPr>
      </w:pPr>
    </w:p>
    <w:p>
      <w:pPr>
        <w:ind w:right="580" w:firstLine="598"/>
        <w:spacing w:after="0" w:line="308" w:lineRule="auto"/>
        <w:rPr>
          <w:sz w:val="20"/>
          <w:szCs w:val="20"/>
          <w:color w:val="auto"/>
        </w:rPr>
      </w:pPr>
      <w:r>
        <w:rPr>
          <w:rFonts w:ascii="Arial" w:cs="Arial" w:eastAsia="Arial" w:hAnsi="Arial"/>
          <w:sz w:val="17"/>
          <w:szCs w:val="17"/>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left="600"/>
        <w:spacing w:after="0"/>
        <w:rPr>
          <w:sz w:val="20"/>
          <w:szCs w:val="20"/>
          <w:color w:val="auto"/>
        </w:rPr>
      </w:pPr>
      <w:r>
        <w:rPr>
          <w:rFonts w:ascii="Arial" w:cs="Arial" w:eastAsia="Arial" w:hAnsi="Arial"/>
          <w:sz w:val="18"/>
          <w:szCs w:val="18"/>
          <w:b w:val="1"/>
          <w:bCs w:val="1"/>
          <w:i w:val="1"/>
          <w:iCs w:val="1"/>
          <w:color w:val="auto"/>
        </w:rPr>
        <w:t>Clinical Trials of DCCR for PWS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7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8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165"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A Phase III clinical trial is currently being conducted to evaluate the efficacy and safety of DCCR in patients with genetically-confirmed PWS. This study, DESTINY PWS, is a multi-center, randomized, double-blind, placebo-controlled study with enrollment of approximately 105 children and adults with PWS. Subjects who complete the 15-week DESTINY PWS study may enroll in a long-term, safety extension study (C602). On each of March 14, 2019, and October 1, 2019 the Data Safety Monitoring Board (DSMB) recommended the continuation of our Phase III DESTINY PWS trial without any changes. The DSMB is a group of independent experts monitoring the safety of the DESTINY PWS study. The DSMB reviews safety information and can make recommendations to either continue the study without modification, modify the study or terminate the study due to safety concerns. In July 2018, the U.S. Food and Drug Administration designated the development program for investigation of DCCR for the treatment of PWS to be a Fast Track development program. Prior to this, diazoxide choline received orphan designation for the treatment of PWS in the U.S. and in the E.U.</w:t>
      </w:r>
    </w:p>
    <w:p>
      <w:pPr>
        <w:spacing w:after="0" w:line="166"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On January 6, 2020, we announced that we had completed our target enrollment for DESTINY PWS and expect to report top-line data in the first half of 2020. Additionally, based on the interest of the clinical investigators and families, we continue to make DCCR available to patients enrolled in the current program. The Company has, therefore, extended the C602 open-label extension study, allowing interested patients and families to continue in the study for up to two additional years.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Many of the adverse events in the Phase II study were common medical complications of PWS including ear and respiratory infections, hypersomnia, peripheral edema, skin picking and constipation. The most common adverse events that occurred during the PC025 study, regardless of the relationship to DCCR, included peripheral edema, hyperglycemia, impaired glucose tolerance, upper respiratory tract infections, ear infection, headache, somnolence, constipation, and bruises.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 w:name="page7"/>
    <w:bookmarkEnd w:id="6"/>
    <w:p>
      <w:pPr>
        <w:ind w:left="60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117"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Diazoxide choline is being developed in the U.S. under a current IND and is designated as an Orphan Drug for the treatment of PWS. We announced successful completion of a scientific advice meeting with the FDA on July 5, 2017. On September 25, 2017, we announced receipt of advice from the Committee for Medicinal Products for Human Use (CHMP) of the European Medicines Agency (EMA) regarding DCCR for the treatment of PWS. On October 12, 2017, we announced the receipt of a positive opinion from the Committee for Orphan Medicinal Products (COMP) of the EMA recommending Orphan Designation for diazoxide choline for the treatment of PWS. This designation was granted by the European Commission as EU/3/17/1941. We announced successful completion and receipt of minutes from an End-of-Phase II meeting with the FDA and confirmed alignment on key aspects of the Phase</w:t>
      </w:r>
    </w:p>
    <w:p>
      <w:pPr>
        <w:spacing w:after="0" w:line="5" w:lineRule="exact"/>
        <w:rPr>
          <w:sz w:val="20"/>
          <w:szCs w:val="20"/>
          <w:color w:val="auto"/>
        </w:rPr>
      </w:pPr>
    </w:p>
    <w:p>
      <w:pPr>
        <w:ind w:firstLine="8"/>
        <w:spacing w:after="0" w:line="269"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study design, including the primary endpoint and duration of the trial on February 20, 2018. On July 30, 2018, we announced that DCCR was granted “Fast Track” designation for the treatment of PWS. Fast Track designation is intended to provide patients with serious conditions and unmet medical needs access to new drugs earlier by assisting their development and accelerating their review by the FDA. Fast Track designation allows additional meetings with the FDA to discuss our development plan to ensure the appropriate data are collected and encourages frequent written communication with the FDA regarding design of clinical trials and use of biomarkers. If certain criteria are met, DCCR may be eligible for “Accelerated Approval” and “Priority Review” and also “Rolling Review”, which would allow us to submit to the FDA sections of our New Drug Application (NDA) as they are finished instead of waiting for all sections to be completed before submitting the marketing application.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An estimated 300,000 to 400,000 individuals worldwide have PWS with a birth incidence ranging from 1:15,000 to 1:25,000.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Newly diagnosed PWS patients tend to be treated by a multi-disciplinary team led by a pediatric endocrinologist. Many patients receive care at larger clinics devoted to PWS in university-associated hospitals or at children’s hospitals. This concentration of care allows us to consider marketing DCCR without a partner by assembling a small, dedicated salesforce to target the limited number of major PWS treatment centers in the U.S. In contrast to the situation in the U.S., we are likely to need to identify a marketing partner for DCCR in Europe, Japan, and the rest of the world. The final decision on sales and marketing strategy will be made at a later date.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Millendo Therapeutics, Inc., Rhythm Pharmaceuticals, Inc., Saniona AB, Insys Therapeutics, Inc., Inversago, Consynance, and GLWL Research,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Pharmaceuticals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manufacturing strategy is to contract with third parties to manufacture our clinical and commercial API and drug product supplies.</w:t>
      </w:r>
    </w:p>
    <w:p>
      <w:pPr>
        <w:spacing w:after="0" w:line="225"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11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Our patent portfolio surrounding DCCR consists of five issued U.S. patents, one allowed U.S. patent and 10 pending U.S. applications. Our issued U.S. patents (no.’s 7,572,789, 7,799,777, 9,381,202, 9,757,384, 9,782,416, 10,058,557, 10,085,998, and 10,456,408) expire in 2026 to 2035.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46" w:lineRule="exact"/>
        <w:rPr>
          <w:sz w:val="20"/>
          <w:szCs w:val="20"/>
          <w:color w:val="auto"/>
        </w:rPr>
      </w:pPr>
    </w:p>
    <w:p>
      <w:pPr>
        <w:ind w:left="1040" w:hanging="438"/>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large family of salts including diazoxide choline, the active ingredient in DCCR and all pharmaceutical formulations of those salts;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Methods to treat various diseases including PWS and other rare diseases with DCCR;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Methods to treat obese, overweight and obesity-prone individuals with DCCR;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KATP channel agonists.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121"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products. As a result of these regulations, product development and product approval processes are very expensive and time consuming.</w:t>
      </w:r>
    </w:p>
    <w:p>
      <w:pPr>
        <w:spacing w:after="0" w:line="225" w:lineRule="exact"/>
        <w:rPr>
          <w:sz w:val="20"/>
          <w:szCs w:val="20"/>
          <w:color w:val="auto"/>
        </w:rPr>
      </w:pPr>
    </w:p>
    <w:p>
      <w:pPr>
        <w:jc w:val="both"/>
        <w:ind w:right="80" w:firstLine="598"/>
        <w:spacing w:after="0" w:line="286" w:lineRule="auto"/>
        <w:rPr>
          <w:sz w:val="20"/>
          <w:szCs w:val="20"/>
          <w:color w:val="auto"/>
        </w:rPr>
      </w:pPr>
      <w:r>
        <w:rPr>
          <w:rFonts w:ascii="Arial" w:cs="Arial" w:eastAsia="Arial" w:hAnsi="Arial"/>
          <w:sz w:val="17"/>
          <w:szCs w:val="17"/>
          <w:color w:val="auto"/>
        </w:rPr>
        <w:t>A country’s regulatory agency, such as the FDA in the United States, or a region’s agency, such as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approval processes.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right="200" w:firstLine="598"/>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Phase I Studies</w:t>
      </w:r>
      <w:r>
        <w:rPr>
          <w:rFonts w:ascii="Arial" w:cs="Arial" w:eastAsia="Arial" w:hAnsi="Arial"/>
          <w:sz w:val="18"/>
          <w:szCs w:val="18"/>
          <w:color w:val="auto"/>
        </w:rPr>
        <w:t>. During Phase I studies, researchers test a new drug in normal volunteers who are healthy. In most cases, 20 to 80 healthy volunteers</w:t>
      </w:r>
      <w:r>
        <w:rPr>
          <w:rFonts w:ascii="Arial" w:cs="Arial" w:eastAsia="Arial" w:hAnsi="Arial"/>
          <w:sz w:val="18"/>
          <w:szCs w:val="18"/>
          <w:i w:val="1"/>
          <w:iCs w:val="1"/>
          <w:color w:val="auto"/>
        </w:rPr>
        <w:t xml:space="preserve"> </w:t>
      </w:r>
      <w:r>
        <w:rPr>
          <w:rFonts w:ascii="Arial" w:cs="Arial" w:eastAsia="Arial" w:hAnsi="Arial"/>
          <w:sz w:val="18"/>
          <w:szCs w:val="18"/>
          <w:color w:val="auto"/>
        </w:rPr>
        <w:t>or people with the disease/condition participate in Phase 1. Phase I studies are closely monitored and gather information about how a drug interacts with the human body. Researchers adjust dosing schemes based on animal data to find out how much of a drug the body can tolerate and what its acute side effects are. As a Phase I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II studies.</w:t>
      </w:r>
    </w:p>
    <w:p>
      <w:pPr>
        <w:spacing w:after="0" w:line="193"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i w:val="1"/>
          <w:iCs w:val="1"/>
          <w:color w:val="auto"/>
        </w:rPr>
        <w:t>Phase II Studies</w:t>
      </w:r>
      <w:r>
        <w:rPr>
          <w:rFonts w:ascii="Arial" w:cs="Arial" w:eastAsia="Arial" w:hAnsi="Arial"/>
          <w:sz w:val="18"/>
          <w:szCs w:val="18"/>
          <w:color w:val="auto"/>
        </w:rPr>
        <w:t>. In Phase II studies, researchers administer the drug to a group of patients with the disease or condition for which the drug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Typically involving up to a few hundred patients, these studies are not large enough to show whether the drug will be beneficial. Instead, Phase II studies provide researchers with additional safety data. Researchers use these data to refine research questions, develop research methods, and design new Phase III research protocols.</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Phase III Studies</w:t>
      </w:r>
      <w:r>
        <w:rPr>
          <w:rFonts w:ascii="Arial" w:cs="Arial" w:eastAsia="Arial" w:hAnsi="Arial"/>
          <w:sz w:val="18"/>
          <w:szCs w:val="18"/>
          <w:color w:val="auto"/>
        </w:rPr>
        <w:t>. Researchers design Phase III studies to demonstrate whether or not a product offers a treatment benefit to a specific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known as pivotal studies, these studies generally involve a larger number of participants than do Phase II studies. Phase III studies provide most of the safety data. In Phase II studies, it is possible that less common side effects might have gone undetected. Because these studies are larger and longer in duration, the results are more likely to show long-term or rare side effects.</w:t>
      </w:r>
    </w:p>
    <w:p>
      <w:pPr>
        <w:spacing w:after="0" w:line="18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For each clinical trial, an independent IRB or independent ethics committee (IEC), covering each site proposing to conduct a clinical trial must review and approve the plan for any clinical trial and informed consent information for subjects before the trial commences at that site and it must monitor the study until completed. The FDA, other heath authority, the IRB/IEC, or the sponsor may suspend a clinical trial at any time on various grounds,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including a finding that the subjects or patients are being exposed to an unacceptable health risk or for failure to comply with the IRB/IEC’s requirements, or may impose other conditions.</w:t>
      </w:r>
    </w:p>
    <w:p>
      <w:pPr>
        <w:spacing w:after="0" w:line="17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United States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340" w:firstLine="598"/>
        <w:spacing w:after="0" w:line="297" w:lineRule="auto"/>
        <w:rPr>
          <w:sz w:val="20"/>
          <w:szCs w:val="20"/>
          <w:color w:val="auto"/>
        </w:rPr>
      </w:pPr>
      <w:r>
        <w:rPr>
          <w:rFonts w:ascii="Arial" w:cs="Arial" w:eastAsia="Arial" w:hAnsi="Arial"/>
          <w:sz w:val="16"/>
          <w:szCs w:val="16"/>
          <w:color w:val="auto"/>
        </w:rPr>
        <w:t>The FDA may also require Phase IV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5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obtain FDA approval of a new or supplemental NDA, which may require the development of additional data or conduct of additional pre-clinical studies and clinical trials.</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8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prevalence of less than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58"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46"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200" w:right="7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FDA strictly regulates the marketing, labeling, advertising and promotion of drug and device products that are placed on the market. The Federal Trade Commission, or the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93"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7"/>
          <w:szCs w:val="17"/>
          <w:color w:val="auto"/>
        </w:rPr>
        <w:t>through a single application and review process.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Government Regulations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117" w:lineRule="exact"/>
        <w:rPr>
          <w:sz w:val="20"/>
          <w:szCs w:val="20"/>
          <w:color w:val="auto"/>
        </w:rPr>
      </w:pPr>
    </w:p>
    <w:p>
      <w:pPr>
        <w:ind w:right="200" w:firstLine="598"/>
        <w:spacing w:after="0" w:line="270" w:lineRule="auto"/>
        <w:rPr>
          <w:sz w:val="20"/>
          <w:szCs w:val="20"/>
          <w:color w:val="auto"/>
        </w:rPr>
      </w:pPr>
      <w:r>
        <w:rPr>
          <w:rFonts w:ascii="Arial" w:cs="Arial" w:eastAsia="Arial" w:hAnsi="Arial"/>
          <w:sz w:val="17"/>
          <w:szCs w:val="17"/>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7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117"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 and</w:t>
      </w:r>
      <w:r>
        <w:rPr>
          <w:rFonts w:ascii="Arial" w:cs="Arial" w:eastAsia="Arial" w:hAnsi="Arial"/>
          <w:sz w:val="18"/>
          <w:szCs w:val="18"/>
          <w:i w:val="1"/>
          <w:iCs w:val="1"/>
          <w:color w:val="auto"/>
        </w:rPr>
        <w:t xml:space="preserve"> </w:t>
      </w:r>
      <w:r>
        <w:rPr>
          <w:rFonts w:ascii="Arial" w:cs="Arial" w:eastAsia="Arial" w:hAnsi="Arial"/>
          <w:sz w:val="18"/>
          <w:szCs w:val="18"/>
          <w:color w:val="auto"/>
        </w:rPr>
        <w:t>abuse laws. Many of these antifraud laws are broad in scope, and neither the courts nor government agencies have extensively interpreted these laws. Prohibitions under some of these laws include:</w:t>
      </w:r>
    </w:p>
    <w:p>
      <w:pPr>
        <w:spacing w:after="0" w:line="73"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submission, or causing the submission of, false claims or false information to government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performing medically unnecessary procedures;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225"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Liability under the False Claims Act can result in treble damages and imposition of penalties. For example, we could be subject to penalties of $11,181 to</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$22,363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79"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9"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8"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w:t>
      </w:r>
    </w:p>
    <w:p>
      <w:pPr>
        <w:spacing w:after="0" w:line="181"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$11,181 to $22,363 for each separate false claim. Similarly, sanctions for violations under the North Carolina self-referral laws include refunds and monetary penalties.</w:t>
      </w:r>
    </w:p>
    <w:p>
      <w:pPr>
        <w:spacing w:after="0" w:line="173" w:lineRule="exact"/>
        <w:rPr>
          <w:sz w:val="20"/>
          <w:szCs w:val="20"/>
          <w:color w:val="auto"/>
        </w:rPr>
      </w:pPr>
    </w:p>
    <w:p>
      <w:pPr>
        <w:ind w:right="120" w:firstLine="598"/>
        <w:spacing w:after="0" w:line="289" w:lineRule="auto"/>
        <w:rPr>
          <w:sz w:val="20"/>
          <w:szCs w:val="20"/>
          <w:color w:val="auto"/>
        </w:rPr>
      </w:pPr>
      <w:r>
        <w:rPr>
          <w:rFonts w:ascii="Arial" w:cs="Arial" w:eastAsia="Arial" w:hAnsi="Arial"/>
          <w:sz w:val="16"/>
          <w:szCs w:val="16"/>
          <w:i w:val="1"/>
          <w:iCs w:val="1"/>
          <w:color w:val="auto"/>
        </w:rPr>
        <w:t>Anti-Kickback Statute</w:t>
      </w:r>
      <w:r>
        <w:rPr>
          <w:rFonts w:ascii="Arial" w:cs="Arial" w:eastAsia="Arial" w:hAnsi="Arial"/>
          <w:sz w:val="16"/>
          <w:szCs w:val="16"/>
          <w:color w:val="auto"/>
        </w:rPr>
        <w:t>. The federal Anti-Kickback Statute prohibits persons from knowingly and willfully soliciting, receiving, offering or paying</w:t>
      </w:r>
      <w:r>
        <w:rPr>
          <w:rFonts w:ascii="Arial" w:cs="Arial" w:eastAsia="Arial" w:hAnsi="Arial"/>
          <w:sz w:val="16"/>
          <w:szCs w:val="16"/>
          <w:i w:val="1"/>
          <w:iCs w:val="1"/>
          <w:color w:val="auto"/>
        </w:rPr>
        <w:t xml:space="preserve"> </w:t>
      </w:r>
      <w:r>
        <w:rPr>
          <w:rFonts w:ascii="Arial" w:cs="Arial" w:eastAsia="Arial" w:hAnsi="Arial"/>
          <w:sz w:val="16"/>
          <w:szCs w:val="16"/>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8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87" w:lineRule="exact"/>
        <w:rPr>
          <w:sz w:val="20"/>
          <w:szCs w:val="20"/>
          <w:color w:val="auto"/>
        </w:rPr>
      </w:pPr>
    </w:p>
    <w:p>
      <w:pPr>
        <w:jc w:val="both"/>
        <w:ind w:right="140" w:firstLine="598"/>
        <w:spacing w:after="0" w:line="288" w:lineRule="auto"/>
        <w:rPr>
          <w:sz w:val="20"/>
          <w:szCs w:val="20"/>
          <w:color w:val="auto"/>
        </w:rPr>
      </w:pPr>
      <w:r>
        <w:rPr>
          <w:rFonts w:ascii="Arial" w:cs="Arial" w:eastAsia="Arial" w:hAnsi="Arial"/>
          <w:sz w:val="16"/>
          <w:szCs w:val="16"/>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w:t>
      </w:r>
    </w:p>
    <w:p>
      <w:pPr>
        <w:ind w:right="900"/>
        <w:spacing w:after="0" w:line="261" w:lineRule="auto"/>
        <w:rPr>
          <w:sz w:val="20"/>
          <w:szCs w:val="20"/>
          <w:color w:val="auto"/>
        </w:rPr>
      </w:pPr>
      <w:r>
        <w:rPr>
          <w:rFonts w:ascii="Arial" w:cs="Arial" w:eastAsia="Arial" w:hAnsi="Arial"/>
          <w:sz w:val="18"/>
          <w:szCs w:val="18"/>
          <w:color w:val="auto"/>
        </w:rPr>
        <w:t>Penalties for violations of this statute include license suspension or revocation or other disciplinary action. Other states have similar anti-kickback prohibitions.</w:t>
      </w:r>
    </w:p>
    <w:p>
      <w:pPr>
        <w:spacing w:after="0" w:line="18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March 2010, the PPACA was enacted, which includes measures that have or will significantly change the way healthcare is financed by both governmental and private insurers. Beginning in August 2013, the PPACA and its implementing regulations requires drug and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on an annual basis. Failure to make timely reports to CMS can subject us to significant civil penalties.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360"/>
        <w:spacing w:after="0" w:line="342" w:lineRule="auto"/>
        <w:rPr>
          <w:sz w:val="20"/>
          <w:szCs w:val="20"/>
          <w:color w:val="auto"/>
        </w:rPr>
      </w:pPr>
      <w:r>
        <w:rPr>
          <w:rFonts w:ascii="Arial" w:cs="Arial" w:eastAsia="Arial" w:hAnsi="Arial"/>
          <w:sz w:val="16"/>
          <w:szCs w:val="16"/>
          <w:color w:val="auto"/>
        </w:rPr>
        <w:t>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Transactions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Joint Venture Agreement and Issuance of Shares by Capnia, Inc.</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December 2017, we entered into a joint venture agreement, or the Joint Venture Agreement, with OptAsia Healthcare Limited, a Hong Kong company, or OAHL, with respect to CoSense with the intent to sell shares of Capnia, Inc., our previously wholly-owned subsidiary into which our CoSense business had been transferred, to OAHL. Under the terms of the Joint Venture Agreement, OAHL agreed to invest up to $2.2 million to purchase shares of our Capnia subsidiary on an incremental quarterly basis commencing in December 2017. OAHL was also responsible for funding a portion of the Capnia operations. For financial reporting purposes, Capnia’s assets, liabities and results of operations had historically been consolidated with ours.</w:t>
      </w:r>
    </w:p>
    <w:p>
      <w:pPr>
        <w:spacing w:after="0" w:line="158" w:lineRule="exact"/>
        <w:rPr>
          <w:sz w:val="20"/>
          <w:szCs w:val="20"/>
          <w:color w:val="auto"/>
        </w:rPr>
      </w:pPr>
    </w:p>
    <w:p>
      <w:pPr>
        <w:jc w:val="both"/>
        <w:ind w:right="180" w:firstLine="598"/>
        <w:spacing w:after="0" w:line="257" w:lineRule="auto"/>
        <w:rPr>
          <w:sz w:val="20"/>
          <w:szCs w:val="20"/>
          <w:color w:val="auto"/>
        </w:rPr>
      </w:pPr>
      <w:r>
        <w:rPr>
          <w:rFonts w:ascii="Arial" w:cs="Arial" w:eastAsia="Arial" w:hAnsi="Arial"/>
          <w:sz w:val="18"/>
          <w:szCs w:val="18"/>
          <w:color w:val="auto"/>
        </w:rPr>
        <w:t>In October 2018, we determined and agreed that the cumulative investment made by OAHL exceeded $1.2 million as dictated by the Joint Venture Agreement between us and OAHL. Accordingly, on October 16, 2018, Capnia issued 1,690,322 shares of its common stock to OAHL, representing 53% of its outstanding shares. After the issuance by Capnia, we no longer held a controlling interest in Capnia. The transfer of the 53% ownership stake resulted in the deconsolidation of Capnia from our financial statements and a $1.9 million gain recognized in the fourth quarter of 2018. Our remaining 47% investment in Capnia was then classified as an equity method investment.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September 2019, we sold our remaining 47% investment in Capnia to Sinon Investments LLC, or Sinon, for a total purchase price of $500,000.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the transaction, we have no interest remaining in Capnia and the previous joint venture agreement with OAHL has been terminated.</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2018 PIPE Offering</w:t>
      </w:r>
    </w:p>
    <w:p>
      <w:pPr>
        <w:spacing w:after="0" w:line="117"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the Company prepared and filed a registration statement with the SEC to register for resale the 2018 Resale Shares. The registration statement was declared effective in April 2019. This offering is referred to herein as the 2018 PIPE Offering and the warrants issued therein are referred to as the 2018 PIPE Warrants.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left="600"/>
        <w:spacing w:after="0"/>
        <w:rPr>
          <w:sz w:val="20"/>
          <w:szCs w:val="20"/>
          <w:color w:val="auto"/>
        </w:rPr>
      </w:pPr>
      <w:r>
        <w:rPr>
          <w:rFonts w:ascii="Arial" w:cs="Arial" w:eastAsia="Arial" w:hAnsi="Arial"/>
          <w:sz w:val="18"/>
          <w:szCs w:val="18"/>
          <w:b w:val="1"/>
          <w:bCs w:val="1"/>
          <w:i w:val="1"/>
          <w:iCs w:val="1"/>
          <w:color w:val="auto"/>
        </w:rPr>
        <w:t>2019 Public Offering</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On October 25, 2019, we sold 12,841,667 shares of common stock in an underwritten public offering at a price of $1.20 per share for net proceeds of $14.5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As of December 31, 2019, we had twelve full-time employees and thirteen full-time or part-time consultants providing services to us. None of our employees is represented by a labor union or covered by collective bargaining agreements. We consider our relationship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corporate offices are located at 203 Redwood Shores Parkway, Suite 500, Redwood City, California 94065 and our telephone number is</w:t>
      </w:r>
    </w:p>
    <w:p>
      <w:pPr>
        <w:spacing w:after="0" w:line="46" w:lineRule="exact"/>
        <w:rPr>
          <w:sz w:val="20"/>
          <w:szCs w:val="20"/>
          <w:color w:val="auto"/>
        </w:rPr>
      </w:pPr>
    </w:p>
    <w:p>
      <w:pPr>
        <w:ind w:firstLine="8"/>
        <w:spacing w:after="0" w:line="271" w:lineRule="auto"/>
        <w:tabs>
          <w:tab w:leader="none" w:pos="435" w:val="left"/>
        </w:tabs>
        <w:numPr>
          <w:ilvl w:val="0"/>
          <w:numId w:val="7"/>
        </w:numPr>
        <w:rPr>
          <w:rFonts w:ascii="Arial" w:cs="Arial" w:eastAsia="Arial" w:hAnsi="Arial"/>
          <w:sz w:val="17"/>
          <w:szCs w:val="17"/>
          <w:color w:val="auto"/>
        </w:rPr>
      </w:pPr>
      <w:r>
        <w:rPr>
          <w:rFonts w:ascii="Arial" w:cs="Arial" w:eastAsia="Arial" w:hAnsi="Arial"/>
          <w:sz w:val="17"/>
          <w:szCs w:val="17"/>
          <w:color w:val="auto"/>
        </w:rPr>
        <w:t>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together with all of the other information in this Annual Report on Form 10-K,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primarily a clinical-stage company with no approved products, which makes assessment of our future viability difficult.</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significantly dependent upon the success of DCCR, our sole therapeutic product candidate.</w:t>
      </w:r>
    </w:p>
    <w:p>
      <w:pPr>
        <w:spacing w:after="0" w:line="117"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17" w:lineRule="exact"/>
        <w:rPr>
          <w:rFonts w:ascii="Arial" w:cs="Arial" w:eastAsia="Arial" w:hAnsi="Arial"/>
          <w:sz w:val="18"/>
          <w:szCs w:val="18"/>
          <w:color w:val="auto"/>
        </w:rPr>
      </w:pPr>
    </w:p>
    <w:p>
      <w:pPr>
        <w:ind w:left="1040" w:right="940" w:hanging="438"/>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third-party payers;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ind w:right="240" w:firstLine="59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9"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realization of assets and the satisfaction of liabilities in the normal course of business. As of December 31, 2019, we have incurred significant operating losses since inception and continue to generate losses from operations and have an accumulated deficit of $157.8 million. These matters raise substantial doubt about our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Commercial results have been limited and we have not generated significant revenues. We cannot assure our stockholders that our revenues will be sufficient to fund our operations, including expenses related to our current ongoing clinical trial of DCCR. If adequate funds are not available, we may be required to curtail our operations significantly or to obtain funds through dilutive financings or entering into arrangements with collaborative partners or others that may require us to relinquish rights to certain of our technologies or products that we would not otherwise relinquish.</w:t>
      </w:r>
    </w:p>
    <w:p>
      <w:pPr>
        <w:spacing w:after="0" w:line="154"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At December 31, 2019, our cash balance was $20.7 million. We intend to raise additional capital, either through debt or equity financings to achieve our 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60"/>
        <w:spacing w:after="0" w:line="287" w:lineRule="auto"/>
        <w:rPr>
          <w:sz w:val="20"/>
          <w:szCs w:val="20"/>
          <w:color w:val="auto"/>
        </w:rPr>
      </w:pPr>
      <w:r>
        <w:rPr>
          <w:rFonts w:ascii="Arial" w:cs="Arial" w:eastAsia="Arial" w:hAnsi="Arial"/>
          <w:sz w:val="16"/>
          <w:szCs w:val="16"/>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2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5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December 31, 2019, we had an accumulated deficit of $157.8 million.</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117"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040" w:right="360" w:hanging="438"/>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040" w:right="860" w:hanging="438"/>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find suitable global and U.S. distribution partners to help us market, sell and distribute our products in other markets;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maintain and protect our intellectual property rights and avoid third-party patent interference or patent infringement claims; and</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54"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62"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040" w:hanging="438"/>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040" w:right="380" w:hanging="438"/>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globally, of any of our planned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15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040" w:right="180" w:hanging="438"/>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left="1040" w:hanging="438"/>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28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6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6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70" w:lineRule="exact"/>
        <w:rPr>
          <w:sz w:val="20"/>
          <w:szCs w:val="20"/>
          <w:color w:val="auto"/>
        </w:rPr>
      </w:pPr>
    </w:p>
    <w:p>
      <w:pPr>
        <w:ind w:left="1040" w:right="640" w:hanging="438"/>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040" w:right="320" w:hanging="438"/>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in-patient care and treatment decisions;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2" w:name="page23"/>
    <w:bookmarkEnd w:id="22"/>
    <w:p>
      <w:pPr>
        <w:ind w:left="1040" w:right="440" w:hanging="438"/>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payers will cover and pay for such tests and, if so, whether they will adequately reimburse us.</w:t>
      </w:r>
    </w:p>
    <w:p>
      <w:pPr>
        <w:spacing w:after="0" w:line="17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274"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17" w:lineRule="exact"/>
        <w:rPr>
          <w:sz w:val="20"/>
          <w:szCs w:val="20"/>
          <w:color w:val="auto"/>
        </w:rPr>
      </w:pPr>
    </w:p>
    <w:p>
      <w:pPr>
        <w:ind w:left="1040" w:hanging="43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040" w:right="320" w:hanging="438"/>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23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140" w:lineRule="exact"/>
        <w:rPr>
          <w:sz w:val="20"/>
          <w:szCs w:val="20"/>
          <w:color w:val="auto"/>
        </w:rPr>
      </w:pPr>
    </w:p>
    <w:p>
      <w:pPr>
        <w:jc w:val="both"/>
        <w:ind w:right="340" w:firstLine="598"/>
        <w:spacing w:after="0" w:line="312" w:lineRule="auto"/>
        <w:rPr>
          <w:sz w:val="20"/>
          <w:szCs w:val="20"/>
          <w:color w:val="auto"/>
        </w:rPr>
      </w:pPr>
      <w:r>
        <w:rPr>
          <w:rFonts w:ascii="Arial" w:cs="Arial" w:eastAsia="Arial" w:hAnsi="Arial"/>
          <w:sz w:val="16"/>
          <w:szCs w:val="16"/>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products justifies payment for the device and consumables at adequate pricing levels. We need to hire additional commercial, scientific, technical and other personnel to support this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29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73"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040" w:right="200" w:hanging="438"/>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040" w:right="120" w:hanging="438"/>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1040" w:hanging="438"/>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040" w:hanging="438"/>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040" w:right="520" w:hanging="438"/>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040" w:hanging="438"/>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040" w:right="800" w:hanging="438"/>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170"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5620" w:right="5340" w:hanging="5018"/>
        <w:spacing w:after="0" w:line="624" w:lineRule="auto"/>
        <w:tabs>
          <w:tab w:leader="none" w:pos="10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planned products;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225"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 w:lineRule="exact"/>
        <w:rPr>
          <w:sz w:val="20"/>
          <w:szCs w:val="20"/>
          <w:color w:val="auto"/>
        </w:rPr>
      </w:pPr>
    </w:p>
    <w:p>
      <w:pPr>
        <w:ind w:right="140" w:firstLine="598"/>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78"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73" w:lineRule="exact"/>
        <w:rPr>
          <w:sz w:val="20"/>
          <w:szCs w:val="20"/>
          <w:color w:val="auto"/>
        </w:rPr>
      </w:pPr>
    </w:p>
    <w:p>
      <w:pPr>
        <w:ind w:left="1040" w:right="300" w:hanging="438"/>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5" w:name="page26"/>
    <w:bookmarkEnd w:id="25"/>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institutional review board, or IRB, approval at each clinical trial site;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8"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There has recently been increased activity in the development of drugs to treat PWS. We are aware of eight other current or proposed clinical trials evaluating PWS therapies. If all of these clinical trials are ongoing concurrently, given the limited number of patients, it may hamper recruitment and enrollment of qualified patients for our current trial of DCCR in PWS.</w:t>
      </w:r>
    </w:p>
    <w:p>
      <w:pPr>
        <w:spacing w:after="0" w:line="18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30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16"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320"/>
        <w:spacing w:after="0" w:line="312" w:lineRule="auto"/>
        <w:rPr>
          <w:sz w:val="20"/>
          <w:szCs w:val="20"/>
          <w:color w:val="auto"/>
        </w:rPr>
      </w:pPr>
      <w:r>
        <w:rPr>
          <w:rFonts w:ascii="Arial" w:cs="Arial" w:eastAsia="Arial" w:hAnsi="Arial"/>
          <w:sz w:val="16"/>
          <w:szCs w:val="16"/>
          <w:color w:val="auto"/>
        </w:rPr>
        <w:t>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39" w:lineRule="exact"/>
        <w:rPr>
          <w:sz w:val="20"/>
          <w:szCs w:val="20"/>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17" w:lineRule="exact"/>
        <w:rPr>
          <w:rFonts w:ascii="Arial" w:cs="Arial" w:eastAsia="Arial" w:hAnsi="Arial"/>
          <w:sz w:val="18"/>
          <w:szCs w:val="18"/>
          <w:color w:val="auto"/>
        </w:rPr>
      </w:pPr>
    </w:p>
    <w:p>
      <w:pPr>
        <w:ind w:left="1040" w:right="220" w:hanging="438"/>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demonstrate that clinical or other benefits of our product candidates outweigh any safety or other perceived risks;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17" w:lineRule="exact"/>
        <w:rPr>
          <w:rFonts w:ascii="Arial" w:cs="Arial" w:eastAsia="Arial" w:hAnsi="Arial"/>
          <w:sz w:val="18"/>
          <w:szCs w:val="18"/>
          <w:color w:val="auto"/>
        </w:rPr>
      </w:pPr>
    </w:p>
    <w:p>
      <w:pPr>
        <w:ind w:left="1040" w:right="320" w:hanging="438"/>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2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6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14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28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39"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18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right="18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3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040" w:right="12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62"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152"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5"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right="100"/>
        <w:spacing w:after="0" w:line="271" w:lineRule="auto"/>
        <w:rPr>
          <w:sz w:val="20"/>
          <w:szCs w:val="20"/>
          <w:color w:val="auto"/>
        </w:rPr>
      </w:pPr>
      <w:r>
        <w:rPr>
          <w:rFonts w:ascii="Arial" w:cs="Arial" w:eastAsia="Arial" w:hAnsi="Arial"/>
          <w:sz w:val="17"/>
          <w:szCs w:val="17"/>
          <w:color w:val="auto"/>
        </w:rPr>
        <w:t>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7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ind w:right="20" w:firstLine="598"/>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183"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117"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 xml:space="preserve">We have experienced changes in our executive leadership in the past. David O’Toole, our Senior Vice President and Chief Financial Officer, resigned from employment effective September 11, 2017. Mr. Jonathan Wolter, a partner at FLG Partners, LLC, was retained as our interim Chief Financial Officer and on May 30, 2018, was appointed Chief Financial Officer. </w:t>
      </w:r>
      <w:r>
        <w:rPr>
          <w:rFonts w:ascii="Arial" w:cs="Arial" w:eastAsia="Arial" w:hAnsi="Arial"/>
          <w:sz w:val="16"/>
          <w:szCs w:val="16"/>
          <w:color w:val="212529"/>
        </w:rPr>
        <w:t>On November 14, 2019, we amended our agreement with FLG Partners LLC, to replace</w:t>
      </w:r>
    </w:p>
    <w:p>
      <w:pPr>
        <w:ind w:right="320"/>
        <w:spacing w:after="0" w:line="323" w:lineRule="auto"/>
        <w:rPr>
          <w:sz w:val="20"/>
          <w:szCs w:val="20"/>
          <w:color w:val="auto"/>
        </w:rPr>
      </w:pPr>
      <w:r>
        <w:rPr>
          <w:rFonts w:ascii="Arial" w:cs="Arial" w:eastAsia="Arial" w:hAnsi="Arial"/>
          <w:sz w:val="16"/>
          <w:szCs w:val="16"/>
          <w:color w:val="212529"/>
        </w:rPr>
        <w:t>Mr. Jonathan Wolter with Mr. James Mackaness as Chief Financial Officer, after Mr. Wolter accepted a full-time position at another company and was therefore no longer available to continue his engagement with us. P</w:t>
      </w:r>
      <w:r>
        <w:rPr>
          <w:rFonts w:ascii="Arial" w:cs="Arial" w:eastAsia="Arial" w:hAnsi="Arial"/>
          <w:sz w:val="16"/>
          <w:szCs w:val="16"/>
          <w:color w:val="000000"/>
        </w:rPr>
        <w:t>atricia Hirano was appointed Vice President of Regulatory Affairs on January 1, 2019.</w:t>
      </w:r>
    </w:p>
    <w:p>
      <w:pPr>
        <w:spacing w:after="0" w:line="13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93" w:lineRule="exact"/>
        <w:rPr>
          <w:sz w:val="20"/>
          <w:szCs w:val="20"/>
          <w:color w:val="auto"/>
        </w:rPr>
      </w:pPr>
    </w:p>
    <w:p>
      <w:pPr>
        <w:ind w:right="500" w:firstLine="598"/>
        <w:spacing w:after="0" w:line="308" w:lineRule="auto"/>
        <w:rPr>
          <w:sz w:val="20"/>
          <w:szCs w:val="20"/>
          <w:color w:val="auto"/>
        </w:rPr>
      </w:pPr>
      <w:r>
        <w:rPr>
          <w:rFonts w:ascii="Arial" w:cs="Arial" w:eastAsia="Arial" w:hAnsi="Arial"/>
          <w:sz w:val="17"/>
          <w:szCs w:val="17"/>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25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62"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82"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62"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62" w:lineRule="exact"/>
        <w:rPr>
          <w:sz w:val="20"/>
          <w:szCs w:val="20"/>
          <w:color w:val="auto"/>
        </w:rPr>
      </w:pPr>
    </w:p>
    <w:p>
      <w:pPr>
        <w:ind w:left="1040" w:right="68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right="48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payer systems, multiple payer-reimbursement regimes or self-pay systems;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17" w:lineRule="exact"/>
        <w:rPr>
          <w:rFonts w:ascii="Arial" w:cs="Arial" w:eastAsia="Arial" w:hAnsi="Arial"/>
          <w:sz w:val="18"/>
          <w:szCs w:val="18"/>
          <w:color w:val="auto"/>
        </w:rPr>
      </w:pPr>
    </w:p>
    <w:p>
      <w:pPr>
        <w:ind w:left="1040" w:right="52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040" w:right="64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62" w:lineRule="exact"/>
        <w:rPr>
          <w:rFonts w:ascii="Arial" w:cs="Arial" w:eastAsia="Arial" w:hAnsi="Arial"/>
          <w:sz w:val="18"/>
          <w:szCs w:val="18"/>
          <w:color w:val="auto"/>
        </w:rPr>
      </w:pPr>
    </w:p>
    <w:p>
      <w:pPr>
        <w:ind w:left="1040" w:right="6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040" w:right="620" w:hanging="438"/>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117" w:lineRule="exact"/>
        <w:rPr>
          <w:sz w:val="20"/>
          <w:szCs w:val="20"/>
          <w:color w:val="auto"/>
        </w:rPr>
      </w:pPr>
    </w:p>
    <w:p>
      <w:pPr>
        <w:jc w:val="both"/>
        <w:ind w:right="440" w:firstLine="598"/>
        <w:spacing w:after="0" w:line="264" w:lineRule="auto"/>
        <w:rPr>
          <w:sz w:val="20"/>
          <w:szCs w:val="20"/>
          <w:color w:val="auto"/>
        </w:rPr>
      </w:pPr>
      <w:r>
        <w:rPr>
          <w:rFonts w:ascii="Arial" w:cs="Arial" w:eastAsia="Arial" w:hAnsi="Arial"/>
          <w:sz w:val="18"/>
          <w:szCs w:val="18"/>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2"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040" w:hanging="438"/>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040" w:right="380" w:hanging="438"/>
        <w:spacing w:after="0" w:line="286"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57" w:lineRule="exact"/>
        <w:rPr>
          <w:rFonts w:ascii="Arial" w:cs="Arial" w:eastAsia="Arial" w:hAnsi="Arial"/>
          <w:sz w:val="17"/>
          <w:szCs w:val="17"/>
          <w:color w:val="auto"/>
        </w:rPr>
      </w:pPr>
    </w:p>
    <w:p>
      <w:pPr>
        <w:ind w:left="1040" w:right="400" w:hanging="438"/>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38" w:lineRule="exact"/>
        <w:rPr>
          <w:rFonts w:ascii="Arial" w:cs="Arial" w:eastAsia="Arial" w:hAnsi="Arial"/>
          <w:sz w:val="17"/>
          <w:szCs w:val="17"/>
          <w:color w:val="auto"/>
        </w:rPr>
      </w:pPr>
    </w:p>
    <w:p>
      <w:pPr>
        <w:ind w:left="1040" w:hanging="438"/>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040" w:right="52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040" w:right="6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62" w:lineRule="exact"/>
        <w:rPr>
          <w:rFonts w:ascii="Arial" w:cs="Arial" w:eastAsia="Arial" w:hAnsi="Arial"/>
          <w:sz w:val="18"/>
          <w:szCs w:val="18"/>
          <w:color w:val="auto"/>
        </w:rPr>
      </w:pPr>
    </w:p>
    <w:p>
      <w:pPr>
        <w:ind w:left="1040" w:right="116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040" w:right="160" w:hanging="438"/>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0"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As of December 31, 2019, we had twelve employees and thirteen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71" w:lineRule="exact"/>
        <w:rPr>
          <w:sz w:val="20"/>
          <w:szCs w:val="20"/>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040" w:hanging="438"/>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40" w:hanging="438"/>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right="220" w:hanging="438"/>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35" w:name="page36"/>
    <w:bookmarkEnd w:id="35"/>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62"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Even if we are successful in defending against intellectual property claims, litigation or other legal proceedings relating to such claims may cause us to incur significant expenses and could distract our technical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8"/>
          <w:szCs w:val="18"/>
          <w:color w:val="auto"/>
        </w:rPr>
        <w:t>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6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81"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25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73"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60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62"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78"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2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6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40" w:hanging="438"/>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40" w:lineRule="exact"/>
        <w:rPr>
          <w:rFonts w:ascii="Arial" w:cs="Arial" w:eastAsia="Arial" w:hAnsi="Arial"/>
          <w:sz w:val="16"/>
          <w:szCs w:val="16"/>
          <w:color w:val="auto"/>
        </w:rPr>
      </w:pPr>
    </w:p>
    <w:p>
      <w:pPr>
        <w:ind w:left="1040" w:right="220" w:hanging="438"/>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040" w:right="140" w:hanging="438"/>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040" w:right="40" w:hanging="438"/>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760" w:hanging="438"/>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43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39" w:name="page40"/>
    <w:bookmarkEnd w:id="39"/>
    <w:p>
      <w:pPr>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30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6"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152"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refusal to accept or approve applications for marketing approval of new drugs or biologics or supplements to approved applications filed by us;</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225"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ind w:firstLine="598"/>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62" w:lineRule="exact"/>
        <w:rPr>
          <w:sz w:val="20"/>
          <w:szCs w:val="20"/>
          <w:color w:val="auto"/>
        </w:rPr>
      </w:pPr>
    </w:p>
    <w:p>
      <w:pPr>
        <w:ind w:left="1040" w:right="260" w:hanging="438"/>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I. The drug candidate is given to a small number of healthy human control subjects or patients suffering from the indicated disease, to test for safety, dose tolerance, pharmacokinetics, metabolism, distribution and excretion.</w:t>
      </w:r>
    </w:p>
    <w:p>
      <w:pPr>
        <w:spacing w:after="0" w:line="62" w:lineRule="exact"/>
        <w:rPr>
          <w:rFonts w:ascii="Arial" w:cs="Arial" w:eastAsia="Arial" w:hAnsi="Arial"/>
          <w:sz w:val="18"/>
          <w:szCs w:val="18"/>
          <w:color w:val="auto"/>
        </w:rPr>
      </w:pPr>
    </w:p>
    <w:p>
      <w:pPr>
        <w:jc w:val="both"/>
        <w:ind w:left="1040" w:right="300" w:hanging="438"/>
        <w:spacing w:after="0" w:line="286"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Phase II.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I clinical trials to fail in the more rigorous Phase II clinical trials.</w:t>
      </w:r>
    </w:p>
    <w:p>
      <w:pPr>
        <w:spacing w:after="0" w:line="57" w:lineRule="exact"/>
        <w:rPr>
          <w:rFonts w:ascii="Arial" w:cs="Arial" w:eastAsia="Arial" w:hAnsi="Arial"/>
          <w:sz w:val="17"/>
          <w:szCs w:val="17"/>
          <w:color w:val="auto"/>
        </w:rPr>
      </w:pPr>
    </w:p>
    <w:p>
      <w:pPr>
        <w:ind w:left="1040" w:right="40" w:hanging="438"/>
        <w:spacing w:after="0" w:line="25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III. If a drug candidate appears to be effective and safe in Phase II clinical trials, Phase III clinical trials are commenced to confirm those results. Phase III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II clinical trials to fail in the more rigorous and extensive Phase III clinical trials.</w:t>
      </w:r>
    </w:p>
    <w:p>
      <w:pPr>
        <w:spacing w:after="0" w:line="188" w:lineRule="exact"/>
        <w:rPr>
          <w:sz w:val="20"/>
          <w:szCs w:val="20"/>
          <w:color w:val="auto"/>
        </w:rPr>
      </w:pPr>
    </w:p>
    <w:p>
      <w:pPr>
        <w:jc w:val="both"/>
        <w:ind w:right="20" w:firstLine="598"/>
        <w:spacing w:after="0" w:line="302" w:lineRule="auto"/>
        <w:rPr>
          <w:sz w:val="20"/>
          <w:szCs w:val="20"/>
          <w:color w:val="auto"/>
        </w:rPr>
      </w:pPr>
      <w:r>
        <w:rPr>
          <w:rFonts w:ascii="Arial" w:cs="Arial" w:eastAsia="Arial" w:hAnsi="Arial"/>
          <w:sz w:val="16"/>
          <w:szCs w:val="16"/>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5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180" w:firstLine="598"/>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FDA may also require Phase IV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73"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20"/>
        <w:spacing w:after="0" w:line="342" w:lineRule="auto"/>
        <w:rPr>
          <w:sz w:val="20"/>
          <w:szCs w:val="20"/>
          <w:color w:val="auto"/>
        </w:rPr>
      </w:pPr>
      <w:r>
        <w:rPr>
          <w:rFonts w:ascii="Arial" w:cs="Arial" w:eastAsia="Arial" w:hAnsi="Arial"/>
          <w:sz w:val="16"/>
          <w:szCs w:val="16"/>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6" w:lineRule="exact"/>
        <w:rPr>
          <w:sz w:val="20"/>
          <w:szCs w:val="20"/>
          <w:color w:val="auto"/>
        </w:rPr>
      </w:pPr>
    </w:p>
    <w:p>
      <w:pPr>
        <w:ind w:right="460" w:firstLine="598"/>
        <w:spacing w:after="0" w:line="302" w:lineRule="auto"/>
        <w:rPr>
          <w:sz w:val="20"/>
          <w:szCs w:val="20"/>
          <w:color w:val="auto"/>
        </w:rPr>
      </w:pPr>
      <w:r>
        <w:rPr>
          <w:rFonts w:ascii="Arial" w:cs="Arial" w:eastAsia="Arial" w:hAnsi="Arial"/>
          <w:sz w:val="16"/>
          <w:szCs w:val="16"/>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54"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6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58"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46" w:lineRule="exact"/>
        <w:rPr>
          <w:sz w:val="20"/>
          <w:szCs w:val="20"/>
          <w:color w:val="auto"/>
        </w:rPr>
      </w:pPr>
    </w:p>
    <w:p>
      <w:pPr>
        <w:ind w:left="1040" w:hanging="438"/>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140" w:lineRule="exact"/>
        <w:rPr>
          <w:rFonts w:ascii="Arial" w:cs="Arial" w:eastAsia="Arial" w:hAnsi="Arial"/>
          <w:sz w:val="16"/>
          <w:szCs w:val="16"/>
          <w:color w:val="auto"/>
        </w:rPr>
      </w:pPr>
    </w:p>
    <w:p>
      <w:pPr>
        <w:ind w:left="1040" w:hanging="438"/>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360" w:firstLine="598"/>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firstLine="598"/>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Drugs that are developed for rare diseases can be designated as Orphan Drugs. In the U.S., the disease or condition has an incidence of 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than 200,000 persons and in the E.U. the prevalence of the condition must be not more than 5 in 10,000 persons. In the U.S., orphan-designated drugs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up to 7-year market exclusivity. In the E.U., products granted orphan designation are subject to reduced fees for protocol assistance, marketing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authorization applications, inspections before authorization, applications for changes to marketing authorizations, and annual fees, access to the centralized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authorization procedure, and 10 years of market exclusivity.</w:t>
      </w:r>
    </w:p>
    <w:p>
      <w:pPr>
        <w:spacing w:after="0" w:line="21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We intend to seek distribution and marketing partners for our current products outside the U.S. and may market planned products in international markets.</w:t>
      </w:r>
    </w:p>
    <w:p>
      <w:pPr>
        <w:spacing w:after="0" w:line="170"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1040" w:right="240" w:hanging="438"/>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w:t>
      </w:r>
    </w:p>
    <w:p>
      <w:pPr>
        <w:spacing w:after="0" w:line="17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7" w:lineRule="exact"/>
        <w:rPr>
          <w:sz w:val="20"/>
          <w:szCs w:val="20"/>
          <w:color w:val="auto"/>
        </w:rPr>
      </w:pPr>
    </w:p>
    <w:p>
      <w:pPr>
        <w:ind w:left="1040" w:hanging="43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6" w:name="page47"/>
    <w:bookmarkEnd w:id="46"/>
    <w:p>
      <w:pPr>
        <w:ind w:firstLine="598"/>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2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9" w:lineRule="exact"/>
        <w:rPr>
          <w:sz w:val="20"/>
          <w:szCs w:val="20"/>
          <w:color w:val="auto"/>
        </w:rPr>
      </w:pPr>
    </w:p>
    <w:p>
      <w:pPr>
        <w:ind w:left="1040" w:right="60" w:hanging="438"/>
        <w:spacing w:after="0" w:line="25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8" w:lineRule="exact"/>
        <w:rPr>
          <w:rFonts w:ascii="Arial" w:cs="Arial" w:eastAsia="Arial" w:hAnsi="Arial"/>
          <w:sz w:val="18"/>
          <w:szCs w:val="18"/>
          <w:color w:val="auto"/>
        </w:rPr>
      </w:pPr>
    </w:p>
    <w:p>
      <w:pPr>
        <w:ind w:left="1040" w:right="380" w:hanging="438"/>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ind w:left="1040" w:right="140" w:hanging="438"/>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040" w:right="620" w:hanging="438"/>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520" w:hanging="438"/>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040" w:right="460" w:hanging="438"/>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7" w:name="page48"/>
    <w:bookmarkEnd w:id="47"/>
    <w:p>
      <w:pPr>
        <w:ind w:right="80" w:firstLine="598"/>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2019, through December 31, 2019, the high and low closing prices of our common stock ranged from $2.99 to $1.35.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DESTINY PWS, our ongoing Phase III trial of DCCR in Prader Willi Syndrome;</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other clinical studies of our products or those of our competitors;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right="760" w:hanging="438"/>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040" w:right="1000" w:hanging="438"/>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17" w:lineRule="exact"/>
        <w:rPr>
          <w:rFonts w:ascii="Arial" w:cs="Arial" w:eastAsia="Arial" w:hAnsi="Arial"/>
          <w:sz w:val="18"/>
          <w:szCs w:val="18"/>
          <w:color w:val="auto"/>
        </w:rPr>
      </w:pPr>
    </w:p>
    <w:p>
      <w:pPr>
        <w:ind w:left="1040" w:right="280" w:hanging="438"/>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8" w:name="page49"/>
    <w:bookmarkEnd w:id="48"/>
    <w:p>
      <w:pPr>
        <w:ind w:left="1040" w:hanging="438"/>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260" w:hanging="438"/>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22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6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16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have prepared and filed a registration statement with the SEC to register for resale the 2018 Resale Shares. The registration statement was declared effective in April 2019.</w:t>
      </w:r>
    </w:p>
    <w:p>
      <w:pPr>
        <w:spacing w:after="0" w:line="165"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On October 25, 2019, we sold 12,841,667 shares of common stock in an underwritten public offering at a price of $1.20 per share for net proceeds of $14.5 million.</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9" w:name="page50"/>
    <w:bookmarkEnd w:id="49"/>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Abingworth LLP, Vivo Ventures, Oracle Investment Management and Jack W. Schuler and their affiliates may have control over key decision making.</w:t>
      </w:r>
    </w:p>
    <w:p>
      <w:pPr>
        <w:spacing w:after="0" w:line="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Our executive officers, directors and principal stockholders own a majority of our outstanding common stock. Entities associated with Abingworth LLP, Crabtree Ventures, Nantahala Capital Management, LLC, Oracle Investment Management, Jack W. Schuler and our executive officers, directors and affiliated companies, as of December 31, 2019, own approximately 59 percent of our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2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2"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6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We currently do not have an internal audit group, and we will need to hire additional accounting and financial staff with appropriate public company experience and technical accounting knowledge.</w:t>
      </w:r>
    </w:p>
    <w:p>
      <w:pPr>
        <w:spacing w:after="0" w:line="188"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40"/>
        <w:spacing w:after="0" w:line="276" w:lineRule="auto"/>
        <w:rPr>
          <w:sz w:val="20"/>
          <w:szCs w:val="20"/>
          <w:color w:val="auto"/>
        </w:rPr>
      </w:pPr>
      <w:r>
        <w:rPr>
          <w:rFonts w:ascii="Arial" w:cs="Arial" w:eastAsia="Arial" w:hAnsi="Arial"/>
          <w:sz w:val="17"/>
          <w:szCs w:val="17"/>
          <w:color w:val="auto"/>
        </w:rPr>
        <w:t>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3"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 certain circumstances we may be required to settle the value of the Series C, 2017 PIPE Warrants and 2018 PIPE Warrants in cash.</w:t>
      </w:r>
    </w:p>
    <w:p>
      <w:pPr>
        <w:spacing w:after="0" w:line="129"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If, at any time while the Series C, 2017 PIPE Warrants and 2018 PIPE Warrants, or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have listed our common stock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14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C Warrants may exercise their right to acquire common stock and pay an exercise price of $31.25 per share prior to the expiration of the five-year term on March 4, 2020. Holders of the 2017 PIPE Warrants are entitled to purchase one share of our common stock at an exercise price equal to $2.00 per share prior to at the earlier of (i) December 15, 2020 or (ii) 30 days following positive Phase III results for DCCR tablet in Prader-Willi syndrome. Holders of the 2018 PIPE Warrants are entitled to purchase one share of our common stock at an exercise price equal to $2.00 per share prior to the expiration of the five-year term on December 21, 2023.</w:t>
      </w:r>
    </w:p>
    <w:p>
      <w:pPr>
        <w:spacing w:after="0" w:line="189"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Following the amendment of the Series D Common Stock Purchase Warrants, the holders may exercise their right to acquire common stock and pay an amended exercise price of $8.75 per share prior to the expiration of the five-year term on October 15, 2020. In certain circumstances, the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2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400" w:firstLine="598"/>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040" w:hanging="438"/>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040" w:right="280" w:hanging="438"/>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040" w:right="20" w:hanging="438"/>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040" w:right="20" w:hanging="438"/>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117" w:lineRule="exact"/>
        <w:rPr>
          <w:rFonts w:ascii="Arial" w:cs="Arial" w:eastAsia="Arial" w:hAnsi="Arial"/>
          <w:sz w:val="18"/>
          <w:szCs w:val="18"/>
          <w:color w:val="auto"/>
        </w:rPr>
      </w:pPr>
    </w:p>
    <w:p>
      <w:pPr>
        <w:ind w:left="1040" w:right="60" w:hanging="438"/>
        <w:spacing w:after="0" w:line="31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38" w:lineRule="exact"/>
        <w:rPr>
          <w:rFonts w:ascii="Arial" w:cs="Arial" w:eastAsia="Arial" w:hAnsi="Arial"/>
          <w:sz w:val="16"/>
          <w:szCs w:val="16"/>
          <w:color w:val="auto"/>
        </w:rPr>
      </w:pPr>
    </w:p>
    <w:p>
      <w:pPr>
        <w:ind w:left="1040" w:hanging="438"/>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124"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2"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3" w:name="page54"/>
    <w:bookmarkEnd w:id="53"/>
    <w:p>
      <w:pPr>
        <w:ind w:right="7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Our principal facilities consist of office space in Redwood City, California. We currently occupy 6,368 square feet of office space under a non-cancelable operating lease that terminates in May 2021.</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We believe that the facilities that we currently lease are adequate for our needs for the immediate future and that, should it be needed, additional space can be leased on commercially reasonable terms to accommodate any future growth.</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260" w:right="2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Our common stock is quoted on NASDAQ under the symbol “SLNO”. Our Series C Warrants, Series D Warrants, 2017 PIPE Warrants and 2018 PIPE Warrants are not traded on a national securities exchange.</w:t>
      </w:r>
    </w:p>
    <w:p>
      <w:pPr>
        <w:spacing w:after="0" w:line="170"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As of February 28, 2020, there were 56 shareholders of record for our common stock. A substantially greater number of stockholders may be “street name” or beneficial holders, whose shares are held of record by banks, brokers and other financial institutions.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Recent Sales of Unregistered Equity Securities</w:t>
      </w:r>
    </w:p>
    <w:p>
      <w:pPr>
        <w:spacing w:after="0" w:line="117" w:lineRule="exact"/>
        <w:rPr>
          <w:rFonts w:ascii="Arial" w:cs="Arial" w:eastAsia="Arial" w:hAnsi="Arial"/>
          <w:sz w:val="18"/>
          <w:szCs w:val="18"/>
          <w:i w:val="1"/>
          <w:iCs w:val="1"/>
          <w:color w:val="auto"/>
        </w:rPr>
      </w:pPr>
    </w:p>
    <w:p>
      <w:pPr>
        <w:ind w:left="1040" w:right="60" w:hanging="438"/>
        <w:spacing w:after="0" w:line="272" w:lineRule="auto"/>
        <w:tabs>
          <w:tab w:leader="none" w:pos="10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and net proceeds of $16.3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prepared and filed a registration statement with the SEC to register for resale the 2018 Resale Shares. The registration statement was declared effective in April 2019.</w:t>
      </w:r>
    </w:p>
    <w:p>
      <w:pPr>
        <w:spacing w:after="0" w:line="69" w:lineRule="exact"/>
        <w:rPr>
          <w:rFonts w:ascii="Arial" w:cs="Arial" w:eastAsia="Arial" w:hAnsi="Arial"/>
          <w:sz w:val="17"/>
          <w:szCs w:val="17"/>
          <w:color w:val="auto"/>
        </w:rPr>
      </w:pPr>
    </w:p>
    <w:p>
      <w:pPr>
        <w:ind w:left="1040" w:right="100" w:hanging="438"/>
        <w:spacing w:after="0" w:line="291"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and net proceeds of $13.8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ind w:firstLine="598"/>
        <w:spacing w:after="0" w:line="297" w:lineRule="auto"/>
        <w:rPr>
          <w:sz w:val="20"/>
          <w:szCs w:val="20"/>
          <w:color w:val="auto"/>
        </w:rPr>
      </w:pPr>
      <w:r>
        <w:rPr>
          <w:rFonts w:ascii="Arial" w:cs="Arial" w:eastAsia="Arial" w:hAnsi="Arial"/>
          <w:sz w:val="16"/>
          <w:szCs w:val="16"/>
          <w:color w:val="auto"/>
        </w:rPr>
        <w:t>Except as outlined above, none of the foregoing transactions involved any underwriters, underwriting discounts or commissions or any public offering. We believe that these transactions were exempt from the registration requirements of the Securities Act under Section 4(2) of the Securities Act as transactions by an issuer not involving any public offering. The recipients of securities in each of these transactions represented their intention to acquire the securities for investment only and not with a view to or for sale in connection with any distribution thereof and appropriate legends were affixed to the stock certificates and instruments issued in such transactions. All recipients had adequate access, through their relationships with us, to information about 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2017 PIPE Offering or 2018 PIPE Offering as described in our final prospectus filed with the SEC pursuant to Rule 424(b) for such transaction.</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6. SELECTED FINANCIAL INFORMATION</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Pursuant to Item 301(c) of Regulation S-K as a smaller reporting company, we are not required to provide the information required by this item.</w:t>
      </w: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 candidate, Diazoxide Choline Controlled Release tablits, or DCCR, a once-daily oral tablet for the treatment of Prader-Willi Syndrome, or PWC, is currently being evaluated in a Phase III clinical development program.</w:t>
      </w:r>
    </w:p>
    <w:p>
      <w:pPr>
        <w:spacing w:after="0" w:line="73"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 xml:space="preserve">We initially established our operations as a diversified healthcare company that developed and commercialized innovative diagnostics, devices and therapeutics addressing unmet medical needs, which consisted of: precision metering of gas flow technology marketed as Serenz </w:t>
      </w:r>
      <w:r>
        <w:rPr>
          <w:rFonts w:ascii="Arial" w:cs="Arial" w:eastAsia="Arial" w:hAnsi="Arial"/>
          <w:sz w:val="15"/>
          <w:szCs w:val="15"/>
          <w:color w:val="auto"/>
        </w:rPr>
        <w:t>®</w:t>
      </w:r>
      <w:r>
        <w:rPr>
          <w:rFonts w:ascii="Arial" w:cs="Arial" w:eastAsia="Arial" w:hAnsi="Arial"/>
          <w:sz w:val="18"/>
          <w:szCs w:val="18"/>
          <w:color w:val="auto"/>
        </w:rPr>
        <w:t xml:space="preserve"> Allergy Relief, or Serenz; CoSense </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On March 7, 2017, we completed a merger, or the Merger, with Essentialis. Essentialis’s efforts prior to the Merger were focused primarily on developing and testing product candidates that target the ATP-sensitive potassium channel, a metabolically-regulated membrane protein whose modulation has the potential to impact a wide range of rare metabolic, cardiovascular, and CNS diseases. Essentialis had tested DCCR as a treatment for PWS, a complex metabolic/neurobehavioral disorder. DCCR has orphan designation for the treatment of PWS in the United States, or U.S., as well as in the European Union, or E.U.</w:t>
      </w:r>
    </w:p>
    <w:p>
      <w:pPr>
        <w:spacing w:after="0" w:line="18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Subsequent to the Merger with Essentialis described above, we determined to divest, sell or otherwise dispose of its business efforts focused on the development and commercialization of its Serenz and CoSense technologies. Accordingly, and pursuant to ASC 205-20-45-10, the assets and liabilities related to the discontinued activities of CoSense and Serenz were presented separately in the balance sheet as held for sale items, and the related operations reported herein for the CoSense and Serenz activities are reported as discontinued operations in the statements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right="20" w:firstLine="598"/>
        <w:spacing w:after="0" w:line="255" w:lineRule="auto"/>
        <w:rPr>
          <w:sz w:val="20"/>
          <w:szCs w:val="20"/>
          <w:color w:val="auto"/>
        </w:rPr>
      </w:pPr>
      <w:r>
        <w:rPr>
          <w:rFonts w:ascii="Arial" w:cs="Arial" w:eastAsia="Arial" w:hAnsi="Arial"/>
          <w:sz w:val="18"/>
          <w:szCs w:val="18"/>
          <w:color w:val="auto"/>
        </w:rPr>
        <w:t>On December 4, 2017, we and our then wholly-owned subsidiary Capnia, entered into a joint venture with OptAsia Healthcare Limited, or OAHL, with the purpose of developing and commercializing CoSense with the intent to transfer ownership of Capnia to OAHL. During October 2018, Capnia issued 1,690,322 shares of its common stock to OAHL, representing 53% of its outstanding shares, after which we no longer held a controlling interest in Capnia. Accordingly, we deconsolidated Capnia’s financial statements from ours and our remaining minority interest in Capnia was reported as a Minority interest investment in our consolidated balance sheet. During September 2019, the Company sold its remaining 47% investment in Capnia to Sinon Investments LLC, or Sinon. Following the transaction, the Company has no interest remaining in Capnia and the previous joint venture agreement with OAHL has been terminated.</w:t>
      </w:r>
    </w:p>
    <w:p>
      <w:pPr>
        <w:spacing w:after="0" w:line="189"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On July 30, 2018, the FDA has granted Fast Track designation to DCCR for the treatment of PWS. We are currently conducting a Phase III clinical trial of DCCR for the treatment of PWS.</w:t>
      </w:r>
    </w:p>
    <w:p>
      <w:pPr>
        <w:spacing w:after="0" w:line="170" w:lineRule="exact"/>
        <w:rPr>
          <w:sz w:val="20"/>
          <w:szCs w:val="20"/>
          <w:color w:val="auto"/>
        </w:rPr>
      </w:pPr>
    </w:p>
    <w:p>
      <w:pPr>
        <w:jc w:val="both"/>
        <w:ind w:right="460" w:firstLine="678"/>
        <w:spacing w:after="0" w:line="312" w:lineRule="auto"/>
        <w:rPr>
          <w:sz w:val="20"/>
          <w:szCs w:val="20"/>
          <w:color w:val="auto"/>
        </w:rPr>
      </w:pPr>
      <w:r>
        <w:rPr>
          <w:rFonts w:ascii="Arial" w:cs="Arial" w:eastAsia="Arial" w:hAnsi="Arial"/>
          <w:sz w:val="16"/>
          <w:szCs w:val="16"/>
          <w:color w:val="auto"/>
        </w:rPr>
        <w:t>As of December 31, 2019, we had an accumulated deficit of $157.8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Financings</w:t>
      </w:r>
    </w:p>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2017 PIPE Offering</w:t>
      </w:r>
    </w:p>
    <w:p>
      <w:pPr>
        <w:spacing w:after="0" w:line="11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2018 PIPE Offering</w:t>
      </w:r>
    </w:p>
    <w:p>
      <w:pPr>
        <w:spacing w:after="0" w:line="117"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prepared and filed a registration statement with the SEC to register for resale the 2018 Resale Shares. The registration statement was declared effective in April 2019.</w:t>
      </w:r>
    </w:p>
    <w:p>
      <w:pPr>
        <w:spacing w:after="0" w:line="3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2019 Public Offering</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On October 25, 2019, we sold 12,841,667 shares of common stock in an underwritten public offering at a price of $1.20 per share for net proceeds of $14.5 million.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have not generated net income from operations to date, and at December 31, 2019 we had an accumulated deficit of $157.8 million, primarily as a result of research and development and general and administrative expenses. We may never be successful in commercializing our novel therapeutics products for the treatment of rare diseases.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right="640"/>
        <w:spacing w:after="0" w:line="277" w:lineRule="auto"/>
        <w:rPr>
          <w:sz w:val="20"/>
          <w:szCs w:val="20"/>
          <w:color w:val="auto"/>
        </w:rPr>
      </w:pPr>
      <w:r>
        <w:rPr>
          <w:rFonts w:ascii="Arial" w:cs="Arial" w:eastAsia="Arial" w:hAnsi="Arial"/>
          <w:sz w:val="18"/>
          <w:szCs w:val="18"/>
          <w:color w:val="auto"/>
        </w:rPr>
        <w:t>Accordingly, we expect to incur significant losses from operations for the foreseeable future, and there can be no assurance that we will ever generate significant revenue or profits.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To date, we have earned no revenue from the commercial development and sale of novel therapeutic products and the revenue resulting from commercialization and sale of the CoSense and Serenz products is reported in discontinued operations.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professional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 Research and development expenses resulting from the development of novel therapeutic products are reported in continuing operations, and research and development expenses resulting from the development of the CoSense and Serenz products are reported in discontinued operations.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Sales and marketing expenses consist principally of salaries and benefits, professional consulting fees, and other expenses associated with commercial activities. We anticipate these expenses will increase significantly in future periods, reflecting the increased level of sales and marketing activity necessary for the commercial launch of a successful future therapeutic drug candidate. We have to date incurred no sales and marketing expenses related to the sale and commercialization of novel therapeutic products, and the sales and marketing expenses related to the CoSense and Serenz products are reported in discontinued operations.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General and administrative expenses consist principally of salaries and benefits,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 General and administrative expenses incurred in operating all components of our business are classified as continuing operations and are not allocated to specific research and development or sales and marketing activities that have been discontinued. General and administrative expenses, such as rent, that are incurred specifically to directly support research and development and sales and marketing activities for the CoSense and Serenz products are reported in discontinued operations.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Change in fair value of contingent consideration represents the change in the fair value of the additional consideration that we expect to pay Essentialis stockholders based on our assessment of the expected likelihood of achieving commercial sales milestones of $100.0 million and $200.0 million in future years.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Other income (expense) is primarily comprised of the gain recognized from the transfer of the majority ownership and resulting deconsolidation of Capnia, the loss from recording our minority interest investment in Capnia after the deconsolidation, and changes in the fair value of the 2017 and 2018 PIPE common stock warrant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audited financial statements, which have been prepared in accordance with GAAP. The preparation of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spacing w:after="0" w:line="276" w:lineRule="auto"/>
        <w:rPr>
          <w:sz w:val="20"/>
          <w:szCs w:val="20"/>
          <w:color w:val="auto"/>
        </w:rPr>
      </w:pPr>
      <w:r>
        <w:rPr>
          <w:rFonts w:ascii="Arial" w:cs="Arial" w:eastAsia="Arial" w:hAnsi="Arial"/>
          <w:sz w:val="17"/>
          <w:szCs w:val="17"/>
          <w:color w:val="auto"/>
        </w:rPr>
        <w:t>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Series A, Series C, 2017 PIPE Warrants, and the 2018 PIPE Warrants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 xml:space="preserve">We account for the Series A, Series C, 2017 PIPE warrants, and 2018 PIPE warrants, collectively referred to as the Warrants,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our sole control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classified the Warrants as liabilities at their fair value and re-measure the warrants at each balance sheet date until they are exercised or expire.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change in the fair value is recognized as other income (expense) in the statements of operations. The Series A warrants expired in November 2019.</w:t>
      </w:r>
    </w:p>
    <w:p>
      <w:pPr>
        <w:spacing w:after="0" w:line="34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40" w:firstLine="598"/>
        <w:spacing w:after="0" w:line="258"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Research and Development expenses are reported as Discontinued Operations.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98"/>
        <w:spacing w:after="0" w:line="288" w:lineRule="auto"/>
        <w:rPr>
          <w:sz w:val="20"/>
          <w:szCs w:val="20"/>
          <w:color w:val="auto"/>
        </w:rPr>
      </w:pPr>
      <w:r>
        <w:rPr>
          <w:rFonts w:ascii="Arial" w:cs="Arial" w:eastAsia="Arial" w:hAnsi="Arial"/>
          <w:sz w:val="16"/>
          <w:szCs w:val="16"/>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w:t>
      </w:r>
    </w:p>
    <w:p>
      <w:pPr>
        <w:jc w:val="both"/>
        <w:ind w:right="20"/>
        <w:spacing w:after="0" w:line="261" w:lineRule="auto"/>
        <w:rPr>
          <w:sz w:val="20"/>
          <w:szCs w:val="20"/>
          <w:color w:val="auto"/>
        </w:rPr>
      </w:pPr>
      <w:r>
        <w:rPr>
          <w:rFonts w:ascii="Arial" w:cs="Arial" w:eastAsia="Arial" w:hAnsi="Arial"/>
          <w:sz w:val="18"/>
          <w:szCs w:val="18"/>
          <w:color w:val="auto"/>
        </w:rPr>
        <w:t>The grant date fair value of stock-based awards is recognized on a straight-line basis over the requisite service period, which is generally the vesting period of the award. Stock options generally vest over four years.</w:t>
      </w:r>
    </w:p>
    <w:p>
      <w:pPr>
        <w:spacing w:after="0" w:line="184"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040" w:right="60" w:hanging="438"/>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calculate the estimated volatility rate based on the volatility of our common stock together with comparable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our industry.</w:t>
      </w:r>
    </w:p>
    <w:p>
      <w:pPr>
        <w:spacing w:after="0" w:line="62" w:lineRule="exact"/>
        <w:rPr>
          <w:rFonts w:ascii="Arial" w:cs="Arial" w:eastAsia="Arial" w:hAnsi="Arial"/>
          <w:sz w:val="18"/>
          <w:szCs w:val="18"/>
          <w:color w:val="auto"/>
        </w:rPr>
      </w:pPr>
    </w:p>
    <w:p>
      <w:pPr>
        <w:ind w:left="1040" w:right="220" w:hanging="438"/>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do not believe we are able to rely on our historical exercise and post-vesting termination activity to provide accurate data</w:t>
      </w:r>
      <w:r>
        <w:rPr>
          <w:rFonts w:ascii="Arial" w:cs="Arial" w:eastAsia="Arial" w:hAnsi="Arial"/>
          <w:sz w:val="18"/>
          <w:szCs w:val="18"/>
          <w:i w:val="1"/>
          <w:iCs w:val="1"/>
          <w:color w:val="auto"/>
        </w:rPr>
        <w:t xml:space="preserve"> </w:t>
      </w:r>
      <w:r>
        <w:rPr>
          <w:rFonts w:ascii="Arial" w:cs="Arial" w:eastAsia="Arial" w:hAnsi="Arial"/>
          <w:sz w:val="18"/>
          <w:szCs w:val="18"/>
          <w:color w:val="auto"/>
        </w:rPr>
        <w:t>for estimating the expected term for use in estimating the fair value-based measurement of our options. Therefore, we have opted to use the “simplified method” for estimating the expected term of options.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ind w:left="1040" w:right="560" w:hanging="438"/>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right="80" w:hanging="438"/>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we used an expected dividend yield of zero.</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statements of operations.</w:t>
      </w:r>
    </w:p>
    <w:p>
      <w:pPr>
        <w:spacing w:after="0" w:line="187"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Our agreement to pay the selling shareholders of Essentialis for achieving certain commercial milestones resulted in the recognition of a contingent consideration, which was recorded at the inception of the transaction, and subsequent changes to estimate of the amounts of contingent consideration to be paid will be recognized as expenses or income in the statements of operations. The fair value of the contingent consideration is based on our analysis of the likelihood of the drug indication moving from Phase II through approval in the Federal Drug Administration approval process and then reaching the cumulative revenue milestones.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 xml:space="preserve">We account for the warrants in accordance with the guidance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classify common stock purchase warrants and other free standing derivative financial instruments as equity if the contracts (i) require physical settlement or net-share settlement or (ii) give us a choice of net-cash settlement or settlement in its own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our sole control or variable settlement provision that cause them to not be indexed to our stock. Our Series A Warrants expired during November 2019.</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81"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right="60" w:firstLine="598"/>
        <w:spacing w:after="0" w:line="255"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9"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w:t>
      </w:r>
    </w:p>
    <w:p>
      <w:pPr>
        <w:spacing w:after="0" w:line="18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Continuing operations are reported net of the related tax effects and discontinued operations are reported net of related tax effects in the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 from continuing operations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jc w:val="center"/>
              <w:ind w:left="374"/>
              <w:spacing w:after="0" w:line="155" w:lineRule="exact"/>
              <w:rPr>
                <w:sz w:val="20"/>
                <w:szCs w:val="20"/>
                <w:color w:val="auto"/>
              </w:rPr>
            </w:pPr>
            <w:r>
              <w:rPr>
                <w:rFonts w:ascii="Arial" w:cs="Arial" w:eastAsia="Arial" w:hAnsi="Arial"/>
                <w:sz w:val="14"/>
                <w:szCs w:val="14"/>
                <w:color w:val="auto"/>
                <w:w w:val="92"/>
              </w:rPr>
              <w:t>(in thousands)</w:t>
            </w: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16,267</w:t>
            </w:r>
          </w:p>
        </w:tc>
        <w:tc>
          <w:tcPr>
            <w:tcW w:w="14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4400" w:type="dxa"/>
            <w:vAlign w:val="bottom"/>
          </w:tcPr>
          <w:p>
            <w:pPr>
              <w:ind w:left="240"/>
              <w:spacing w:after="0"/>
              <w:rPr>
                <w:sz w:val="20"/>
                <w:szCs w:val="20"/>
                <w:color w:val="auto"/>
              </w:rPr>
            </w:pPr>
            <w:r>
              <w:rPr>
                <w:rFonts w:ascii="Arial" w:cs="Arial" w:eastAsia="Arial" w:hAnsi="Arial"/>
                <w:sz w:val="18"/>
                <w:szCs w:val="18"/>
                <w:color w:val="auto"/>
              </w:rPr>
              <w:t>Change in fair value of contingent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80"/>
              <w:spacing w:after="0"/>
              <w:rPr>
                <w:sz w:val="20"/>
                <w:szCs w:val="20"/>
                <w:color w:val="auto"/>
              </w:rPr>
            </w:pPr>
            <w:r>
              <w:rPr>
                <w:rFonts w:ascii="Arial" w:cs="Arial" w:eastAsia="Arial" w:hAnsi="Arial"/>
                <w:sz w:val="18"/>
                <w:szCs w:val="18"/>
                <w:color w:val="auto"/>
              </w:rPr>
              <w:t>consideration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500"/>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(23,486)</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(9,185)</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Change in fair value of warrants liabilities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(6,964)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(7,486)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deconsolidation of former subsidiary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(1,994)</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Loss from minority interest investment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and other income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740"/>
              <w:spacing w:after="0"/>
              <w:rPr>
                <w:sz w:val="20"/>
                <w:szCs w:val="20"/>
                <w:color w:val="auto"/>
              </w:rPr>
            </w:pPr>
            <w:r>
              <w:rPr>
                <w:rFonts w:ascii="Arial" w:cs="Arial" w:eastAsia="Arial" w:hAnsi="Arial"/>
                <w:sz w:val="18"/>
                <w:szCs w:val="18"/>
                <w:color w:val="auto"/>
              </w:rPr>
              <w:t>Total other (expense) income</w:t>
            </w: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(7,288)</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(9,748)</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(11,841)</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(18,933)</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(13,335)</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(17,439)</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have not commenced commercialization of DCCR, our current sole novel therapeutic product, and accordingly, through December 31, 2019, have generated no revenue in continuing operations.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Research and development expense of $16.3 million for the year ended December 31, 2019 increased by $9.1 million over 2018 resulting primarily from the initiation of the Phase III clinical trial in May 2018. As of December 31, 2019, we have 29 clinical trial sites initiated compared to 13 as of December 31, 2018. As a result, we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right="140"/>
        <w:spacing w:after="0" w:line="277" w:lineRule="auto"/>
        <w:rPr>
          <w:sz w:val="20"/>
          <w:szCs w:val="20"/>
          <w:color w:val="auto"/>
        </w:rPr>
      </w:pPr>
      <w:r>
        <w:rPr>
          <w:rFonts w:ascii="Arial" w:cs="Arial" w:eastAsia="Arial" w:hAnsi="Arial"/>
          <w:sz w:val="18"/>
          <w:szCs w:val="18"/>
          <w:color w:val="auto"/>
        </w:rPr>
        <w:t>incurred increased clinical site costs, consulting costs, lab costs, and manufacturing costs for DCCR production. The company announced the completion of target enrollment in DESTINY PWS, the ongoing Phase III trial of DCCR in Prader Willi Syndrome in January 2020.</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General and administrative expense of $6.9 million during 2019 increased by approximately $374,000 from 2018. The slight increase was due to a general increase in the level of operations during the year and primarily consisted of an increase in personnel related costs.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are obligated to make cash payments of up to a maximum of $30 million to Essentialis stockholders upon the achievement of certain future commercial milestones associated with the sale of Essentialis’ product in accordance with the terms of the Essentialis merger agreement. The fair value of the liability for the contingent consideration payable by us achieving the commercial sales milestones of $100 million and $200 million was estimated to be $5.9 million as of December 31, 2019, an approximate $289,000 increase from the estimate as of December 31, 2018. During 2018 the estimate increased approximately $567,000 from the liability of $5.1 million estimated at December 31, 2017.</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Other expense of approximately $7.3 million in 2019 increased $9.7 million from other income of $2.5 million during 2018. The increase in other (expense) income was primarily due to a net increase in the fair value of warrant liabilities during 2019 compared to a net decrease in 2018, resulting in a net increase of $7.5 million recognized in other (expense) income. In addition there was a $2.0 million gain recognized during 2018 on the deconsolidation of Capnia upon the issuance of majority shares to OAHL, and an approximately $318,000 higher loss from our minority interest investment in Capnia during 2019 compared to 2018. The loss recorded on our minority interest investment in Capnia during 2019 includes approximately $511,000 for our share of Capnia’s net losses during the period, partially offset by a gain of approximately $33,000 recognized upon the sale of the investment. These increases were partially offset by an increase in interest and other income of $50,000.</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200" w:firstLine="598"/>
        <w:spacing w:after="0" w:line="272" w:lineRule="auto"/>
        <w:rPr>
          <w:sz w:val="20"/>
          <w:szCs w:val="20"/>
          <w:color w:val="auto"/>
        </w:rPr>
      </w:pPr>
      <w:r>
        <w:rPr>
          <w:rFonts w:ascii="Arial" w:cs="Arial" w:eastAsia="Arial" w:hAnsi="Arial"/>
          <w:sz w:val="17"/>
          <w:szCs w:val="17"/>
          <w:color w:val="auto"/>
        </w:rPr>
        <w:t>Discontinued operations during 2018 consist of our activities previously dedicated to the development and commercialization of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31, 2018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revenue</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60" w:firstLine="598"/>
        <w:spacing w:after="0" w:line="257" w:lineRule="auto"/>
        <w:rPr>
          <w:sz w:val="20"/>
          <w:szCs w:val="20"/>
          <w:color w:val="auto"/>
        </w:rPr>
      </w:pPr>
      <w:r>
        <w:rPr>
          <w:rFonts w:ascii="Arial" w:cs="Arial" w:eastAsia="Arial" w:hAnsi="Arial"/>
          <w:sz w:val="18"/>
          <w:szCs w:val="18"/>
          <w:color w:val="auto"/>
        </w:rPr>
        <w:t>All discontinued operations activity during 2018 related to Capnia and its CoSense products. During October 2018, Capnia issued 53% of its outstanding shares of common stock to OAHL, leaving us with a noncontrolling interest. Accordingly, we deconsolidated Capnia’s financial statements from ours and our remaining minority interest in Capnia was reported as a minority interest investment in our condensed consolidated balance sheet. During September 2019, the Company sold its remaining 47% investment in Capnia to Sinon. As Capnia is no longer a consolidated entity of ours, there is no corresponding discontinued operations activity during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had a net loss of $30.8 million during 2019 and an accumulated deficit of $157.8 million at December 31, 2019 from having incurred losses since our inception. We had $16.2 million of working capital at December 31, 2019 and used $17.4 million of cash in operating activities during 2019. We have financed our operations principally through issuances of equity securities. On October 25, 2019, we sold 12,841,667 shares of common stock in an underwritten public offering at a price of $1.20 per share for net proceeds of $14.5 million.</w:t>
      </w:r>
    </w:p>
    <w:p>
      <w:pPr>
        <w:spacing w:after="0" w:line="18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annual report.</w:t>
      </w:r>
    </w:p>
    <w:p>
      <w:pPr>
        <w:spacing w:after="0" w:line="192"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accompanying consolidated financial statements have been prepared under the assumption we will continue to operate as a going concern, which contemplates the realization of assets and the settlement of liabilities in the normal course of business. The consolidated financial statements do not include any adjustments to reflect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right="220"/>
        <w:spacing w:after="0" w:line="277" w:lineRule="auto"/>
        <w:rPr>
          <w:sz w:val="20"/>
          <w:szCs w:val="20"/>
          <w:color w:val="auto"/>
        </w:rPr>
      </w:pPr>
      <w:r>
        <w:rPr>
          <w:rFonts w:ascii="Arial" w:cs="Arial" w:eastAsia="Arial" w:hAnsi="Arial"/>
          <w:sz w:val="18"/>
          <w:szCs w:val="18"/>
          <w:color w:val="auto"/>
        </w:rPr>
        <w:t>possible future effects on the recoverability and classification of assets or the amounts of liabilities that may result from uncertainty related to our ability to continue as a going concern.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30"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Year Ended</w:t>
      </w:r>
    </w:p>
    <w:p>
      <w:pPr>
        <w:jc w:val="center"/>
        <w:ind w:left="5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continuing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(17,375)</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(10,322)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discontinued operating activities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r>
      <w:tr>
        <w:trPr>
          <w:trHeight w:val="223"/>
        </w:trPr>
        <w:tc>
          <w:tcPr>
            <w:tcW w:w="5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(17,375)</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provided by (used) in continuing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discontinued investing activities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r>
        <w:trPr>
          <w:trHeight w:val="223"/>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14,481</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(2,366)</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During 2019 operating activities used net cash of $17.4 million, which was primarily due to the loss from continuing operations of $30.8 million, adjusted for non-cash expense of $2.0 million for depreciation and amortization, $7.3 million for the change in fair value of common stock warrants and contingent consideration, approximately $825,000 of expense paid with common stock or equity awards, approximately $386,000 for non-cash lease expense, and an approximate $478,000 operating loss on minority interest investment. Additionally, the usage of cash during 2019 was reduced by $2.5 million due to changes in operating assets and liabilities.</w:t>
      </w:r>
    </w:p>
    <w:p>
      <w:pPr>
        <w:spacing w:after="0" w:line="80"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During 2018 operating activities used net cash of $10.3 million, which was primarily due to the loss from continuing operations of $11.8 million, adjusted for non-cash expenses of $2.0 million for depreciation and amortization, $1.3 million of expenses paid with common stock or equity awards, approximately $160,000 operating loss on minority interest investment and approximately $45,000 for the net change in fair value of common stock warrants and contingent consideration, all of which were partially offset by the non-cash gain of $2.0 million recognized on the deconsolidation of Capnia upon the issuance of majority shares to OAHL.</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During 2019 investing activities related to continuing operations provided cash of approximately $528,000, primarily a result of the $500,000 that we received for the sale of our 47% investment in Capnia to Sinon in September 2019 and a security deposit of approximately $108,000 received at the expiration of our facility operating leases that expired in August 2019. This cash inflow was partially offset by cash that was used for a deposit of approximately $59,000 related to the new lease that we entered into in July 2019 for 6,368 square feet of new space in Redwood City, California. There was minimal cash used during 2019 and 2018 for the costs of acquiring property and equipment.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left="6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During 2019, we obtained $14.5 million of cash from the sale of common stock in a public offering, net of underwriting discounts and other offering expenses. During 2018, we obtained $16.3 million of cash from the issuance of common stock and warrants in the 2018 PIPE offering, net of issuance related costs.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we had cash and cash equivalents of $20.7 million.</w:t>
      </w:r>
    </w:p>
    <w:p>
      <w:pPr>
        <w:spacing w:after="0" w:line="333"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We believe that we do not have sufficient capital resources to sustain operations through at least the next twelve months from the date of this filing. We expect to continue incurring losses for the foreseeable future and will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There were no discontinued operations during 2019. During 2018, we used net cash of $1.4 million for discontinued operating activities. This usage was primarily a result of the $1.5 million net loss for discontinued operations, partially offset by the change in working capital balances during the year and non-cash depreciation expense.</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There were no investing activities related to discontinued operations during 2019. During 2018, we used approximately $172,000 of cash for discontinued investing activities, representing the net cash reduction for the deconsolidation of Capnia, Inc. upon the transfer of the majority share ownership in October 2018.</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There were no financing activities related to discontinued operations during 2019. Net cash provided by financing activities related to discontinued operations was $1.5 million during 2018, representing the cash received from our joint venture partner.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As of December 31, 2019, we had lease obligations totaling approximately $506,000, consisting of an operating lease for office space in Redwood City, California, and a finance lease for office furniture.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59"/>
              <w:spacing w:after="0" w:line="133" w:lineRule="exact"/>
              <w:rPr>
                <w:sz w:val="20"/>
                <w:szCs w:val="20"/>
                <w:color w:val="auto"/>
              </w:rPr>
            </w:pPr>
            <w:r>
              <w:rPr>
                <w:rFonts w:ascii="Arial" w:cs="Arial" w:eastAsia="Arial" w:hAnsi="Arial"/>
                <w:sz w:val="14"/>
                <w:szCs w:val="14"/>
                <w:b w:val="1"/>
                <w:bCs w:val="1"/>
                <w:color w:val="auto"/>
              </w:rPr>
              <w:t>1 to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7"/>
              </w:rPr>
              <w:t>4 to 5</w:t>
            </w:r>
          </w:p>
        </w:tc>
        <w:tc>
          <w:tcPr>
            <w:tcW w:w="200" w:type="dxa"/>
            <w:vAlign w:val="bottom"/>
          </w:tcPr>
          <w:p>
            <w:pPr>
              <w:spacing w:after="0"/>
              <w:rPr>
                <w:sz w:val="11"/>
                <w:szCs w:val="11"/>
                <w:color w:val="auto"/>
              </w:rPr>
            </w:pPr>
          </w:p>
        </w:tc>
        <w:tc>
          <w:tcPr>
            <w:tcW w:w="10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9"/>
              </w:rPr>
              <w:t>After 5</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17"/>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6" w:name="page67"/>
    <w:bookmarkEnd w:id="66"/>
    <w:p>
      <w:pPr>
        <w:ind w:firstLine="598"/>
        <w:spacing w:after="0" w:line="255"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2019, we had no off-balance sheet arrangements as defined in Item 303(a)(4) of Regulation S-K as promulgated by the SEC.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Update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Guidance</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jc w:val="both"/>
        <w:ind w:right="140" w:firstLine="598"/>
        <w:spacing w:after="0" w:line="312" w:lineRule="auto"/>
        <w:rPr>
          <w:sz w:val="20"/>
          <w:szCs w:val="20"/>
          <w:color w:val="auto"/>
        </w:rPr>
      </w:pPr>
      <w:r>
        <w:rPr>
          <w:rFonts w:ascii="Arial" w:cs="Arial" w:eastAsia="Arial" w:hAnsi="Arial"/>
          <w:sz w:val="16"/>
          <w:szCs w:val="16"/>
          <w:color w:val="auto"/>
        </w:rPr>
        <w:t>We had unrestricted cash and cash equivalents totaling $20.7 million at December 31, 2019.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investment income.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Soleno Therapeutics,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492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1360" w:type="dxa"/>
            <w:vAlign w:val="bottom"/>
            <w:gridSpan w:val="2"/>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24"/>
                <w:szCs w:val="24"/>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4920" w:type="dxa"/>
            <w:vAlign w:val="bottom"/>
            <w:gridSpan w:val="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8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ind w:right="5550"/>
              <w:spacing w:after="0"/>
              <w:rPr>
                <w:sz w:val="20"/>
                <w:szCs w:val="20"/>
                <w:color w:val="auto"/>
              </w:rPr>
            </w:pPr>
            <w:r>
              <w:rPr>
                <w:rFonts w:ascii="Arial" w:cs="Arial" w:eastAsia="Arial" w:hAnsi="Arial"/>
                <w:sz w:val="18"/>
                <w:szCs w:val="18"/>
                <w:color w:val="auto"/>
              </w:rPr>
              <w:t>66</w:t>
            </w: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We have audited the accompanying consolidated balance sheets of Soleno Therapeutics, Inc. (the “Company”) as of December 31, 2019 and 2018, the related consolidated statements of operations,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2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20,733</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23,099</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Due from related party</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Minority interest investment in former subsidiary</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r>
      <w:tr>
        <w:trPr>
          <w:trHeight w:val="223"/>
        </w:trPr>
        <w:tc>
          <w:tcPr>
            <w:tcW w:w="65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Long-term assets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Property and equipment, net</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Finance lease right-of-use assets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Intangible assets, net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assets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65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Borders>
              <w:bottom w:val="single" w:sz="8" w:color="CFF0FC"/>
            </w:tcBorders>
          </w:tcPr>
          <w:p>
            <w:pPr>
              <w:spacing w:after="0"/>
              <w:rPr>
                <w:sz w:val="22"/>
                <w:szCs w:val="22"/>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clinical trial site costs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Pr>
          <w:p>
            <w:pPr>
              <w:ind w:left="1000"/>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Series A warrant liability</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2017 PIPE Warrant liability</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2018 PIPE Warrant liability</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Contingent liability for Essentialis purchase price</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74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B convertible preferred stock, 13,780 shares designated at</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and December 31, 2018; zero shares issued</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December 31, 2019 and at December 31, 2018.</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Liquidation value of zero.</w:t>
            </w: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Common stock, $0.001 par value, 100,000,000 shares authorized,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Arial" w:cs="Arial" w:eastAsia="Arial" w:hAnsi="Arial"/>
                <w:sz w:val="18"/>
                <w:szCs w:val="18"/>
                <w:color w:val="auto"/>
              </w:rPr>
              <w:t>44,658,054 and 31,755,169 shares issued and outstanding at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December 31, 2019 and December 31, 2018, respectively.</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157,413</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(157,806)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(127,032)</w:t>
            </w:r>
          </w:p>
        </w:tc>
      </w:tr>
      <w:tr>
        <w:trPr>
          <w:trHeight w:val="223"/>
        </w:trPr>
        <w:tc>
          <w:tcPr>
            <w:tcW w:w="6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43,151</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For the Years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16,267</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deconsolidation of former subsidiary</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Loss from minority interest investment</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1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income</w:t>
            </w:r>
          </w:p>
        </w:tc>
        <w:tc>
          <w:tcPr>
            <w:tcW w:w="1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16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Loss per common share from discontinued operations, basic and diluted</w:t>
            </w: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 and diluted</w:t>
            </w:r>
          </w:p>
        </w:tc>
        <w:tc>
          <w:tcPr>
            <w:tcW w:w="1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to calculate basic and</w:t>
            </w: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 net loss per common share</w:t>
            </w:r>
          </w:p>
        </w:tc>
        <w:tc>
          <w:tcPr>
            <w:tcW w:w="1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34,142,478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20,975,479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B Convertible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54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3"/>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Balances at January 1, 2018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4,571</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86"/>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19,238,972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140,495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(113,697)</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on conversion of</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B convertible preferred shares</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(4,571)</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914,200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00" w:type="dxa"/>
            <w:vAlign w:val="bottom"/>
          </w:tcPr>
          <w:p>
            <w:pPr>
              <w:ind w:left="260"/>
              <w:spacing w:after="0"/>
              <w:rPr>
                <w:sz w:val="20"/>
                <w:szCs w:val="20"/>
                <w:color w:val="auto"/>
              </w:rPr>
            </w:pPr>
            <w:r>
              <w:rPr>
                <w:rFonts w:ascii="Arial" w:cs="Arial" w:eastAsia="Arial" w:hAnsi="Arial"/>
                <w:sz w:val="16"/>
                <w:szCs w:val="16"/>
                <w:color w:val="auto"/>
              </w:rPr>
              <w:t>Issuance of restricted stock units under equity incentive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60"/>
              <w:spacing w:after="0"/>
              <w:rPr>
                <w:sz w:val="20"/>
                <w:szCs w:val="20"/>
                <w:color w:val="auto"/>
              </w:rPr>
            </w:pPr>
            <w:r>
              <w:rPr>
                <w:rFonts w:ascii="Arial" w:cs="Arial" w:eastAsia="Arial" w:hAnsi="Arial"/>
                <w:sz w:val="16"/>
                <w:szCs w:val="16"/>
                <w:color w:val="auto"/>
              </w:rPr>
              <w:t>plans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held back on</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 of Essentialis</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1,084,034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00" w:type="dxa"/>
            <w:vAlign w:val="bottom"/>
          </w:tcPr>
          <w:p>
            <w:pPr>
              <w:ind w:left="260"/>
              <w:spacing w:after="0"/>
              <w:rPr>
                <w:sz w:val="20"/>
                <w:szCs w:val="20"/>
                <w:color w:val="auto"/>
              </w:rPr>
            </w:pPr>
            <w:r>
              <w:rPr>
                <w:rFonts w:ascii="Arial" w:cs="Arial" w:eastAsia="Arial" w:hAnsi="Arial"/>
                <w:sz w:val="16"/>
                <w:szCs w:val="16"/>
                <w:color w:val="auto"/>
              </w:rPr>
              <w:t>Sale of shares to investors in the 2018 PIPE, net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380"/>
              <w:spacing w:after="0"/>
              <w:rPr>
                <w:sz w:val="20"/>
                <w:szCs w:val="20"/>
                <w:color w:val="auto"/>
              </w:rPr>
            </w:pPr>
            <w:r>
              <w:rPr>
                <w:rFonts w:ascii="Arial" w:cs="Arial" w:eastAsia="Arial" w:hAnsi="Arial"/>
                <w:sz w:val="16"/>
                <w:szCs w:val="16"/>
                <w:color w:val="auto"/>
              </w:rPr>
              <w:t>costs of $250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10,272,375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Fair value at transaction date of warrants to</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common stock under the 2018 PIPE</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3"/>
        </w:trPr>
        <w:tc>
          <w:tcPr>
            <w:tcW w:w="43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(13,335)</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(13,335)</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at December 31, 2018</w:t>
            </w: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0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31,755,169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157,413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(127,032)</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 under equity incentive</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plans</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00" w:type="dxa"/>
            <w:vAlign w:val="bottom"/>
          </w:tcPr>
          <w:p>
            <w:pPr>
              <w:ind w:left="260"/>
              <w:spacing w:after="0"/>
              <w:rPr>
                <w:sz w:val="20"/>
                <w:szCs w:val="20"/>
                <w:color w:val="auto"/>
              </w:rPr>
            </w:pPr>
            <w:r>
              <w:rPr>
                <w:rFonts w:ascii="Arial" w:cs="Arial" w:eastAsia="Arial" w:hAnsi="Arial"/>
                <w:sz w:val="16"/>
                <w:szCs w:val="16"/>
                <w:color w:val="auto"/>
              </w:rPr>
              <w:t>Sale of common stock in public offering, net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460"/>
              <w:spacing w:after="0"/>
              <w:rPr>
                <w:sz w:val="20"/>
                <w:szCs w:val="20"/>
                <w:color w:val="auto"/>
              </w:rPr>
            </w:pPr>
            <w:r>
              <w:rPr>
                <w:rFonts w:ascii="Arial" w:cs="Arial" w:eastAsia="Arial" w:hAnsi="Arial"/>
                <w:sz w:val="16"/>
                <w:szCs w:val="16"/>
                <w:color w:val="auto"/>
              </w:rPr>
              <w:t>costs of $927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12,841,667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(30,774)</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(30,774)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color w:val="auto"/>
              </w:rPr>
              <w:t>Balances at December 31, 2019</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0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44,658,054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172,708</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(157,806)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14,947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256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Net loss</w:t>
            </w:r>
          </w:p>
        </w:tc>
        <w:tc>
          <w:tcPr>
            <w:tcW w:w="2560" w:type="dxa"/>
            <w:vAlign w:val="bottom"/>
            <w:gridSpan w:val="2"/>
          </w:tcPr>
          <w:p>
            <w:pPr>
              <w:jc w:val="right"/>
              <w:ind w:right="89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(30,774)</w:t>
            </w:r>
          </w:p>
        </w:tc>
        <w:tc>
          <w:tcPr>
            <w:tcW w:w="1160" w:type="dxa"/>
            <w:vAlign w:val="bottom"/>
            <w:gridSpan w:val="2"/>
          </w:tcPr>
          <w:p>
            <w:pPr>
              <w:jc w:val="right"/>
              <w:ind w:right="9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(13,335)</w:t>
            </w: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Loss from discontinued operations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4"/>
                <w:szCs w:val="14"/>
                <w:color w:val="auto"/>
              </w:rPr>
              <w:t>Loss from continuing operations</w:t>
            </w: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(30,774)</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(11,841)</w:t>
            </w:r>
          </w:p>
        </w:tc>
        <w:tc>
          <w:tcPr>
            <w:tcW w:w="0" w:type="dxa"/>
            <w:vAlign w:val="bottom"/>
          </w:tcPr>
          <w:p>
            <w:pPr>
              <w:spacing w:after="0"/>
              <w:rPr>
                <w:sz w:val="1"/>
                <w:szCs w:val="1"/>
                <w:color w:val="auto"/>
              </w:rPr>
            </w:pPr>
          </w:p>
        </w:tc>
      </w:tr>
      <w:tr>
        <w:trPr>
          <w:trHeight w:val="151"/>
        </w:trPr>
        <w:tc>
          <w:tcPr>
            <w:tcW w:w="634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Adjustments to reconcile net loss from continuing operations to net cash used in</w:t>
            </w: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34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operating activities:</w:t>
            </w: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lease expense</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stock warrants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2"/>
        </w:trPr>
        <w:tc>
          <w:tcPr>
            <w:tcW w:w="6340" w:type="dxa"/>
            <w:vAlign w:val="bottom"/>
          </w:tcPr>
          <w:p>
            <w:pPr>
              <w:ind w:left="260"/>
              <w:spacing w:after="0"/>
              <w:rPr>
                <w:sz w:val="20"/>
                <w:szCs w:val="20"/>
                <w:color w:val="auto"/>
              </w:rPr>
            </w:pPr>
            <w:r>
              <w:rPr>
                <w:rFonts w:ascii="Arial" w:cs="Arial" w:eastAsia="Arial" w:hAnsi="Arial"/>
                <w:sz w:val="14"/>
                <w:szCs w:val="14"/>
                <w:color w:val="auto"/>
              </w:rPr>
              <w:t>Change in fair value of contingent consideration</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deconsolidation of former subsidiary</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62"/>
        </w:trPr>
        <w:tc>
          <w:tcPr>
            <w:tcW w:w="6340" w:type="dxa"/>
            <w:vAlign w:val="bottom"/>
          </w:tcPr>
          <w:p>
            <w:pPr>
              <w:ind w:left="260"/>
              <w:spacing w:after="0"/>
              <w:rPr>
                <w:sz w:val="20"/>
                <w:szCs w:val="20"/>
                <w:color w:val="auto"/>
              </w:rPr>
            </w:pPr>
            <w:r>
              <w:rPr>
                <w:rFonts w:ascii="Arial" w:cs="Arial" w:eastAsia="Arial" w:hAnsi="Arial"/>
                <w:sz w:val="14"/>
                <w:szCs w:val="14"/>
                <w:color w:val="auto"/>
              </w:rPr>
              <w:t>Operating loss of minority interest investment</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operating assets and liabilities: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500"/>
              <w:spacing w:after="0"/>
              <w:rPr>
                <w:sz w:val="20"/>
                <w:szCs w:val="20"/>
                <w:color w:val="auto"/>
              </w:rPr>
            </w:pPr>
            <w:r>
              <w:rPr>
                <w:rFonts w:ascii="Arial" w:cs="Arial" w:eastAsia="Arial" w:hAnsi="Arial"/>
                <w:sz w:val="14"/>
                <w:szCs w:val="14"/>
                <w:color w:val="auto"/>
              </w:rPr>
              <w:t>Prepaid expenses, other current assets and other assets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Due from related party</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63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6340" w:type="dxa"/>
            <w:vAlign w:val="bottom"/>
          </w:tcPr>
          <w:p>
            <w:pPr>
              <w:ind w:left="500"/>
              <w:spacing w:after="0"/>
              <w:rPr>
                <w:sz w:val="20"/>
                <w:szCs w:val="20"/>
                <w:color w:val="auto"/>
              </w:rPr>
            </w:pPr>
            <w:r>
              <w:rPr>
                <w:rFonts w:ascii="Arial" w:cs="Arial" w:eastAsia="Arial" w:hAnsi="Arial"/>
                <w:sz w:val="14"/>
                <w:szCs w:val="14"/>
                <w:color w:val="auto"/>
              </w:rPr>
              <w:t>Accrued clinical trial site costs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liabilities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40" w:type="dxa"/>
            <w:vAlign w:val="bottom"/>
          </w:tcPr>
          <w:p>
            <w:pPr>
              <w:ind w:left="500"/>
              <w:spacing w:after="0"/>
              <w:rPr>
                <w:sz w:val="20"/>
                <w:szCs w:val="20"/>
                <w:color w:val="auto"/>
              </w:rPr>
            </w:pPr>
            <w:r>
              <w:rPr>
                <w:rFonts w:ascii="Arial" w:cs="Arial" w:eastAsia="Arial" w:hAnsi="Arial"/>
                <w:sz w:val="14"/>
                <w:szCs w:val="14"/>
                <w:color w:val="auto"/>
              </w:rPr>
              <w:t>Other liabilities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continuing operating activities</w:t>
            </w:r>
          </w:p>
        </w:tc>
        <w:tc>
          <w:tcPr>
            <w:tcW w:w="15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(17,375)</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(10,322)</w:t>
            </w:r>
          </w:p>
        </w:tc>
        <w:tc>
          <w:tcPr>
            <w:tcW w:w="0" w:type="dxa"/>
            <w:vAlign w:val="bottom"/>
          </w:tcPr>
          <w:p>
            <w:pPr>
              <w:spacing w:after="0"/>
              <w:rPr>
                <w:sz w:val="1"/>
                <w:szCs w:val="1"/>
                <w:color w:val="auto"/>
              </w:rPr>
            </w:pPr>
          </w:p>
        </w:tc>
      </w:tr>
      <w:tr>
        <w:trPr>
          <w:trHeight w:val="162"/>
        </w:trPr>
        <w:tc>
          <w:tcPr>
            <w:tcW w:w="6340" w:type="dxa"/>
            <w:vAlign w:val="bottom"/>
          </w:tcPr>
          <w:p>
            <w:pPr>
              <w:ind w:left="740"/>
              <w:spacing w:after="0"/>
              <w:rPr>
                <w:sz w:val="20"/>
                <w:szCs w:val="20"/>
                <w:color w:val="auto"/>
              </w:rPr>
            </w:pPr>
            <w:r>
              <w:rPr>
                <w:rFonts w:ascii="Arial" w:cs="Arial" w:eastAsia="Arial" w:hAnsi="Arial"/>
                <w:sz w:val="14"/>
                <w:szCs w:val="14"/>
                <w:b w:val="1"/>
                <w:bCs w:val="1"/>
                <w:color w:val="auto"/>
              </w:rPr>
              <w:t>Net cash used in discontinued operating activities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FF0FC"/>
          </w:tcPr>
          <w:p>
            <w:pPr>
              <w:ind w:left="740"/>
              <w:spacing w:after="0"/>
              <w:rPr>
                <w:sz w:val="20"/>
                <w:szCs w:val="20"/>
                <w:color w:val="auto"/>
              </w:rPr>
            </w:pPr>
            <w:r>
              <w:rPr>
                <w:rFonts w:ascii="Arial" w:cs="Arial" w:eastAsia="Arial" w:hAnsi="Arial"/>
                <w:sz w:val="14"/>
                <w:szCs w:val="14"/>
                <w:b w:val="1"/>
                <w:bCs w:val="1"/>
                <w:color w:val="auto"/>
              </w:rPr>
              <w:t>Net cash used in operating activities</w:t>
            </w:r>
          </w:p>
        </w:tc>
        <w:tc>
          <w:tcPr>
            <w:tcW w:w="15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(17,375)</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(11,683)</w:t>
            </w:r>
          </w:p>
        </w:tc>
        <w:tc>
          <w:tcPr>
            <w:tcW w:w="0" w:type="dxa"/>
            <w:vAlign w:val="bottom"/>
          </w:tcPr>
          <w:p>
            <w:pPr>
              <w:spacing w:after="0"/>
              <w:rPr>
                <w:sz w:val="1"/>
                <w:szCs w:val="1"/>
                <w:color w:val="auto"/>
              </w:rPr>
            </w:pPr>
          </w:p>
        </w:tc>
      </w:tr>
      <w:tr>
        <w:trPr>
          <w:trHeight w:val="156"/>
        </w:trPr>
        <w:tc>
          <w:tcPr>
            <w:tcW w:w="63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5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Security deposit on sublease</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Security deposit received from expired lease</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sale of minority interest investment in former subsidiary</w:t>
            </w:r>
          </w:p>
        </w:tc>
        <w:tc>
          <w:tcPr>
            <w:tcW w:w="15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(used in) continuing investing activities</w:t>
            </w: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6340" w:type="dxa"/>
            <w:vAlign w:val="bottom"/>
          </w:tcPr>
          <w:p>
            <w:pPr>
              <w:ind w:left="740"/>
              <w:spacing w:after="0"/>
              <w:rPr>
                <w:sz w:val="20"/>
                <w:szCs w:val="20"/>
                <w:color w:val="auto"/>
              </w:rPr>
            </w:pPr>
            <w:r>
              <w:rPr>
                <w:rFonts w:ascii="Arial" w:cs="Arial" w:eastAsia="Arial" w:hAnsi="Arial"/>
                <w:sz w:val="14"/>
                <w:szCs w:val="14"/>
                <w:b w:val="1"/>
                <w:bCs w:val="1"/>
                <w:color w:val="auto"/>
              </w:rPr>
              <w:t>Net cash used in discontinued investing activities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
        </w:trPr>
        <w:tc>
          <w:tcPr>
            <w:tcW w:w="6340" w:type="dxa"/>
            <w:vAlign w:val="bottom"/>
            <w:vMerge w:val="restart"/>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5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6"/>
        </w:trPr>
        <w:tc>
          <w:tcPr>
            <w:tcW w:w="63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5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common stock and common stock warrants, net of costs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14,483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Principal paid on finance lease liabilities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3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continuing financing activities</w:t>
            </w:r>
          </w:p>
        </w:tc>
        <w:tc>
          <w:tcPr>
            <w:tcW w:w="15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14,481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16,302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discontinued financing activities</w:t>
            </w:r>
          </w:p>
        </w:tc>
        <w:tc>
          <w:tcPr>
            <w:tcW w:w="1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5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14,481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17,827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tcPr>
          <w:p>
            <w:pPr>
              <w:ind w:left="500"/>
              <w:spacing w:after="0" w:line="155" w:lineRule="exact"/>
              <w:rPr>
                <w:sz w:val="20"/>
                <w:szCs w:val="20"/>
                <w:color w:val="auto"/>
              </w:rPr>
            </w:pPr>
            <w:r>
              <w:rPr>
                <w:rFonts w:ascii="Arial" w:cs="Arial" w:eastAsia="Arial" w:hAnsi="Arial"/>
                <w:sz w:val="14"/>
                <w:szCs w:val="14"/>
                <w:color w:val="auto"/>
              </w:rPr>
              <w:t>Net increase (decrease) in cash and cash equivalents from continuing operations</w:t>
            </w:r>
          </w:p>
        </w:tc>
        <w:tc>
          <w:tcPr>
            <w:tcW w:w="1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(2,366)</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5,972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decrease in cash and cash equivalents from discontinued operations</w:t>
            </w:r>
          </w:p>
        </w:tc>
        <w:tc>
          <w:tcPr>
            <w:tcW w:w="15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500"/>
              <w:spacing w:after="0"/>
              <w:rPr>
                <w:sz w:val="20"/>
                <w:szCs w:val="20"/>
                <w:color w:val="auto"/>
              </w:rPr>
            </w:pPr>
            <w:r>
              <w:rPr>
                <w:rFonts w:ascii="Arial" w:cs="Arial" w:eastAsia="Arial" w:hAnsi="Arial"/>
                <w:sz w:val="14"/>
                <w:szCs w:val="14"/>
                <w:color w:val="auto"/>
              </w:rPr>
              <w:t>Net increase (decrease) in cash and cash equivalents</w:t>
            </w: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(2,366)</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5,964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52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23,099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2560" w:type="dxa"/>
            <w:vAlign w:val="bottom"/>
            <w:gridSpan w:val="2"/>
          </w:tcPr>
          <w:p>
            <w:pPr>
              <w:jc w:val="right"/>
              <w:ind w:right="892"/>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20,733</w:t>
            </w:r>
          </w:p>
        </w:tc>
        <w:tc>
          <w:tcPr>
            <w:tcW w:w="160" w:type="dxa"/>
            <w:vAlign w:val="bottom"/>
          </w:tcPr>
          <w:p>
            <w:pPr>
              <w:spacing w:after="0"/>
              <w:rPr>
                <w:sz w:val="17"/>
                <w:szCs w:val="17"/>
                <w:color w:val="auto"/>
              </w:rPr>
            </w:pPr>
          </w:p>
        </w:tc>
        <w:tc>
          <w:tcPr>
            <w:tcW w:w="1160" w:type="dxa"/>
            <w:vAlign w:val="bottom"/>
            <w:gridSpan w:val="2"/>
          </w:tcPr>
          <w:p>
            <w:pPr>
              <w:jc w:val="right"/>
              <w:ind w:right="9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23,099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15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40" w:type="dxa"/>
            <w:vAlign w:val="bottom"/>
          </w:tcPr>
          <w:p>
            <w:pPr>
              <w:spacing w:after="0"/>
              <w:rPr>
                <w:sz w:val="20"/>
                <w:szCs w:val="20"/>
                <w:color w:val="auto"/>
              </w:rPr>
            </w:pPr>
            <w:r>
              <w:rPr>
                <w:rFonts w:ascii="Arial" w:cs="Arial" w:eastAsia="Arial" w:hAnsi="Arial"/>
                <w:sz w:val="14"/>
                <w:szCs w:val="14"/>
                <w:color w:val="auto"/>
              </w:rPr>
              <w:t>Accrued liability for cost of issuing common stock</w:t>
            </w:r>
          </w:p>
        </w:tc>
        <w:tc>
          <w:tcPr>
            <w:tcW w:w="1520" w:type="dxa"/>
            <w:vAlign w:val="bottom"/>
          </w:tcPr>
          <w:p>
            <w:pPr>
              <w:spacing w:after="0"/>
              <w:rPr>
                <w:sz w:val="15"/>
                <w:szCs w:val="15"/>
                <w:color w:val="auto"/>
              </w:rPr>
            </w:pP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9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Warrants issued in connection with sale of common stock</w:t>
            </w: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vMerge w:val="continue"/>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892"/>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98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is focused on the development and commercialization of novel therapeutics for the treatment of rare diseases. Its lead candidate, Diazoxide Choline Controlled Release tablets, or DCCR, a once-daily oral tablet for the treatment of Prader-Willi Syndrome, or PWS, is currently being evaluated in a Phase III clinical development program.</w:t>
      </w:r>
    </w:p>
    <w:p>
      <w:pPr>
        <w:spacing w:after="0" w:line="173" w:lineRule="exact"/>
        <w:rPr>
          <w:sz w:val="20"/>
          <w:szCs w:val="20"/>
          <w:color w:val="auto"/>
        </w:rPr>
      </w:pPr>
    </w:p>
    <w:p>
      <w:pPr>
        <w:ind w:right="40" w:firstLine="598"/>
        <w:spacing w:after="0" w:line="233" w:lineRule="auto"/>
        <w:rPr>
          <w:sz w:val="20"/>
          <w:szCs w:val="20"/>
          <w:color w:val="auto"/>
        </w:rPr>
      </w:pPr>
      <w:r>
        <w:rPr>
          <w:rFonts w:ascii="Arial" w:cs="Arial" w:eastAsia="Arial" w:hAnsi="Arial"/>
          <w:sz w:val="18"/>
          <w:szCs w:val="18"/>
          <w:color w:val="auto"/>
        </w:rPr>
        <w:t>The Company initially established its operations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Allergy Relief, or Serenz, and the CoSense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End-Tidal Carbon Monoxide Monitor, or CoSense, which measures End-Tidal Carbon Monoxide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94"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On March 7, 2017, the Company completed its merger, or the Merger, with Essentialis, Inc., a Delaware corporation, or Essentialis, in accordance with the Merger Agreement by and between Soleno Therapeutics and Essentialis dated December 22, 2016, or the Merger Agreement. After the Merger, the Company’s primary focus has been the development and commercialization of novel therapeutics for the treatment of rare diseases. Essentialis was a privately-held, clinical-stage biotechnology company focused on the development of breakthrough medicines for the treatment of rare diseases in which there is increased mortality and risk of cardiovascular and endocrine complications. Prior to the Merger, Essentialis’s efforts were focused primarily on developing and testing product candidates that target the ATP-sensitive potassium channel, a metabolically-regulated membrane protein whose modulation has the potential to impact a wide range of rare metabolic, cardiovascular, and central nervous system diseases. Essentialis had tested DCCR as a treatment for PWS, a complex metabolic/neurobehavioral disorder. DCCR has orphan designation for the treatment of PWS in the United States, or U.S., as well as in the European Union, or E.U.</w:t>
      </w:r>
    </w:p>
    <w:p>
      <w:pPr>
        <w:spacing w:after="0" w:line="182" w:lineRule="exact"/>
        <w:rPr>
          <w:sz w:val="20"/>
          <w:szCs w:val="20"/>
          <w:color w:val="auto"/>
        </w:rPr>
      </w:pPr>
    </w:p>
    <w:p>
      <w:pPr>
        <w:ind w:right="40" w:firstLine="678"/>
        <w:spacing w:after="0" w:line="279" w:lineRule="auto"/>
        <w:rPr>
          <w:sz w:val="20"/>
          <w:szCs w:val="20"/>
          <w:color w:val="auto"/>
        </w:rPr>
      </w:pPr>
      <w:r>
        <w:rPr>
          <w:rFonts w:ascii="Arial" w:cs="Arial" w:eastAsia="Arial" w:hAnsi="Arial"/>
          <w:sz w:val="17"/>
          <w:szCs w:val="17"/>
          <w:color w:val="auto"/>
        </w:rPr>
        <w:t>Subsequent to the Merger with Essentialis described above, the Company determined to divest, sell or dispose of its business efforts focused on the development and commercialization of its Serenz and CoSense technologies. Accordingly, and pursuant to ASC 205-20-45-10, any assets and liabilities related to the discontinued activities of CoSense and Serenz were presented separately as held for sale items, and the related operations reported herein for the CoSense and Serenz activities are reported as discontinued operations in the statements of operations.</w:t>
      </w:r>
    </w:p>
    <w:p>
      <w:pPr>
        <w:spacing w:after="0" w:line="280"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through late-stage clinical development.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right="380" w:firstLine="598"/>
        <w:spacing w:after="0" w:line="286" w:lineRule="auto"/>
        <w:rPr>
          <w:sz w:val="20"/>
          <w:szCs w:val="20"/>
          <w:color w:val="auto"/>
        </w:rPr>
      </w:pPr>
      <w:r>
        <w:rPr>
          <w:rFonts w:ascii="Arial" w:cs="Arial" w:eastAsia="Arial" w:hAnsi="Arial"/>
          <w:sz w:val="17"/>
          <w:szCs w:val="17"/>
          <w:color w:val="auto"/>
        </w:rPr>
        <w:t>The Company had a net loss of $30.8 million during 2019 and has an accumulated deficit of $157.8 million at December 31, 2019 resulting from having incurred losses since its inception. The Company had $20.7 million of cash on hand at December 31, 2019 and used $17.4 million of cash in its operating activities during 2019. The Company has financed its operations principally through issuances of equity securities.</w:t>
      </w:r>
    </w:p>
    <w:p>
      <w:pPr>
        <w:spacing w:after="0" w:line="166"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On October 25, 2019, the Company sold 12,841,667 shares of common stock in an underwritten public offering at a price of $1.20 per share for net proceeds of $14.5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ind w:right="140" w:firstLine="598"/>
        <w:spacing w:after="0" w:line="279" w:lineRule="auto"/>
        <w:rPr>
          <w:sz w:val="20"/>
          <w:szCs w:val="20"/>
          <w:color w:val="auto"/>
        </w:rPr>
      </w:pPr>
      <w:r>
        <w:rPr>
          <w:rFonts w:ascii="Arial" w:cs="Arial" w:eastAsia="Arial" w:hAnsi="Arial"/>
          <w:sz w:val="17"/>
          <w:szCs w:val="17"/>
          <w:color w:val="auto"/>
        </w:rPr>
        <w:t>The accompanying consolidated financial statements have been prepared under the assumption the Company will continue to operate as a going concern, which contemplates the realization of assets and the settlement of liabilities in the normal course of business.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Company expects to continue incurring losses for the foreseeable future and will be required to raise additional capital to complete its clinical trials, pursue product development initiatives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2"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or GAAP, and the applicable rules and regulations of the Securities and Exchange Commission, or SEC.</w:t>
      </w:r>
    </w:p>
    <w:p>
      <w:pPr>
        <w:spacing w:after="0" w:line="14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Certain amounts from prior periods have been reclassified to conform to the current period presentation, including certain current liabilities within the Consolidated Balance Sheets and Consolidated Statements of Cash Flows, certain immaterial amounts within the Consolidated Statements of Operations, and the presentation of restricted stock units and the related expense within the Consolidated Statements of Stockholders’ Equity and Consolidated Statements of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for the purchase price of assets obtained through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at one U.S. commercial bank. Cash and cash equivalents deposited with this commercial bank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ind w:right="180"/>
        <w:spacing w:after="0" w:line="277" w:lineRule="auto"/>
        <w:rPr>
          <w:sz w:val="20"/>
          <w:szCs w:val="20"/>
          <w:color w:val="auto"/>
        </w:rPr>
      </w:pPr>
      <w:r>
        <w:rPr>
          <w:rFonts w:ascii="Arial" w:cs="Arial" w:eastAsia="Arial" w:hAnsi="Arial"/>
          <w:sz w:val="18"/>
          <w:szCs w:val="18"/>
          <w:color w:val="auto"/>
        </w:rPr>
        <w:t>exceeded the Federal Deposit Insurance Corporation insurable limit at December 31, 2019 and 2018. The Company expects the maintenance of balances in excess of insurable limits will continue.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firstLine="598"/>
        <w:spacing w:after="0" w:line="308" w:lineRule="auto"/>
        <w:rPr>
          <w:sz w:val="20"/>
          <w:szCs w:val="20"/>
          <w:color w:val="auto"/>
        </w:rPr>
      </w:pPr>
      <w:r>
        <w:rPr>
          <w:rFonts w:ascii="Arial" w:cs="Arial" w:eastAsia="Arial" w:hAnsi="Arial"/>
          <w:sz w:val="17"/>
          <w:szCs w:val="17"/>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225" w:lineRule="exact"/>
        <w:rPr>
          <w:sz w:val="20"/>
          <w:szCs w:val="20"/>
          <w:color w:val="auto"/>
        </w:rPr>
      </w:pPr>
    </w:p>
    <w:p>
      <w:pPr>
        <w:ind w:right="280" w:firstLine="598"/>
        <w:spacing w:after="0" w:line="279" w:lineRule="auto"/>
        <w:rPr>
          <w:sz w:val="20"/>
          <w:szCs w:val="20"/>
          <w:color w:val="auto"/>
        </w:rPr>
      </w:pPr>
      <w:r>
        <w:rPr>
          <w:rFonts w:ascii="Arial" w:cs="Arial" w:eastAsia="Arial" w:hAnsi="Arial"/>
          <w:sz w:val="17"/>
          <w:szCs w:val="17"/>
          <w:color w:val="auto"/>
        </w:rPr>
        <w:t>In March 2017, the Company completed the acquisition of Essentialis, Inc., a Delaware corporation, or Essentialis in accordance with the Merger Agreement by and between Soleno Therapeutics and Essentialis dated December 22, 2016. The merger transaction has been accounted for as an asset acquisition under the acquisition method of accounting and accordingly, the value of asset acquired in the amount of $22.0 million was assigned to the identifiable intangible asset relating to the patent for DCCR, which patent expires in June 2028.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Equity method investments are equity securities in investees not controlled by the Company, but over which the Company has the ability to exercise significant influence. The Company’s equity method investment is measured at fair value minus impairment, if any, plus or minus the Company’s share of equity method investee income or loss.</w:t>
      </w:r>
    </w:p>
    <w:p>
      <w:pPr>
        <w:spacing w:after="0" w:line="18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Company’s equity method investment in Capnia, Inc. is classified as Minority interest investment in former subsidiary in the consolidated balance sheet as of December 31, 2018 and was initially measured at fair value. (See Note 9.) The Company sold its equity method investment in Capnia in September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Intangible assets with finite lives are amortized on a straight-line basis over their estimated useful lives of 11 years. The useful life of the intangible asset is evaluated each reporting period to determine whether events and circumstances warrant a revision to the remaining useful life.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260" w:firstLine="598"/>
        <w:spacing w:after="0" w:line="258"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research and development expenses are reported as discontinued operations. (See Note 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7"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loss from discontinued operations is reported net of the related effect for income taxes in the statements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consolidated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ind w:right="460" w:firstLine="598"/>
        <w:spacing w:after="0" w:line="302" w:lineRule="auto"/>
        <w:rPr>
          <w:sz w:val="20"/>
          <w:szCs w:val="20"/>
          <w:color w:val="auto"/>
        </w:rPr>
      </w:pPr>
      <w:r>
        <w:rPr>
          <w:rFonts w:ascii="Arial" w:cs="Arial" w:eastAsia="Arial" w:hAnsi="Arial"/>
          <w:sz w:val="16"/>
          <w:szCs w:val="16"/>
          <w:color w:val="auto"/>
        </w:rPr>
        <w:t xml:space="preserve">Further, the Company evaluated its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the Company’s analysis followed the whole instrument approach which compares an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against the entire preferred stock instrument which includes that feature. The Company’s analysis was based on a consideration of the economic characteristics and risks of its Series B Convertible Preferred Stock. More specifically, the Company evaluated all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ind w:right="60"/>
        <w:spacing w:after="0" w:line="291" w:lineRule="auto"/>
        <w:rPr>
          <w:sz w:val="20"/>
          <w:szCs w:val="20"/>
          <w:color w:val="auto"/>
        </w:rPr>
      </w:pPr>
      <w:r>
        <w:rPr>
          <w:rFonts w:ascii="Arial" w:cs="Arial" w:eastAsia="Arial" w:hAnsi="Arial"/>
          <w:sz w:val="16"/>
          <w:szCs w:val="16"/>
          <w:color w:val="auto"/>
        </w:rPr>
        <w:t>the stated and implied substantive terms and features, including (i) whether the preferred stock included redemption features, (ii) how and when any redemption features could be exercised, (iii) whether the holders of preferred stock were entitled to dividends, (iv) the voting rights of the preferred stock and</w:t>
      </w:r>
    </w:p>
    <w:p>
      <w:pPr>
        <w:ind w:right="60" w:firstLine="8"/>
        <w:spacing w:after="0" w:line="277"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existence and nature of any conversion rights. As a result of the Company’s conclusion that the preferred stock represents an equity host, the conversion feature of its Series B Convertible Preferred Stock is considered to be clearly and closely related to the associated preferred stock host instrument. Accordingly, the conversion feature in the preferred stock is not considered an embedded derivative that requires bifurcation.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Series A, Series C, the 2017 PIPE Warrants and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of the award. Stock options generally vest over four years.</w:t>
      </w:r>
    </w:p>
    <w:p>
      <w:pPr>
        <w:spacing w:after="0" w:line="173"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73" w:lineRule="exact"/>
        <w:rPr>
          <w:sz w:val="20"/>
          <w:szCs w:val="20"/>
          <w:color w:val="auto"/>
        </w:rPr>
      </w:pPr>
    </w:p>
    <w:p>
      <w:pPr>
        <w:ind w:left="1040" w:right="320" w:hanging="438"/>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calculates the estimated volatility rate based the volatility of its common stock together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its industry.</w:t>
      </w:r>
    </w:p>
    <w:p>
      <w:pPr>
        <w:spacing w:after="0" w:line="62" w:lineRule="exact"/>
        <w:rPr>
          <w:rFonts w:ascii="Arial" w:cs="Arial" w:eastAsia="Arial" w:hAnsi="Arial"/>
          <w:sz w:val="18"/>
          <w:szCs w:val="18"/>
          <w:color w:val="auto"/>
        </w:rPr>
      </w:pPr>
    </w:p>
    <w:p>
      <w:pPr>
        <w:ind w:left="1040" w:right="160" w:hanging="438"/>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does not believe it is able to rely on its historical exercise and post-vesting termination activity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data for estimating the expected term for use in estimating the fair value-based measurement of our options. Therefore, the Company has opted to use the “simplified method” for estimating the expected term of options.</w:t>
      </w:r>
    </w:p>
    <w:p>
      <w:pPr>
        <w:spacing w:after="0" w:line="73" w:lineRule="exact"/>
        <w:rPr>
          <w:rFonts w:ascii="Arial" w:cs="Arial" w:eastAsia="Arial" w:hAnsi="Arial"/>
          <w:sz w:val="18"/>
          <w:szCs w:val="18"/>
          <w:color w:val="auto"/>
        </w:rPr>
      </w:pPr>
    </w:p>
    <w:p>
      <w:pPr>
        <w:ind w:left="1040" w:right="560" w:hanging="438"/>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right="360" w:hanging="438"/>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it used an expected dividend yield of zero.</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accounts for forfeitures as they occur.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ind w:left="60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replaces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requires lessees to capitalize most lease obligations as right-of-use assets with a corresponding liability on the balance sheet. Leases are classified as either finance or operating, with classification affecting the pattern of expense recognition in the income statement. The guidance is effective for all public business entities and certain not-for-profit entities in fiscal years beginning after December 15, 2018, and for all other entities in fiscal years beginning after December 15, 2020. Early adoption is permitted. As the Company was an emerging growth company until December 31, 2019 and elected to use the extended transition period for complying with any new or revised financial accounting standards provided pursuant to Section 13(a) of the Exchange Act, it adopted the standard as of January 1, 2019 on December 31, 2019. The Company adopted ASC 842 using the optional modified retrospective method and will not restate comparative periods. The Company has elected to apply the “practical expedient package”, which permits it to not reassess previous conclusions around lease identification, lease classification, and initial direct costs. Further, the Company will make an accounting policy election to exclude leases with terms of twelve months or less from the recognition requirements. The Company did not elect the use of the hindsight practical expedient. As a result of the adoption of the standard on January 1, 2019, the Company recognized lease liabilities based on the present value of the total fixed payments for its leases in the amount of approximately $322,000 and ROU assets of approximately $301,000 on its balance sheet. The adoption of the new standard did not have a material impact on the Company’s Statement of Operations or Cash Flows.</w:t>
      </w:r>
    </w:p>
    <w:p>
      <w:pPr>
        <w:spacing w:after="0" w:line="17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to simplify the accounting for share-based payments to nonemployees by aligning it with the accounting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with certain exceptions. Under the guidance, the measurement of equity-classified nonemployee awards is fixed at the grant date, which may lower the cost and reduce volatility in the income statement. This ASU was early adopted by the Company at the beginning of 2019. Its adoption did not have a material impact on the Company’s consolidated financial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In August 2018,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now be provided in a note or separate statement. The Company has applied this new guidance beginning in the first quarter of 2019.</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In August 2018, the FASB issued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The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This ASU is effective for the Company beginning in 2020. Early adoption is permitted. An entity is permitted to early adopt any removed or modified disclosures upon issuance of ASU No. 2018-13 and delay adoption of the additional disclosures until their effective date. The adoption of this ASU is not expected to have a material impact on the Company’s consolidated financial statements disclosures.</w:t>
      </w:r>
    </w:p>
    <w:p>
      <w:pPr>
        <w:spacing w:after="0" w:line="64" w:lineRule="exact"/>
        <w:rPr>
          <w:sz w:val="20"/>
          <w:szCs w:val="20"/>
          <w:color w:val="auto"/>
        </w:rPr>
      </w:pPr>
    </w:p>
    <w:p>
      <w:pPr>
        <w:jc w:val="both"/>
        <w:ind w:right="60" w:firstLine="598"/>
        <w:spacing w:after="0" w:line="276"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amendments in this Update are effective for public business entities for fiscal years, and interim periods within those fiscal years, beginning after December 15, 2020. The Company has not yet assessed the potential impact of adopting ASU 2019-12 on its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 items.</w:t>
      </w:r>
    </w:p>
    <w:p>
      <w:pPr>
        <w:spacing w:after="0" w:line="248"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1220" w:hanging="591"/>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17" w:lineRule="exact"/>
        <w:rPr>
          <w:rFonts w:ascii="Arial" w:cs="Arial" w:eastAsia="Arial" w:hAnsi="Arial"/>
          <w:sz w:val="18"/>
          <w:szCs w:val="18"/>
          <w:color w:val="auto"/>
        </w:rPr>
      </w:pPr>
    </w:p>
    <w:p>
      <w:pPr>
        <w:ind w:left="1220" w:right="20" w:hanging="591"/>
        <w:spacing w:after="0" w:line="264" w:lineRule="auto"/>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3" w:lineRule="exact"/>
        <w:rPr>
          <w:rFonts w:ascii="Arial" w:cs="Arial" w:eastAsia="Arial" w:hAnsi="Arial"/>
          <w:sz w:val="18"/>
          <w:szCs w:val="18"/>
          <w:color w:val="auto"/>
        </w:rPr>
      </w:pPr>
    </w:p>
    <w:p>
      <w:pPr>
        <w:ind w:left="1220" w:hanging="591"/>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Fair Value Measurements at December 31, 2019</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2017 PIPE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10,822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FF0FC"/>
            </w:tcBorders>
          </w:tcPr>
          <w:p>
            <w:pPr>
              <w:spacing w:after="0"/>
              <w:rPr>
                <w:sz w:val="19"/>
                <w:szCs w:val="19"/>
                <w:color w:val="auto"/>
              </w:rPr>
            </w:pPr>
          </w:p>
        </w:tc>
      </w:tr>
      <w:tr>
        <w:trPr>
          <w:trHeight w:val="20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FF0FC"/>
          </w:tcPr>
          <w:p>
            <w:pPr>
              <w:spacing w:after="0"/>
              <w:rPr>
                <w:sz w:val="20"/>
                <w:szCs w:val="20"/>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53"/>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Fair Value Measurements at December 31, 2018</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2017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FF0FC"/>
          </w:tcPr>
          <w:p>
            <w:pPr>
              <w:spacing w:after="0"/>
              <w:rPr>
                <w:sz w:val="19"/>
                <w:szCs w:val="19"/>
                <w:color w:val="auto"/>
              </w:rPr>
            </w:pPr>
          </w:p>
        </w:tc>
      </w:tr>
      <w:tr>
        <w:trPr>
          <w:trHeight w:val="209"/>
        </w:trPr>
        <w:tc>
          <w:tcPr>
            <w:tcW w:w="438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10,861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and the 2018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0" w:name="page81"/>
    <w:bookmarkEnd w:id="80"/>
    <w:p>
      <w:pPr>
        <w:ind w:right="180"/>
        <w:spacing w:after="0" w:line="277" w:lineRule="auto"/>
        <w:rPr>
          <w:sz w:val="20"/>
          <w:szCs w:val="20"/>
          <w:color w:val="auto"/>
        </w:rPr>
      </w:pPr>
      <w:r>
        <w:rPr>
          <w:rFonts w:ascii="Arial" w:cs="Arial" w:eastAsia="Arial" w:hAnsi="Arial"/>
          <w:sz w:val="18"/>
          <w:szCs w:val="18"/>
          <w:color w:val="auto"/>
        </w:rPr>
        <w:t>likelihood of obtaining specified approvals from the Federal Drug Administration as well as reaching cumulative revenue milestones. The Level 3 estimates are based, in part, on subjective assumptions.</w:t>
      </w:r>
    </w:p>
    <w:p>
      <w:pPr>
        <w:spacing w:after="0" w:line="17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Series A Warrants</w:t>
            </w:r>
          </w:p>
        </w:tc>
        <w:tc>
          <w:tcPr>
            <w:tcW w:w="2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Series C Warrants</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2017 PIPE Warrants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2018 PIPE Warrants</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1"/>
                <w:szCs w:val="11"/>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Liability</w:t>
            </w: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1"/>
                <w:szCs w:val="11"/>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Liability</w:t>
            </w:r>
          </w:p>
        </w:tc>
        <w:tc>
          <w:tcPr>
            <w:tcW w:w="10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Liability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1"/>
                <w:szCs w:val="11"/>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Warrants</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Warrants</w:t>
            </w: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4,563</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Expiration of Series A Warrants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(485,121)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Change in value of Series C Warrants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Change in value of 2017 PIPE Warrants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6,259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Change in value of 2018 PIPE Warrants</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Change in value of contingent liability</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10,822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w w:val="90"/>
              </w:rPr>
              <w:t>Note 5. Other Financial Statement Details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12"/>
          </w:tcPr>
          <w:p>
            <w:pPr>
              <w:ind w:left="600"/>
              <w:spacing w:after="0"/>
              <w:rPr>
                <w:sz w:val="20"/>
                <w:szCs w:val="20"/>
                <w:color w:val="auto"/>
              </w:rPr>
            </w:pPr>
            <w:r>
              <w:rPr>
                <w:rFonts w:ascii="Arial" w:cs="Arial" w:eastAsia="Arial" w:hAnsi="Arial"/>
                <w:sz w:val="18"/>
                <w:szCs w:val="18"/>
                <w:color w:val="auto"/>
                <w:w w:val="92"/>
              </w:rPr>
              <w:t>Property and equipment are summarized in the following table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3"/>
              </w:rPr>
              <w:t>Computer hardware</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w w:val="97"/>
              </w:rPr>
              <w:t>Computer software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Arial" w:cs="Arial" w:eastAsia="Arial" w:hAnsi="Arial"/>
                <w:sz w:val="18"/>
                <w:szCs w:val="18"/>
                <w:color w:val="auto"/>
              </w:rPr>
              <w:t>Leasehold improvements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105</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80" w:type="dxa"/>
            <w:vAlign w:val="bottom"/>
            <w:gridSpan w:val="9"/>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(93)</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Depreciation expense was approximately $11,000 and $19,000 for the years ended December 31, 2019 and December 31,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60" w:type="dxa"/>
            <w:vAlign w:val="bottom"/>
          </w:tcPr>
          <w:p>
            <w:pPr>
              <w:jc w:val="right"/>
              <w:ind w:right="319"/>
              <w:spacing w:after="0" w:line="133" w:lineRule="exact"/>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86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Patents and merger costs</w:t>
            </w:r>
          </w:p>
        </w:tc>
        <w:tc>
          <w:tcPr>
            <w:tcW w:w="3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22,003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16,525</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22,003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22,003</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22,003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20" w:type="dxa"/>
            <w:vAlign w:val="bottom"/>
            <w:gridSpan w:val="21"/>
          </w:tcPr>
          <w:p>
            <w:pPr>
              <w:ind w:left="20"/>
              <w:spacing w:after="0"/>
              <w:rPr>
                <w:sz w:val="20"/>
                <w:szCs w:val="20"/>
                <w:color w:val="auto"/>
              </w:rPr>
            </w:pPr>
            <w:r>
              <w:rPr>
                <w:rFonts w:ascii="Arial" w:cs="Arial" w:eastAsia="Arial" w:hAnsi="Arial"/>
                <w:sz w:val="18"/>
                <w:szCs w:val="18"/>
                <w:color w:val="auto"/>
              </w:rPr>
              <w:t>Future amortization expense for intangible assets over their remaining useful lives is as follows (in thousands).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300" w:type="dxa"/>
            <w:vAlign w:val="bottom"/>
            <w:gridSpan w:val="4"/>
            <w:vMerge w:val="restart"/>
          </w:tcPr>
          <w:p>
            <w:pPr>
              <w:ind w:left="1720"/>
              <w:spacing w:after="0"/>
              <w:rPr>
                <w:sz w:val="20"/>
                <w:szCs w:val="20"/>
                <w:color w:val="auto"/>
              </w:rPr>
            </w:pPr>
            <w:r>
              <w:rPr>
                <w:rFonts w:ascii="Arial" w:cs="Arial" w:eastAsia="Arial" w:hAnsi="Arial"/>
                <w:sz w:val="14"/>
                <w:szCs w:val="14"/>
                <w:b w:val="1"/>
                <w:bCs w:val="1"/>
                <w:color w:val="auto"/>
                <w:w w:val="91"/>
              </w:rPr>
              <w:t>Year ending December 31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ind w:left="220"/>
              <w:spacing w:after="0"/>
              <w:rPr>
                <w:sz w:val="20"/>
                <w:szCs w:val="20"/>
                <w:color w:val="auto"/>
              </w:rPr>
            </w:pPr>
            <w:r>
              <w:rPr>
                <w:rFonts w:ascii="Arial" w:cs="Arial" w:eastAsia="Arial" w:hAnsi="Arial"/>
                <w:sz w:val="14"/>
                <w:szCs w:val="14"/>
                <w:b w:val="1"/>
                <w:bCs w:val="1"/>
                <w:color w:val="auto"/>
              </w:rPr>
              <w:t>Patents and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ind w:left="220"/>
              <w:spacing w:after="0"/>
              <w:rPr>
                <w:sz w:val="20"/>
                <w:szCs w:val="20"/>
                <w:color w:val="auto"/>
              </w:rPr>
            </w:pPr>
            <w:r>
              <w:rPr>
                <w:rFonts w:ascii="Arial" w:cs="Arial" w:eastAsia="Arial" w:hAnsi="Arial"/>
                <w:sz w:val="14"/>
                <w:szCs w:val="14"/>
                <w:b w:val="1"/>
                <w:bCs w:val="1"/>
                <w:color w:val="auto"/>
              </w:rPr>
              <w:t>trademarks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5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w w:val="99"/>
              </w:rPr>
              <w:t>2025 and thereafter</w:t>
            </w:r>
          </w:p>
        </w:tc>
        <w:tc>
          <w:tcPr>
            <w:tcW w:w="5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16,525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expense was $1.9 million for the year ended December 31, 2019 and 2018.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 xml:space="preserve">The Company has issued multiple warrant series, of which the Series A Warrants, Series C Warrants, the 2017 PIPE Warrants and the 2018 PIPE Warrants (the “Warrants”) are considered liabilities pursuant to the guidance established by </w:t>
      </w:r>
      <w:r>
        <w:rPr>
          <w:rFonts w:ascii="Arial" w:cs="Arial" w:eastAsia="Arial" w:hAnsi="Arial"/>
          <w:sz w:val="17"/>
          <w:szCs w:val="17"/>
          <w:i w:val="1"/>
          <w:iCs w:val="1"/>
          <w:color w:val="auto"/>
        </w:rPr>
        <w:t>ASC 815 Derivatives and Hedging.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The Company classified the Warrants as long-term liabilities at their fair value and will re-measure the warrants at each balance sheet date until they are exercised or expire. Any change in the fair value is recognized as other income (expense) in the Company’s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Company issued 489,921 Series A Warrants to purchase shares of its common stock at an exercise price of $32.50 per share in connection with the unit offering offered in the Company’s initial public offering, or the IPO, in November 2014. The Series A Warrants were exercisable prior to the expiration of the five-year term on November 12, 2019.</w:t>
      </w:r>
    </w:p>
    <w:p>
      <w:pPr>
        <w:spacing w:after="0" w:line="18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Upon the completion of the IPO, the Series A Warrants started trading on the NASDAQ under the symbol SLNOW. As the Series A Warrants are publicly traded, the Company used the closing price on the measurement date to determine the fair value of the Series A Warrants. The Series AWarrants contain a fundamental transactions provision that permitted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were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2" w:name="page83"/>
    <w:bookmarkEnd w:id="82"/>
    <w:p>
      <w:pPr>
        <w:ind w:right="160" w:firstLine="598"/>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On November 12, 2019, the remaining Series A Warrants expired. The decrease in fair value of approximately $49,000 from December 31, 2018 was recorded as other income (expense)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right="20" w:firstLine="598"/>
        <w:spacing w:after="0" w:line="295" w:lineRule="auto"/>
        <w:rPr>
          <w:sz w:val="20"/>
          <w:szCs w:val="20"/>
          <w:color w:val="auto"/>
        </w:rPr>
      </w:pPr>
      <w:r>
        <w:rPr>
          <w:rFonts w:ascii="Arial" w:cs="Arial" w:eastAsia="Arial" w:hAnsi="Arial"/>
          <w:sz w:val="16"/>
          <w:szCs w:val="16"/>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 Company of $3.8 million based on the exercise price of the Series B Warrants. 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90" w:lineRule="exact"/>
        <w:rPr>
          <w:sz w:val="20"/>
          <w:szCs w:val="20"/>
          <w:color w:val="auto"/>
        </w:rPr>
      </w:pPr>
    </w:p>
    <w:p>
      <w:pPr>
        <w:ind w:firstLine="697"/>
        <w:spacing w:after="0" w:line="269" w:lineRule="auto"/>
        <w:rPr>
          <w:sz w:val="20"/>
          <w:szCs w:val="20"/>
          <w:color w:val="auto"/>
        </w:rPr>
      </w:pPr>
      <w:r>
        <w:rPr>
          <w:rFonts w:ascii="Arial" w:cs="Arial" w:eastAsia="Arial" w:hAnsi="Arial"/>
          <w:sz w:val="17"/>
          <w:szCs w:val="17"/>
          <w:color w:val="auto"/>
        </w:rPr>
        <w:t>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 The Series C Warrants contract further provides for the payment of liquidated damages at an amount per month equal to 1% of the aggregate volume weighted average price, or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8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Series C Warrants are exercisable into 118,083 shares of the Company’s common stock. As of December 31, 2019, the fair value of the Series C Warrants was determined to be zero, consistent with the value as of December 31, 2018.</w:t>
      </w:r>
    </w:p>
    <w:p>
      <w:pPr>
        <w:spacing w:after="0" w:line="170"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2017 PIPE Warrants were issued on December 15, 2017 in the 2017 PIPE Offering, pursuant to a Warrant Agreement with each of the investors in the 2017 PIPE Offering, and entitle the holders to purchase 6,024,425 shares of the Company’s common stock at an exercise price equal to $2.00 per share, subject to adjustment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discussed below, at any time commencing upon issuance of the 2017 PIPE Warrants and terminating at the earlier of December 15, 2020 or 30 days following positive Phase III results for the DCCR tablet in PWS.</w:t>
      </w:r>
    </w:p>
    <w:p>
      <w:pPr>
        <w:spacing w:after="0" w:line="170"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81"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2019, the fair value of the 2017 PIPE Warrants was estimated at $10.8 million. The increase in the fair value of the liability for the 2017 PIPE Warrants of $6.3 million during the year ended December 31, 2019 was recorded as other expense in the consolidated statements of operations.</w:t>
      </w:r>
    </w:p>
    <w:p>
      <w:pPr>
        <w:spacing w:after="0" w:line="18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The 2018 PIPE Warrants were issued on December 19, 2018 in the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147"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in the event of a stock split, stock dividend, extraordinary dividend, or recapitalization, reorganization, merger or consolidation. However, the exercise price of the 2018 PIPE Warrants will not be reduced below $2.00.</w:t>
      </w:r>
    </w:p>
    <w:p>
      <w:pPr>
        <w:spacing w:after="0" w:line="181"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 of December 31, 2019, the fair value of the 2018 PIPE Warrants was estimated at $1.4 million. The approximate $754,000 increase in the fair value of the liability for the 2018 PIPE Warrants during the year ended December 31, 2019 was recorded as other expense in the consolidated statements of operations.</w:t>
      </w:r>
    </w:p>
    <w:p>
      <w:pPr>
        <w:spacing w:after="0" w:line="181"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4" w:name="page85"/>
    <w:bookmarkEnd w:id="84"/>
    <w:p>
      <w:pPr>
        <w:ind w:left="600"/>
        <w:spacing w:after="0"/>
        <w:rPr>
          <w:sz w:val="20"/>
          <w:szCs w:val="20"/>
          <w:color w:val="auto"/>
        </w:rPr>
      </w:pPr>
      <w:r>
        <w:rPr>
          <w:rFonts w:ascii="Arial" w:cs="Arial" w:eastAsia="Arial" w:hAnsi="Arial"/>
          <w:sz w:val="18"/>
          <w:szCs w:val="18"/>
          <w:color w:val="auto"/>
        </w:rPr>
        <w:t>The following summarizes certain key assumptions used in estimating the fair values.</w:t>
      </w:r>
    </w:p>
    <w:p>
      <w:pPr>
        <w:spacing w:after="0" w:line="21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rate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bl>
    <w:p>
      <w:pPr>
        <w:spacing w:after="0" w:line="20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1040" w:right="460" w:hanging="438"/>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on the volatilities of common stock of comparable companies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together with the volatility of its own stock.</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17" w:lineRule="exact"/>
        <w:rPr>
          <w:rFonts w:ascii="Arial" w:cs="Arial" w:eastAsia="Arial" w:hAnsi="Arial"/>
          <w:sz w:val="18"/>
          <w:szCs w:val="18"/>
          <w:color w:val="auto"/>
        </w:rPr>
      </w:pPr>
    </w:p>
    <w:p>
      <w:pPr>
        <w:ind w:left="1040" w:right="100" w:hanging="438"/>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1040" w:hanging="438"/>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Company adopted ASC 842: Leases, as of January 1, 2019, using the modified retrospective method as described in Note 3, without adjusting prior comparative periods.</w:t>
      </w:r>
    </w:p>
    <w:p>
      <w:pPr>
        <w:spacing w:after="0" w:line="62"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the classification of the lease, operating or finance, using the classification criteria described in ASC 842. The Company has elected not to separate lease components from non-lease components, such as common area maintenance charges, and instead accounts for the lease and non-lease components as a single component.</w:t>
      </w:r>
    </w:p>
    <w:p>
      <w:pPr>
        <w:spacing w:after="0" w:line="80"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Company’s previous operating lease for its headquarters facility office space in Redwood City, California, terminated in August 2019, along with the related subleases. One of the subleases was with Capnia, of which the Company was a joint owner until September 2019. See note 9 for further information. Sublease income received from Capnia during the year ended December 31, 2019 was approximately $65,000.</w:t>
      </w:r>
    </w:p>
    <w:p>
      <w:pPr>
        <w:spacing w:after="0" w:line="57"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finance lease for the office furniture, based on their relative standalone prices.</w:t>
      </w:r>
    </w:p>
    <w:p>
      <w:pPr>
        <w:spacing w:after="0" w:line="6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As of December 31, 2019, the Company’s operating lease right-of-use assets and finance lease right-of-use assets were approximately $398,000 and $24,000, respectively. The Company’s current operating lease liabilities were approximately $305,000 as of December 31, 2019. Each of these amounts appears as a separate line within the Company’s consolidated balance sheet. The Company’s current finance lease liabilities were approximately $17,000 as of December 31, 2019 and are included in other current liabilities on the consolidated balance sheet. As of December 31, 2019 the Company’s long-term operating lease liabilities were approximately $139,000 and the long-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term finance lease liabilities were approximately $8,000, both of which are included in other long-term liabilities on the consolidated balance sheet.</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during the year ended December 31, 2019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8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Total operating lease cost</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8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8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Total finance lease cost</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2018, rent expense was approximately $323,000, net of sublease income of approximately $277,000.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Supplemental cash flow information related to leases was as follows for the year ended December 31, 2019 (in thousands):</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8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9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Right-of use assets obtained in exchange for lease obligations (noncash):</w:t>
            </w: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schedule by year of future maturities of the Company’s lease liabilities as of December 31, 2019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4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Operating Leases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Finances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Lease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5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13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350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3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Less interest</w:t>
            </w:r>
          </w:p>
        </w:tc>
        <w:tc>
          <w:tcPr>
            <w:tcW w:w="3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ind w:right="13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500" w:type="dxa"/>
            <w:vAlign w:val="bottom"/>
            <w:vMerge w:val="restart"/>
          </w:tcPr>
          <w:p>
            <w:pPr>
              <w:jc w:val="right"/>
              <w:ind w:right="1310"/>
              <w:spacing w:after="0"/>
              <w:rPr>
                <w:sz w:val="20"/>
                <w:szCs w:val="20"/>
                <w:color w:val="auto"/>
              </w:rPr>
            </w:pPr>
            <w:r>
              <w:rPr>
                <w:rFonts w:ascii="Arial" w:cs="Arial" w:eastAsia="Arial" w:hAnsi="Arial"/>
                <w:sz w:val="18"/>
                <w:szCs w:val="18"/>
                <w:color w:val="auto"/>
              </w:rPr>
              <w:t>84</w:t>
            </w: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86" w:name="page87"/>
    <w:bookmarkEnd w:id="86"/>
    <w:p>
      <w:pPr>
        <w:ind w:right="160" w:firstLine="598"/>
        <w:spacing w:after="0" w:line="279" w:lineRule="auto"/>
        <w:rPr>
          <w:sz w:val="20"/>
          <w:szCs w:val="20"/>
          <w:color w:val="auto"/>
        </w:rPr>
      </w:pPr>
      <w:r>
        <w:rPr>
          <w:rFonts w:ascii="Arial" w:cs="Arial" w:eastAsia="Arial" w:hAnsi="Arial"/>
          <w:sz w:val="17"/>
          <w:szCs w:val="17"/>
          <w:color w:val="auto"/>
        </w:rPr>
        <w:t>The weighted-average remaining lease term and discount rate related to the Company’s lease liabilities as of December 31, 2019 were 1.4 years and 10%, respectively, for both the operating leases and finance leases. The Company lease discount rates are based on estimates of its incremental borrowing rate, as the discount rates implicit in the Company’s leases cannot be readily determined. As the Company does not have any outstanding debt the Company estimates the incremental borrowing rate based on its estimated credit rating and available market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CoSense Joint Venture Agreement and Discontinued Operations</w:t>
      </w:r>
    </w:p>
    <w:p>
      <w:pPr>
        <w:spacing w:after="0" w:line="229"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In December 2017, the Company entered into a joint venture with OptAsia Healthcare Limited, or OAHL, with respect to its CoSense product by agreeing to sell shares of Capnia, its then wholly-owned subsidiary, to OAHL. CoSense was Soleno’s first Sensalyze Technology Platform product to receive 510(k) clearances from the FDA and CE Mark certification. The Company’s entry into the joint venture resulted from a comprehensive review of strategic alternatives for its legacy products and product candidates following its transition to a primarily therapeutic drug product company. The terms of the Joint Venture Agreement provide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9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from those of the Company and a $2.0 million gain was recognized in the fourth quarter of 2018 as a result of the deconsolidation. Of this amount, $1.2 million related to the remeasurement of the Company's retained interest in the joint venture to fair value which was measured based on the negotiated price of $1.00 per share for Soleno’s remaining ownership of 1,480,000 shares less a 23% discount for lack of control over Capnia. The total gain was included in other income from continuing operations on the Company's consolidated statements of operations. The remaining 47% investment in Capnia was classified as an equity method investment and presented as a Minority interest investment in former subsidiary in the consolidated balance sheet. During September 2019, the Company sold its remaining 47% investment in Capnia to Sinon for a total purchase price of $500,000. As of the sale date, the Company had a minority interest investment in former subsidiary balance of approximately $467,000, after recording approximately $511,000 for its share of Capnia’s losses during 2019 up until the date of sale, which is included in the line titled “Loss from minority interest investment” in the Company’s consolidated statements of operations. A gain of approximately $33,000 was recognized upon the sale and is presented, together with the Company’s share of Capnia’s net losses during the period, in the consolidated statements of operations in the line titled “Loss from minority interest investment”. Following the transaction, the Company has no interest remaining in Capnia and the previous joint venture agreement with OAHL has been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ind w:firstLine="598"/>
        <w:spacing w:after="0" w:line="264" w:lineRule="auto"/>
        <w:rPr>
          <w:sz w:val="20"/>
          <w:szCs w:val="20"/>
          <w:color w:val="auto"/>
        </w:rPr>
      </w:pPr>
      <w:r>
        <w:rPr>
          <w:rFonts w:ascii="Arial" w:cs="Arial" w:eastAsia="Arial" w:hAnsi="Arial"/>
          <w:sz w:val="18"/>
          <w:szCs w:val="18"/>
          <w:color w:val="auto"/>
        </w:rPr>
        <w:t>There were no assets or liabilities held for sale as of December 31, 2019, or December 31, 2018, after the deconsolidation of Capnia in October 2018, and no discontinued operations during the year ended December 31, 2019. The components of the Statements of Operations presented as Discontinued Operations during the year ended December 31, 2018 follow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product revenue</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9"/>
                <w:szCs w:val="19"/>
                <w:color w:val="auto"/>
              </w:rPr>
            </w:pPr>
          </w:p>
        </w:tc>
      </w:tr>
      <w:tr>
        <w:trPr>
          <w:trHeight w:val="230"/>
        </w:trPr>
        <w:tc>
          <w:tcPr>
            <w:tcW w:w="65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8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 expense of approximately $76,000 and was classified in discontinued operations for the years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discontinued operations during the year ended December 31,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Company had issued a total of 13,780 shares of Series B Convertible Preferred Stock pursuant to the Securities Purchase Agreement entered into on June 29, 2016 with Sabby Management, LLC. As of December 31, 2019, there were no shares of Series B Convertible Preferred Stock outstanding as all such previously issued shares had been converted to common shares.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On March 7, 2017, the Company completed the Merger with Essentialis and issued 3,783,388 shares of common stock to shareholders of Essentialis. Pursuant to the terms of the Merger Agreement, the Company held back shares of common stock as partial recourse to satisfy indemnification claims. Effective March 7, 2018, on the one-year anniversary of the closing of the merger, the Company issued 180,667 shares for the previously held back amount. In the second quarter of 2018 there were 903,367 additional shares of common stock issued upon the achievement of a development milestone. In total, 4,867,422 shares of common stock were issued to Essentialis stockholders. Additionally, upon the achievement of certain commercial milestones associated with the sale of Essentialis’ product in accordance with the terms of the Merger Agreement, the Company is obligated to make cash earnout payments of up to a maximum of $30.0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82" w:lineRule="exact"/>
        <w:rPr>
          <w:sz w:val="20"/>
          <w:szCs w:val="20"/>
          <w:color w:val="auto"/>
        </w:rPr>
      </w:pPr>
    </w:p>
    <w:p>
      <w:pPr>
        <w:jc w:val="both"/>
        <w:ind w:right="120" w:firstLine="598"/>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provided that, upon the terms and subject to the conditions and limitations set forth therein, Aspire Capital was committed to purchase up to an aggregate of $17.0 million in value of shares of the Company’s common stock over the 30-month term of the purchase agreement. Additionally, on the date of the closing of the financing, as defined in the Merger Agreement, the Company issued to Aspire Capital, and Aspire Capital purchased from the Company an aggregate of $2.0 million of the Company’s common stock.</w:t>
      </w:r>
    </w:p>
    <w:p>
      <w:pPr>
        <w:spacing w:after="0" w:line="18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the Company’s common stock and a warrant to purchase 0.05 shares of the Company’s common stock at an exercise price of $2.00 per share, for an aggregate of 10,272,375 shares of common stock and corresponding warrants to purchase an aggregate of 513,617 shares of common stock, together with the shares of common stock are referred to as the 2018 Resale Shares. The Company also granted certain registration rights to these stockholders, pursuant to which, among other things, the Company prepared and filed a registration statement with the SEC to register for resale the 2018 Resale Shares. The registration statement was declared effective in April 2019.</w:t>
      </w:r>
    </w:p>
    <w:p>
      <w:pPr>
        <w:spacing w:after="0" w:line="189"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On October 25, 2019, the Company sold 12,841,667 shares of its common stock, including 1,675,000 shares sold upon full exercise of the underwriters’ option to purchase additional shares, at a public offering price of $1.20 per share. The net proceeds of the offering were $14.5 million, after deducting the underwriting discount and other offering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Company has the 2014 Equity Incentive Plan, or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December 31, 2019, a total of 615,760 shares are available for future grant under the 2014 Plan.</w:t>
      </w:r>
    </w:p>
    <w:p>
      <w:pPr>
        <w:spacing w:after="0" w:line="178"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The Company recognized stock-based compensation expense related to options and restricted stock units granted to employees, directors and consultants for the years ended December 31, 2019 and 2018 of approximately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ind w:right="340"/>
        <w:spacing w:after="0" w:line="259" w:lineRule="auto"/>
        <w:rPr>
          <w:sz w:val="20"/>
          <w:szCs w:val="20"/>
          <w:color w:val="auto"/>
        </w:rPr>
      </w:pPr>
      <w:r>
        <w:rPr>
          <w:rFonts w:ascii="Arial" w:cs="Arial" w:eastAsia="Arial" w:hAnsi="Arial"/>
          <w:sz w:val="18"/>
          <w:szCs w:val="18"/>
          <w:color w:val="auto"/>
        </w:rPr>
        <w:t>$825,000 and $1.3 million, respectively, of which approximately $76,000 was recorded in discontinued operations in 2018. There were no discontinued operations during 2019. The compensation expense is allocated on a departmental basis, based on the classification of the option holder. No income tax benefits have been recognized in the statements of operations for stock-based compensation arrangements during the year ended December 31, 2019 and December 31, 2018.</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 compensation expense was allocated between departments in continuing operations as follows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760"/>
              <w:spacing w:after="0"/>
              <w:rPr>
                <w:sz w:val="20"/>
                <w:szCs w:val="20"/>
                <w:color w:val="auto"/>
              </w:rPr>
            </w:pPr>
            <w:r>
              <w:rPr>
                <w:rFonts w:ascii="Arial" w:cs="Arial" w:eastAsia="Arial" w:hAnsi="Arial"/>
                <w:sz w:val="14"/>
                <w:szCs w:val="14"/>
                <w:b w:val="1"/>
                <w:bCs w:val="1"/>
                <w:color w:val="auto"/>
              </w:rPr>
              <w:t>Year ended</w:t>
            </w:r>
          </w:p>
        </w:tc>
      </w:tr>
      <w:tr>
        <w:trPr>
          <w:trHeight w:val="133"/>
        </w:trPr>
        <w:tc>
          <w:tcPr>
            <w:tcW w:w="5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The Company granted options to purchase 658,285 and 756,086 of the Company’s common stock in 2019 and 2018, respectively. The fair value of each award granted was estimated on the date of grant using the Black-Scholes option pricing model with the following assumptions.</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Year Ended</w:t>
            </w:r>
          </w:p>
        </w:tc>
      </w:tr>
      <w:tr>
        <w:trPr>
          <w:trHeight w:val="133"/>
        </w:trPr>
        <w:tc>
          <w:tcPr>
            <w:tcW w:w="5480" w:type="dxa"/>
            <w:vAlign w:val="bottom"/>
          </w:tcPr>
          <w:p>
            <w:pPr>
              <w:spacing w:after="0"/>
              <w:rPr>
                <w:sz w:val="11"/>
                <w:szCs w:val="11"/>
                <w:color w:val="auto"/>
              </w:rPr>
            </w:pPr>
          </w:p>
        </w:tc>
        <w:tc>
          <w:tcPr>
            <w:tcW w:w="13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5.5-6.1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1.6%-2.6%</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2.7%-2.8%</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70%-75%</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70%-71%</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Dividend rate</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rPr>
              <w:t>— %</w:t>
            </w:r>
          </w:p>
        </w:tc>
        <w:tc>
          <w:tcPr>
            <w:tcW w:w="120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20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1040" w:hanging="438"/>
        <w:spacing w:after="0" w:line="279"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average of the contractual term of the options and the weighted-average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permitted under the simplified method. The Company does 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63" w:lineRule="exact"/>
        <w:rPr>
          <w:rFonts w:ascii="Arial" w:cs="Arial" w:eastAsia="Arial" w:hAnsi="Arial"/>
          <w:sz w:val="17"/>
          <w:szCs w:val="17"/>
          <w:color w:val="auto"/>
        </w:rPr>
      </w:pPr>
    </w:p>
    <w:p>
      <w:pPr>
        <w:ind w:left="1040" w:right="80" w:hanging="438"/>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liquidity.</w:t>
      </w:r>
    </w:p>
    <w:p>
      <w:pPr>
        <w:spacing w:after="0" w:line="62" w:lineRule="exact"/>
        <w:rPr>
          <w:rFonts w:ascii="Arial" w:cs="Arial" w:eastAsia="Arial" w:hAnsi="Arial"/>
          <w:sz w:val="18"/>
          <w:szCs w:val="18"/>
          <w:color w:val="auto"/>
        </w:rPr>
      </w:pPr>
    </w:p>
    <w:p>
      <w:pPr>
        <w:ind w:left="1040" w:right="180" w:hanging="438"/>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based on the volatilities of the Company’s common stock together with comparable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industry.</w:t>
      </w:r>
    </w:p>
    <w:p>
      <w:pPr>
        <w:spacing w:after="0" w:line="62" w:lineRule="exact"/>
        <w:rPr>
          <w:rFonts w:ascii="Arial" w:cs="Arial" w:eastAsia="Arial" w:hAnsi="Arial"/>
          <w:sz w:val="18"/>
          <w:szCs w:val="18"/>
          <w:color w:val="auto"/>
        </w:rPr>
      </w:pPr>
    </w:p>
    <w:p>
      <w:pPr>
        <w:ind w:left="1040" w:right="760" w:hanging="438"/>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90" w:name="page91"/>
    <w:bookmarkEnd w:id="90"/>
    <w:p>
      <w:pPr>
        <w:ind w:right="140" w:firstLine="598"/>
        <w:spacing w:after="0" w:line="277" w:lineRule="auto"/>
        <w:rPr>
          <w:sz w:val="20"/>
          <w:szCs w:val="20"/>
          <w:color w:val="auto"/>
        </w:rPr>
      </w:pPr>
      <w:r>
        <w:rPr>
          <w:rFonts w:ascii="Arial" w:cs="Arial" w:eastAsia="Arial" w:hAnsi="Arial"/>
          <w:sz w:val="18"/>
          <w:szCs w:val="18"/>
          <w:color w:val="auto"/>
        </w:rPr>
        <w:t>The following table summarizes stock option and restricted stock unit transactions for the years ended December 31, 2019 and 2018 as issued under the 2014 Plan.</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Available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Price per</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Grant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1,571,212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223,742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allocated to grants of restricted stock units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(245,588)</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(756,086)</w:t>
            </w:r>
          </w:p>
        </w:tc>
        <w:tc>
          <w:tcPr>
            <w:tcW w:w="1040" w:type="dxa"/>
            <w:vAlign w:val="bottom"/>
          </w:tcPr>
          <w:p>
            <w:pPr>
              <w:jc w:val="right"/>
              <w:spacing w:after="0"/>
              <w:rPr>
                <w:sz w:val="20"/>
                <w:szCs w:val="20"/>
                <w:color w:val="auto"/>
              </w:rPr>
            </w:pPr>
            <w:r>
              <w:rPr>
                <w:rFonts w:ascii="Arial" w:cs="Arial" w:eastAsia="Arial" w:hAnsi="Arial"/>
                <w:sz w:val="18"/>
                <w:szCs w:val="18"/>
                <w:color w:val="auto"/>
              </w:rPr>
              <w:t>756,086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canceled/forfeited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115,920</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(115,920)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909,200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1,667,153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223,742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allocated to grants of restricted stock units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(61,218)</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(658,285)</w:t>
            </w:r>
          </w:p>
        </w:tc>
        <w:tc>
          <w:tcPr>
            <w:tcW w:w="1040" w:type="dxa"/>
            <w:vAlign w:val="bottom"/>
          </w:tcPr>
          <w:p>
            <w:pPr>
              <w:jc w:val="right"/>
              <w:spacing w:after="0"/>
              <w:rPr>
                <w:sz w:val="20"/>
                <w:szCs w:val="20"/>
                <w:color w:val="auto"/>
              </w:rPr>
            </w:pPr>
            <w:r>
              <w:rPr>
                <w:rFonts w:ascii="Arial" w:cs="Arial" w:eastAsia="Arial" w:hAnsi="Arial"/>
                <w:sz w:val="18"/>
                <w:szCs w:val="18"/>
                <w:color w:val="auto"/>
              </w:rPr>
              <w:t>658,285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Options canceled/forfeited</w:t>
            </w:r>
          </w:p>
        </w:tc>
        <w:tc>
          <w:tcPr>
            <w:tcW w:w="1020" w:type="dxa"/>
            <w:vAlign w:val="bottom"/>
          </w:tcPr>
          <w:p>
            <w:pPr>
              <w:jc w:val="right"/>
              <w:spacing w:after="0"/>
              <w:rPr>
                <w:sz w:val="20"/>
                <w:szCs w:val="20"/>
                <w:color w:val="auto"/>
              </w:rPr>
            </w:pPr>
            <w:r>
              <w:rPr>
                <w:rFonts w:ascii="Arial" w:cs="Arial" w:eastAsia="Arial" w:hAnsi="Arial"/>
                <w:sz w:val="18"/>
                <w:szCs w:val="18"/>
                <w:color w:val="auto"/>
              </w:rPr>
              <w:t>202,321</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(202,321)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615,760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Options vested at December 31, 2019</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top w:val="single" w:sz="8" w:color="auto"/>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1,153,457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and expected to vest at</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2,123,117</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$1.14 and $1.08 per share for the year ended December 31, 2019 and December 31, 2018, respectively. At December 31, 2019 total unrecognized employee stock-based compensation was $1.1 million, which is expected to be recognized over the weighted-average remaining vesting period of 2.4 years. As of December 31, 2019, the outstanding stock options had an intrinsic value of $1.6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There were 61,218 and 245,588 restricted stock units granted by the Company during the year ended December 31, 2019 and December 31, 2018, respectively, to employees, directors and consultants. The shares were 100% vested on the grant date and were valued based on the Company’s common stock price on the grant date, with approximately $132,000 and $434,000 of related stock-based compensation expense recognized during the year ended December 31, 2019 and December 31, 2018, respectively.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80" w:lineRule="exact"/>
        <w:rPr>
          <w:sz w:val="20"/>
          <w:szCs w:val="20"/>
          <w:color w:val="auto"/>
        </w:rPr>
      </w:pPr>
    </w:p>
    <w:p>
      <w:pPr>
        <w:ind w:left="1040" w:hanging="438"/>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 of the outstanding shares of the Company’s common stock on the first day of such year;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55,936 shares; or</w:t>
      </w:r>
    </w:p>
    <w:p>
      <w:pPr>
        <w:spacing w:after="0" w:line="117" w:lineRule="exact"/>
        <w:rPr>
          <w:rFonts w:ascii="Arial" w:cs="Arial" w:eastAsia="Arial" w:hAnsi="Arial"/>
          <w:sz w:val="18"/>
          <w:szCs w:val="18"/>
          <w:color w:val="auto"/>
        </w:rPr>
      </w:pPr>
    </w:p>
    <w:p>
      <w:pPr>
        <w:ind w:left="1040" w:hanging="438"/>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amount as determined by the board of directors.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360" w:firstLine="598"/>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color w:val="auto"/>
        </w:rPr>
        <w:t>As of December 31, 2019, the Company had 102,070 common stock warrants outstanding from the 2010/2012 convertible notes, with an exercise price of $24.35 and a term of 10 years expiring in November 2024. The Company also had outstanding 16,500 common stock warrants issued to the underwriter in the Company’s IPO, with an exercise price of $35.70 and a term of 10 years, expiring in November 2024.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geographical distribution of loss before income taxes are summarized below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Loss resulting from discontinued operations</w:t>
            </w: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Taxes allocated to discontinued operations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provision for income tax benefit differs from the amount estimated by applying the statutory federal income tax rate to the operating loss from continuing operations due to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w w:val="89"/>
              </w:rPr>
              <w:t>Tax on the loss before income tax expense computed</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the federal statutory rate</w:t>
            </w:r>
          </w:p>
        </w:tc>
        <w:tc>
          <w:tcPr>
            <w:tcW w:w="18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(6,463)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(2,486)</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9"/>
              </w:rPr>
              <w:t>State tax (benefit) at statutory rate, net of federal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benefit</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(1,691)</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research and development credits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based compensation—ISOs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Gain on deconsolidation</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Disallowance of loss on discontinued operations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net operating loss true up</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state rate true up</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temporary difference true up</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 benefit</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80" w:type="dxa"/>
            <w:vAlign w:val="bottom"/>
            <w:vMerge w:val="restart"/>
          </w:tcPr>
          <w:p>
            <w:pPr>
              <w:jc w:val="right"/>
              <w:ind w:right="1270"/>
              <w:spacing w:after="0"/>
              <w:rPr>
                <w:sz w:val="20"/>
                <w:szCs w:val="20"/>
                <w:color w:val="auto"/>
              </w:rPr>
            </w:pPr>
            <w:r>
              <w:rPr>
                <w:rFonts w:ascii="Arial" w:cs="Arial" w:eastAsia="Arial" w:hAnsi="Arial"/>
                <w:sz w:val="18"/>
                <w:szCs w:val="18"/>
                <w:color w:val="auto"/>
                <w:w w:val="99"/>
              </w:rPr>
              <w:t>91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93" w:name="page94"/>
    <w:bookmarkEnd w:id="93"/>
    <w:p>
      <w:pPr>
        <w:ind w:right="20" w:firstLine="598"/>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2019 and 2018 (in thousands).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Federal and state 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35,091</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28,532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other credits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Reserves and accruals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loss carryover</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deferred tax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non-current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(4,623)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(4,062)</w:t>
            </w: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non-current deferred tax liabilities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34,374</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27,678</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valuation allowance increased by $6.7 million from December 31, 2018 to December 31, 2019 primarily due to the generation of current year net operating losses, capital losses and research and development credits claimed.</w:t>
      </w:r>
    </w:p>
    <w:p>
      <w:pPr>
        <w:spacing w:after="0" w:line="18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As of December 31, 2019, the Company had $150.5 million of federal, $82.5 million of state and approximately $299,000 of foreign net operating losses available to offset future taxable income. The federal net operating loss carryforwards begin to expire in 2020, the federal net operating loss carryforwards of $31.7 million may be carried forward indefinitely, the state net operating loss carryforwards will begin to expire in 2028 and the foreign net operating loss carryforward can be carried forward indefinitely, if not utilized. The Company adjusted its state net operating loss carryforward by $10.4 million for the year ended December 31, 2018. As of December 31, 2019, the Company also had $1.4 million of federal and approximately $916,000 of state research and development credit carryforwards. The federal research and development credit carryforward begin to expire in 2024 and the state research and development credit can be carried forward indefinitely.</w:t>
      </w:r>
    </w:p>
    <w:p>
      <w:pPr>
        <w:spacing w:after="0" w:line="189"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has not completed an updated analysis of whether there was an ownership change, as defined under Section 382 of the Internal Revenue Code, resulting from the issuance of new shares during 2018 through 2019 and, as such, is not able at this time to determine the impact on the net operating loss (“NOL”) carryforwards, if any, as of the date of these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4" w:name="page95"/>
    <w:bookmarkEnd w:id="94"/>
    <w:p>
      <w:pPr>
        <w:ind w:right="180" w:firstLine="598"/>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certain non-United States subsidiaries as of December 31, 2019, as the earnings, if any, are intended to be indefinitely reinvested.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summarize the activities of gross unrecognized tax benefits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6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Decrease related to prior year tax positions</w:t>
            </w:r>
          </w:p>
        </w:tc>
        <w:tc>
          <w:tcPr>
            <w:tcW w:w="1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 related to current year tax positions</w:t>
            </w:r>
          </w:p>
        </w:tc>
        <w:tc>
          <w:tcPr>
            <w:tcW w:w="1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1,111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uses the “more likely than not” criterion for recognizing the tax benefit of uncertain tax positions and to establish measurement criteria for income tax benefits. The Company has determined it has $1.1 million of unrecognized assets and liabilities related to uncertain tax positions as of December 31, 2019.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spacing w:after="0" w:line="80" w:lineRule="exact"/>
        <w:rPr>
          <w:sz w:val="20"/>
          <w:szCs w:val="20"/>
          <w:color w:val="auto"/>
        </w:rPr>
      </w:pPr>
    </w:p>
    <w:p>
      <w:pPr>
        <w:ind w:right="880" w:firstLine="598"/>
        <w:spacing w:after="0" w:line="277" w:lineRule="auto"/>
        <w:rPr>
          <w:sz w:val="20"/>
          <w:szCs w:val="20"/>
          <w:color w:val="auto"/>
        </w:rPr>
      </w:pPr>
      <w:r>
        <w:rPr>
          <w:rFonts w:ascii="Arial" w:cs="Arial" w:eastAsia="Arial" w:hAnsi="Arial"/>
          <w:sz w:val="18"/>
          <w:szCs w:val="18"/>
          <w:color w:val="auto"/>
        </w:rPr>
        <w:t>There were no unrecognized tax benefits that would impact the effective tax rate as of December 31, 2019 and December 31, 2018. As of December 31, 2019, unrecognized tax benefits of $1.1 million would be offset by a change in valuation allowance.</w:t>
      </w:r>
    </w:p>
    <w:p>
      <w:pPr>
        <w:spacing w:after="0" w:line="62"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The Company files income tax returns in the U.S. federal jurisdiction, certain state jurisdictions and United Kingdom. In the normal course of business, the Company is subject to examination by federal, state, local and foreign jurisdictions, where applicable. In the U.S federal jurisdiction, tax years 1999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46"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Jobs Act also establishes global intangible low-taxed income, or “GILTI,” provisions that impose a tax on foreign income in excess of a deemed return on intangible assets of foreign corporations. The Company’s accounting policy for the income tax effects of GILTI will be to recognize those taxes as expenses in the period incurred. In 2019, the Company’s foreign subsidiary realized a tested loss for the period and therefore, the Company did not have a GILTI inclusion for the year.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years ended December 31, 2019 and 2018, the effect of issuing the potential common stock is anti-dilutive due to the net losses in those periods and the number of shares used to compute basic and diluted earnings per share are the same in each of those periods.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5" w:name="page96"/>
    <w:bookmarkEnd w:id="95"/>
    <w:p>
      <w:pPr>
        <w:ind w:right="160" w:firstLine="598"/>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2,123,117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1,667,153</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in 2009 to purchase common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Warrants issued to underwriter to purchase common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20"/>
                <w:szCs w:val="20"/>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A warrants to purchase common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485,121</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Series C warrants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118,083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118,083</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D warrants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586,162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586,162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2017 PIPE warrants</w:t>
            </w:r>
          </w:p>
        </w:tc>
        <w:tc>
          <w:tcPr>
            <w:tcW w:w="1080" w:type="dxa"/>
            <w:vAlign w:val="bottom"/>
          </w:tcPr>
          <w:p>
            <w:pPr>
              <w:jc w:val="right"/>
              <w:spacing w:after="0"/>
              <w:rPr>
                <w:sz w:val="20"/>
                <w:szCs w:val="20"/>
                <w:color w:val="auto"/>
              </w:rPr>
            </w:pPr>
            <w:r>
              <w:rPr>
                <w:rFonts w:ascii="Arial" w:cs="Arial" w:eastAsia="Arial" w:hAnsi="Arial"/>
                <w:sz w:val="18"/>
                <w:szCs w:val="18"/>
                <w:color w:val="auto"/>
              </w:rPr>
              <w:t>6,024,425</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80" w:type="dxa"/>
            <w:vAlign w:val="bottom"/>
            <w:shd w:val="clear" w:color="auto" w:fill="CFF0FC"/>
          </w:tcPr>
          <w:p>
            <w:pPr>
              <w:spacing w:after="0"/>
              <w:rPr>
                <w:sz w:val="19"/>
                <w:szCs w:val="19"/>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9,483,974</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9,514,982</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During the year ended December 31, 2019 the Company made matching contributions of approximately $37,000 to the 401(k) Plan. No contributions were made during the year ended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Company has evaluated its subsequent events from December 31, 2019 through the date these consolidated financial statements were issued and has determined that there are no subsequent events requiring disclosure in these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6" w:name="page97"/>
    <w:bookmarkEnd w:id="96"/>
    <w:p>
      <w:pPr>
        <w:ind w:left="600" w:right="540" w:hanging="42"/>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ind w:right="20" w:firstLine="8"/>
        <w:spacing w:after="0" w:line="253"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91"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8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 xml:space="preserve">Management conducted an evaluation of the effectiveness of our control over financial reporting based on the 2013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this evaluation, management concluded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internal control over financial reporting was effective as of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our last fiscal quarter ended December 31, 2019 that have materially affected, or are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7" w:name="page98"/>
    <w:bookmarkEnd w:id="97"/>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2020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2020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left="420" w:right="2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2020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ITEM 13. CERTAIN RELATIONSHIPS AND RELATED TRANSACTIONS,AND DIRECTOR INDEPENDENCE</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2020 Annual Meeting of Stockholders. The Definitive Proxy Statement will be filed with the Securities and Exchange Commission within 120 days after the end of the fiscal year covered by this Annual Report on Form 10-K.</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2020 Annual Meeting of Stockholders. The Definitive Proxy Statement will be filed with the Securities and Exchange Commission within 120 days after the end of the fiscal year covered by this Annual Report on Form 10-K.</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in Part II, Item 8 of this Annual Report on Form 10-K</w:t>
      </w:r>
    </w:p>
    <w:p>
      <w:pPr>
        <w:spacing w:after="0" w:line="11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Schedules: All schedules have been omitted because the information called for is not required or is shown either in the financial statements or in the notes thereto.</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Annual Report on Form 10-K.</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Exhibit</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380" w:type="dxa"/>
            <w:vAlign w:val="bottom"/>
            <w:gridSpan w:val="21"/>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vMerge w:val="restart"/>
          </w:tcPr>
          <w:p>
            <w:pPr>
              <w:spacing w:after="0"/>
              <w:rPr>
                <w:sz w:val="10"/>
                <w:szCs w:val="10"/>
                <w:color w:val="auto"/>
              </w:rPr>
            </w:pPr>
          </w:p>
        </w:tc>
        <w:tc>
          <w:tcPr>
            <w:tcW w:w="1460" w:type="dxa"/>
            <w:vAlign w:val="bottom"/>
            <w:gridSpan w:val="2"/>
          </w:tcPr>
          <w:p>
            <w:pPr>
              <w:ind w:left="360"/>
              <w:spacing w:after="0" w:line="119" w:lineRule="exact"/>
              <w:rPr>
                <w:sz w:val="20"/>
                <w:szCs w:val="20"/>
                <w:color w:val="auto"/>
              </w:rPr>
            </w:pPr>
            <w:r>
              <w:rPr>
                <w:rFonts w:ascii="Arial" w:cs="Arial" w:eastAsia="Arial" w:hAnsi="Arial"/>
                <w:sz w:val="13"/>
                <w:szCs w:val="13"/>
                <w:b w:val="1"/>
                <w:bCs w:val="1"/>
                <w:color w:val="auto"/>
              </w:rPr>
              <w:t>Registrant’s</w:t>
            </w:r>
          </w:p>
        </w:tc>
        <w:tc>
          <w:tcPr>
            <w:tcW w:w="214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21"/>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4"/>
                <w:szCs w:val="14"/>
                <w:color w:val="auto"/>
              </w:rPr>
            </w:pPr>
          </w:p>
        </w:tc>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Stock Purchase Agreement, dated as of July 18, 2017, and between</w:t>
              </w:r>
            </w:hyperlink>
          </w:p>
        </w:tc>
        <w:tc>
          <w:tcPr>
            <w:tcW w:w="42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Soleno Therapeutics, Inc., a Delaware corporation, and NeoForce</w:t>
              </w:r>
            </w:hyperlink>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Holdings, Inc. a Delaware corporation</w:t>
              </w:r>
            </w:hyperlink>
          </w:p>
        </w:tc>
        <w:tc>
          <w:tcPr>
            <w:tcW w:w="1940" w:type="dxa"/>
            <w:vAlign w:val="bottom"/>
            <w:tcBorders>
              <w:top w:val="single" w:sz="8" w:color="0000EE"/>
            </w:tcBorders>
            <w:gridSpan w:val="8"/>
          </w:tcPr>
          <w:p>
            <w:pPr>
              <w:spacing w:after="0"/>
              <w:rPr>
                <w:sz w:val="17"/>
                <w:szCs w:val="17"/>
                <w:color w:val="auto"/>
              </w:rPr>
            </w:pPr>
          </w:p>
        </w:tc>
        <w:tc>
          <w:tcPr>
            <w:tcW w:w="580" w:type="dxa"/>
            <w:vAlign w:val="bottom"/>
            <w:gridSpan w:val="10"/>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July 24, 2017</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6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Joint Venture Agreement, dated as of December 4, 2017, by and among</w:t>
              </w:r>
            </w:hyperlink>
          </w:p>
        </w:tc>
        <w:tc>
          <w:tcPr>
            <w:tcW w:w="10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Soleno Therapeutics, Inc., Capnia, Inc., and OptAsia Healthcare Limited</w:t>
              </w:r>
            </w:hyperlink>
          </w:p>
        </w:tc>
        <w:tc>
          <w:tcPr>
            <w:tcW w:w="60" w:type="dxa"/>
            <w:vAlign w:val="bottom"/>
            <w:gridSpan w:val="2"/>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60" w:type="dxa"/>
            <w:vAlign w:val="bottom"/>
          </w:tcPr>
          <w:p>
            <w:pPr>
              <w:spacing w:after="0"/>
              <w:rPr>
                <w:sz w:val="24"/>
                <w:szCs w:val="24"/>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PRC IP Purchase Agreement, dated as of December 4, 2017, by and</w:t>
              </w:r>
            </w:hyperlink>
          </w:p>
        </w:tc>
        <w:tc>
          <w:tcPr>
            <w:tcW w:w="400" w:type="dxa"/>
            <w:vAlign w:val="bottom"/>
            <w:gridSpan w:val="8"/>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gridSpan w:val="2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between OptAsia Healthcare Limited and Capnia, Inc.</w:t>
              </w:r>
            </w:hyperlink>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2.2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60" w:type="dxa"/>
            <w:vAlign w:val="bottom"/>
          </w:tcPr>
          <w:p>
            <w:pPr>
              <w:spacing w:after="0"/>
              <w:rPr>
                <w:sz w:val="24"/>
                <w:szCs w:val="24"/>
                <w:color w:val="auto"/>
              </w:rPr>
            </w:pPr>
          </w:p>
        </w:tc>
        <w:tc>
          <w:tcPr>
            <w:tcW w:w="5100" w:type="dxa"/>
            <w:vAlign w:val="bottom"/>
            <w:tcBorders>
              <w:bottom w:val="single" w:sz="8" w:color="0000EE"/>
            </w:tcBorders>
            <w:gridSpan w:val="17"/>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Transition Services Agreement, dated as of December 4, 2017, by and</w:t>
              </w:r>
            </w:hyperlink>
          </w:p>
        </w:tc>
        <w:tc>
          <w:tcPr>
            <w:tcW w:w="20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among Soleno Therapeutics, Inc., a Delaware corporation, Capnia, Inc.</w:t>
              </w:r>
            </w:hyperlink>
          </w:p>
        </w:tc>
        <w:tc>
          <w:tcPr>
            <w:tcW w:w="180" w:type="dxa"/>
            <w:vAlign w:val="bottom"/>
            <w:gridSpan w:val="6"/>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and OptAsia Healthcare, Ltd., a Hong Kong company</w:t>
              </w:r>
            </w:hyperlink>
          </w:p>
        </w:tc>
        <w:tc>
          <w:tcPr>
            <w:tcW w:w="1400" w:type="dxa"/>
            <w:vAlign w:val="bottom"/>
            <w:gridSpan w:val="15"/>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December 8, 2017</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2.3</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4440" w:type="dxa"/>
            <w:vAlign w:val="bottom"/>
            <w:tcBorders>
              <w:bottom w:val="single" w:sz="8" w:color="0000EE"/>
            </w:tcBorders>
            <w:gridSpan w:val="13"/>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Amended and Restated Certificate of Incorporation of Soleno</w:t>
              </w:r>
            </w:hyperlink>
          </w:p>
        </w:tc>
        <w:tc>
          <w:tcPr>
            <w:tcW w:w="86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Therapeutics, Inc.</w:t>
              </w:r>
            </w:hyperlink>
          </w:p>
        </w:tc>
        <w:tc>
          <w:tcPr>
            <w:tcW w:w="4000" w:type="dxa"/>
            <w:vAlign w:val="bottom"/>
            <w:gridSpan w:val="23"/>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August 7,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Amended and Restated Bylaws of Soleno Therapeutics, Inc.</w:t>
              </w:r>
            </w:hyperlink>
          </w:p>
        </w:tc>
        <w:tc>
          <w:tcPr>
            <w:tcW w:w="960" w:type="dxa"/>
            <w:vAlign w:val="bottom"/>
            <w:gridSpan w:val="13"/>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0" w:type="dxa"/>
            <w:vAlign w:val="bottom"/>
          </w:tcPr>
          <w:p>
            <w:pPr>
              <w:spacing w:after="0"/>
              <w:rPr>
                <w:sz w:val="24"/>
                <w:szCs w:val="24"/>
                <w:color w:val="auto"/>
              </w:rPr>
            </w:pPr>
          </w:p>
        </w:tc>
        <w:tc>
          <w:tcPr>
            <w:tcW w:w="5300" w:type="dxa"/>
            <w:vAlign w:val="bottom"/>
            <w:gridSpan w:val="24"/>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Certificate of Designation of Preferences, Rights and Limitations of</w:t>
              </w:r>
            </w:hyperlink>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Series A Convertible Preferred Stock.</w:t>
              </w:r>
            </w:hyperlink>
          </w:p>
        </w:tc>
        <w:tc>
          <w:tcPr>
            <w:tcW w:w="2160" w:type="dxa"/>
            <w:vAlign w:val="bottom"/>
            <w:tcBorders>
              <w:top w:val="single" w:sz="8" w:color="0000EE"/>
            </w:tcBorders>
            <w:gridSpan w:val="11"/>
          </w:tcPr>
          <w:p>
            <w:pPr>
              <w:spacing w:after="0"/>
              <w:rPr>
                <w:sz w:val="17"/>
                <w:szCs w:val="17"/>
                <w:color w:val="auto"/>
              </w:rPr>
            </w:pPr>
          </w:p>
        </w:tc>
        <w:tc>
          <w:tcPr>
            <w:tcW w:w="420" w:type="dxa"/>
            <w:vAlign w:val="bottom"/>
            <w:gridSpan w:val="9"/>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5300" w:type="dxa"/>
            <w:vAlign w:val="bottom"/>
            <w:gridSpan w:val="24"/>
          </w:tcPr>
          <w:p>
            <w:pPr>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Certificate of Designation of Preferences, Rights and Limitations of</w:t>
              </w:r>
            </w:hyperlink>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Series B Convertible Preferred Stock</w:t>
              </w:r>
            </w:hyperlink>
          </w:p>
        </w:tc>
        <w:tc>
          <w:tcPr>
            <w:tcW w:w="420" w:type="dxa"/>
            <w:vAlign w:val="bottom"/>
            <w:gridSpan w:val="9"/>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July 6, 2016</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60" w:type="dxa"/>
            <w:vAlign w:val="bottom"/>
          </w:tcPr>
          <w:p>
            <w:pPr>
              <w:spacing w:after="0"/>
              <w:rPr>
                <w:sz w:val="24"/>
                <w:szCs w:val="24"/>
                <w:color w:val="auto"/>
              </w:rPr>
            </w:pPr>
          </w:p>
        </w:tc>
        <w:tc>
          <w:tcPr>
            <w:tcW w:w="2660" w:type="dxa"/>
            <w:vAlign w:val="bottom"/>
            <w:tcBorders>
              <w:top w:val="single" w:sz="8" w:color="0000EE"/>
            </w:tcBorders>
            <w:gridSpan w:val="3"/>
          </w:tcPr>
          <w:p>
            <w:pPr>
              <w:spacing w:after="0"/>
              <w:rPr>
                <w:rFonts w:ascii="Arial" w:cs="Arial" w:eastAsia="Arial" w:hAnsi="Arial"/>
                <w:sz w:val="18"/>
                <w:szCs w:val="18"/>
                <w:color w:val="0000EE"/>
              </w:rPr>
            </w:pPr>
            <w:hyperlink r:id="rId128">
              <w:r>
                <w:rPr>
                  <w:rFonts w:ascii="Arial" w:cs="Arial" w:eastAsia="Arial" w:hAnsi="Arial"/>
                  <w:sz w:val="18"/>
                  <w:szCs w:val="18"/>
                  <w:color w:val="0000EE"/>
                </w:rPr>
                <w:t>Certificate of Amendment</w:t>
              </w:r>
            </w:hyperlink>
          </w:p>
        </w:tc>
        <w:tc>
          <w:tcPr>
            <w:tcW w:w="2640" w:type="dxa"/>
            <w:vAlign w:val="bottom"/>
            <w:gridSpan w:val="21"/>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rPr>
                <w:sz w:val="20"/>
                <w:szCs w:val="20"/>
                <w:color w:val="auto"/>
              </w:rPr>
            </w:pPr>
            <w:r>
              <w:rPr>
                <w:rFonts w:ascii="Arial" w:cs="Arial" w:eastAsia="Arial" w:hAnsi="Arial"/>
                <w:sz w:val="18"/>
                <w:szCs w:val="18"/>
                <w:color w:val="auto"/>
              </w:rPr>
              <w:t>May 11, 2017</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60" w:type="dxa"/>
            <w:vAlign w:val="bottom"/>
          </w:tcPr>
          <w:p>
            <w:pPr>
              <w:spacing w:after="0"/>
              <w:rPr>
                <w:sz w:val="24"/>
                <w:szCs w:val="24"/>
                <w:color w:val="auto"/>
              </w:rPr>
            </w:pPr>
          </w:p>
        </w:tc>
        <w:tc>
          <w:tcPr>
            <w:tcW w:w="5300" w:type="dxa"/>
            <w:vAlign w:val="bottom"/>
            <w:gridSpan w:val="2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Certificate of Amendment to the Certificate of Incorporation</w:t>
              </w:r>
            </w:hyperlink>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2140" w:type="dxa"/>
            <w:vAlign w:val="bottom"/>
            <w:gridSpan w:val="2"/>
          </w:tcPr>
          <w:p>
            <w:pPr>
              <w:spacing w:after="0"/>
              <w:rPr>
                <w:sz w:val="20"/>
                <w:szCs w:val="20"/>
                <w:color w:val="auto"/>
              </w:rPr>
            </w:pPr>
            <w:r>
              <w:rPr>
                <w:rFonts w:ascii="Arial" w:cs="Arial" w:eastAsia="Arial" w:hAnsi="Arial"/>
                <w:sz w:val="18"/>
                <w:szCs w:val="18"/>
                <w:color w:val="auto"/>
              </w:rPr>
              <w:t>October 6, 2017</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the common stock certificate.</w:t>
              </w:r>
            </w:hyperlink>
          </w:p>
        </w:tc>
        <w:tc>
          <w:tcPr>
            <w:tcW w:w="1580" w:type="dxa"/>
            <w:vAlign w:val="bottom"/>
            <w:tcBorders>
              <w:top w:val="single" w:sz="8" w:color="0000EE"/>
            </w:tcBorders>
            <w:gridSpan w:val="6"/>
          </w:tcPr>
          <w:p>
            <w:pPr>
              <w:spacing w:after="0"/>
              <w:rPr>
                <w:sz w:val="24"/>
                <w:szCs w:val="24"/>
                <w:color w:val="auto"/>
              </w:rPr>
            </w:pPr>
          </w:p>
        </w:tc>
        <w:tc>
          <w:tcPr>
            <w:tcW w:w="940" w:type="dxa"/>
            <w:vAlign w:val="bottom"/>
            <w:gridSpan w:val="12"/>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Amended And Restated Investors’ Rights Agreement, dated March 20,</w:t>
              </w:r>
            </w:hyperlink>
          </w:p>
        </w:tc>
        <w:tc>
          <w:tcPr>
            <w:tcW w:w="14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gridSpan w:val="24"/>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2008, by and among Soleno Therapeutics, Inc. and certain holders of the</w:t>
              </w:r>
            </w:hyperlink>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Soleno Therapeutics, Inc.’s capital stock named therein.</w:t>
              </w:r>
            </w:hyperlink>
          </w:p>
        </w:tc>
        <w:tc>
          <w:tcPr>
            <w:tcW w:w="80" w:type="dxa"/>
            <w:vAlign w:val="bottom"/>
            <w:gridSpan w:val="3"/>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line="196" w:lineRule="exact"/>
              <w:rPr>
                <w:sz w:val="20"/>
                <w:szCs w:val="20"/>
                <w:color w:val="auto"/>
              </w:rPr>
            </w:pPr>
            <w:r>
              <w:rPr>
                <w:rFonts w:ascii="Arial" w:cs="Arial" w:eastAsia="Arial" w:hAnsi="Arial"/>
                <w:sz w:val="18"/>
                <w:szCs w:val="18"/>
                <w:color w:val="auto"/>
              </w:rPr>
              <w:t>July 1,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Form of Series A Warrant Agreement.</w:t>
              </w:r>
            </w:hyperlink>
          </w:p>
        </w:tc>
        <w:tc>
          <w:tcPr>
            <w:tcW w:w="1260" w:type="dxa"/>
            <w:vAlign w:val="bottom"/>
            <w:tcBorders>
              <w:top w:val="single" w:sz="8" w:color="0000EE"/>
            </w:tcBorders>
            <w:gridSpan w:val="5"/>
          </w:tcPr>
          <w:p>
            <w:pPr>
              <w:spacing w:after="0"/>
              <w:rPr>
                <w:sz w:val="24"/>
                <w:szCs w:val="24"/>
                <w:color w:val="auto"/>
              </w:rPr>
            </w:pPr>
          </w:p>
        </w:tc>
        <w:tc>
          <w:tcPr>
            <w:tcW w:w="1280" w:type="dxa"/>
            <w:vAlign w:val="bottom"/>
            <w:gridSpan w:val="14"/>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Form of the Series A Warrant certificate.</w:t>
              </w:r>
            </w:hyperlink>
          </w:p>
        </w:tc>
        <w:tc>
          <w:tcPr>
            <w:tcW w:w="2360" w:type="dxa"/>
            <w:vAlign w:val="bottom"/>
            <w:gridSpan w:val="17"/>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60" w:type="dxa"/>
            <w:vAlign w:val="bottom"/>
          </w:tcPr>
          <w:p>
            <w:pPr>
              <w:spacing w:after="0"/>
              <w:rPr>
                <w:sz w:val="24"/>
                <w:szCs w:val="24"/>
                <w:color w:val="auto"/>
              </w:rPr>
            </w:pPr>
          </w:p>
        </w:tc>
        <w:tc>
          <w:tcPr>
            <w:tcW w:w="5300" w:type="dxa"/>
            <w:vAlign w:val="bottom"/>
            <w:gridSpan w:val="24"/>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Form of Underwriters’ Compensation Warrant.</w:t>
              </w:r>
            </w:hyperlink>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top w:val="single" w:sz="8" w:color="0000EE"/>
            </w:tcBorders>
            <w:gridSpan w:val="8"/>
          </w:tcPr>
          <w:p>
            <w:pPr>
              <w:spacing w:after="0"/>
              <w:rPr>
                <w:sz w:val="24"/>
                <w:szCs w:val="24"/>
                <w:color w:val="auto"/>
              </w:rPr>
            </w:pPr>
          </w:p>
        </w:tc>
        <w:tc>
          <w:tcPr>
            <w:tcW w:w="1720" w:type="dxa"/>
            <w:vAlign w:val="bottom"/>
            <w:gridSpan w:val="9"/>
          </w:tcPr>
          <w:p>
            <w:pPr>
              <w:jc w:val="right"/>
              <w:ind w:right="2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Exhibit</w:t>
            </w:r>
          </w:p>
        </w:tc>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3640" w:type="dxa"/>
            <w:vAlign w:val="bottom"/>
            <w:gridSpan w:val="20"/>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vMerge w:val="restart"/>
          </w:tcPr>
          <w:p>
            <w:pPr>
              <w:spacing w:after="0"/>
              <w:rPr>
                <w:sz w:val="10"/>
                <w:szCs w:val="10"/>
                <w:color w:val="auto"/>
              </w:rPr>
            </w:pPr>
          </w:p>
        </w:tc>
        <w:tc>
          <w:tcPr>
            <w:tcW w:w="130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Registrant’s</w:t>
            </w:r>
          </w:p>
        </w:tc>
        <w:tc>
          <w:tcPr>
            <w:tcW w:w="60" w:type="dxa"/>
            <w:vAlign w:val="bottom"/>
          </w:tcPr>
          <w:p>
            <w:pPr>
              <w:spacing w:after="0"/>
              <w:rPr>
                <w:sz w:val="10"/>
                <w:szCs w:val="10"/>
                <w:color w:val="auto"/>
              </w:rPr>
            </w:pPr>
          </w:p>
        </w:tc>
        <w:tc>
          <w:tcPr>
            <w:tcW w:w="21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20"/>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48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Convertible Promissory Note issued in February 2010 and</w:t>
              </w:r>
            </w:hyperlink>
          </w:p>
        </w:tc>
        <w:tc>
          <w:tcPr>
            <w:tcW w:w="540" w:type="dxa"/>
            <w:vAlign w:val="bottom"/>
            <w:gridSpan w:val="9"/>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2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March 2010 in connection with the 2010 convertible note financing.</w:t>
              </w:r>
            </w:hyperlink>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6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Form of Warrant to Purchase Shares issued in February 2010 and March</w:t>
              </w:r>
            </w:hyperlink>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2010 in connection with the 2010 convertible note financing.</w:t>
              </w:r>
            </w:hyperlink>
          </w:p>
        </w:tc>
        <w:tc>
          <w:tcPr>
            <w:tcW w:w="800" w:type="dxa"/>
            <w:vAlign w:val="bottom"/>
            <w:tcBorders>
              <w:top w:val="single" w:sz="8" w:color="0000EE"/>
            </w:tcBorders>
            <w:gridSpan w:val="10"/>
          </w:tcPr>
          <w:p>
            <w:pPr>
              <w:spacing w:after="0"/>
              <w:rPr>
                <w:sz w:val="17"/>
                <w:szCs w:val="17"/>
                <w:color w:val="auto"/>
              </w:rPr>
            </w:pPr>
          </w:p>
        </w:tc>
        <w:tc>
          <w:tcPr>
            <w:tcW w:w="180" w:type="dxa"/>
            <w:vAlign w:val="bottom"/>
            <w:gridSpan w:val="5"/>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6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Form of Convertible Promissory Note issued in November 2010 in</w:t>
              </w:r>
            </w:hyperlink>
          </w:p>
        </w:tc>
        <w:tc>
          <w:tcPr>
            <w:tcW w:w="560" w:type="dxa"/>
            <w:vAlign w:val="bottom"/>
            <w:gridSpan w:val="10"/>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2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connection with the 2010 convertible note financing.</w:t>
              </w:r>
            </w:hyperlink>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6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EE"/>
              </w:rPr>
            </w:pPr>
            <w:hyperlink r:id="rId140">
              <w:r>
                <w:rPr>
                  <w:rFonts w:ascii="Arial" w:cs="Arial" w:eastAsia="Arial" w:hAnsi="Arial"/>
                  <w:sz w:val="18"/>
                  <w:szCs w:val="18"/>
                  <w:color w:val="0000EE"/>
                </w:rPr>
                <w:t>Form of Warrant to Purchase Shares issued in November 2010 in</w:t>
              </w:r>
            </w:hyperlink>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connection with the 2010 convertible note financing.</w:t>
              </w:r>
            </w:hyperlink>
          </w:p>
        </w:tc>
        <w:tc>
          <w:tcPr>
            <w:tcW w:w="700" w:type="dxa"/>
            <w:vAlign w:val="bottom"/>
            <w:gridSpan w:val="13"/>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60" w:type="dxa"/>
            <w:vAlign w:val="bottom"/>
          </w:tcPr>
          <w:p>
            <w:pPr>
              <w:spacing w:after="0"/>
              <w:rPr>
                <w:sz w:val="24"/>
                <w:szCs w:val="24"/>
                <w:color w:val="auto"/>
              </w:rPr>
            </w:pPr>
          </w:p>
        </w:tc>
        <w:tc>
          <w:tcPr>
            <w:tcW w:w="4620" w:type="dxa"/>
            <w:vAlign w:val="bottom"/>
            <w:tcBorders>
              <w:bottom w:val="single" w:sz="8" w:color="0000EE"/>
            </w:tcBorders>
            <w:gridSpan w:val="8"/>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Convertible Promissory Note issued in January 2012 in</w:t>
              </w:r>
            </w:hyperlink>
          </w:p>
        </w:tc>
        <w:tc>
          <w:tcPr>
            <w:tcW w:w="760" w:type="dxa"/>
            <w:vAlign w:val="bottom"/>
            <w:gridSpan w:val="14"/>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2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connection with the 2012 convertible note financing.</w:t>
              </w:r>
            </w:hyperlink>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60" w:type="dxa"/>
            <w:vAlign w:val="bottom"/>
          </w:tcPr>
          <w:p>
            <w:pPr>
              <w:spacing w:after="0"/>
              <w:rPr>
                <w:sz w:val="24"/>
                <w:szCs w:val="24"/>
                <w:color w:val="auto"/>
              </w:rPr>
            </w:pPr>
          </w:p>
        </w:tc>
        <w:tc>
          <w:tcPr>
            <w:tcW w:w="5340" w:type="dxa"/>
            <w:vAlign w:val="bottom"/>
            <w:tcBorders>
              <w:bottom w:val="single" w:sz="8" w:color="0000EE"/>
            </w:tcBorders>
            <w:gridSpan w:val="20"/>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Form of Warrant to Purchase Shares issued in January 2012 in connection</w:t>
              </w:r>
            </w:hyperlink>
          </w:p>
        </w:tc>
        <w:tc>
          <w:tcPr>
            <w:tcW w:w="4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22"/>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with Soleno Therapeutics, Inc.’s 2012 convertible note financing.</w:t>
              </w:r>
            </w:hyperlink>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60" w:type="dxa"/>
            <w:vAlign w:val="bottom"/>
          </w:tcPr>
          <w:p>
            <w:pPr>
              <w:spacing w:after="0"/>
              <w:rPr>
                <w:sz w:val="24"/>
                <w:szCs w:val="24"/>
                <w:color w:val="auto"/>
              </w:rPr>
            </w:pPr>
          </w:p>
        </w:tc>
        <w:tc>
          <w:tcPr>
            <w:tcW w:w="5040" w:type="dxa"/>
            <w:vAlign w:val="bottom"/>
            <w:tcBorders>
              <w:bottom w:val="single" w:sz="8" w:color="0000EE"/>
            </w:tcBorders>
            <w:gridSpan w:val="16"/>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Convertible Promissory Note issued in July 2012 and August</w:t>
              </w:r>
            </w:hyperlink>
          </w:p>
        </w:tc>
        <w:tc>
          <w:tcPr>
            <w:tcW w:w="340" w:type="dxa"/>
            <w:vAlign w:val="bottom"/>
            <w:gridSpan w:val="6"/>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2012 in connection with the 2012 convertible note financing.</w:t>
              </w:r>
            </w:hyperlink>
          </w:p>
        </w:tc>
        <w:tc>
          <w:tcPr>
            <w:tcW w:w="980" w:type="dxa"/>
            <w:vAlign w:val="bottom"/>
            <w:gridSpan w:val="15"/>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60" w:type="dxa"/>
            <w:vAlign w:val="bottom"/>
          </w:tcPr>
          <w:p>
            <w:pPr>
              <w:spacing w:after="0"/>
              <w:rPr>
                <w:sz w:val="24"/>
                <w:szCs w:val="24"/>
                <w:color w:val="auto"/>
              </w:rPr>
            </w:pPr>
          </w:p>
        </w:tc>
        <w:tc>
          <w:tcPr>
            <w:tcW w:w="5320" w:type="dxa"/>
            <w:vAlign w:val="bottom"/>
            <w:tcBorders>
              <w:bottom w:val="single" w:sz="8" w:color="0000EE"/>
            </w:tcBorders>
            <w:gridSpan w:val="19"/>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Form of Warrant to Purchase Shares issued in July 2012 and August 2012</w:t>
              </w:r>
            </w:hyperlink>
          </w:p>
        </w:tc>
        <w:tc>
          <w:tcPr>
            <w:tcW w:w="60" w:type="dxa"/>
            <w:vAlign w:val="bottom"/>
            <w:gridSpan w:val="3"/>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22"/>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 connection with the 2012 convertible note financing.</w:t>
              </w:r>
            </w:hyperlink>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4.13</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60" w:type="dxa"/>
            <w:vAlign w:val="bottom"/>
          </w:tcPr>
          <w:p>
            <w:pPr>
              <w:spacing w:after="0"/>
              <w:rPr>
                <w:sz w:val="24"/>
                <w:szCs w:val="24"/>
                <w:color w:val="auto"/>
              </w:rPr>
            </w:pPr>
          </w:p>
        </w:tc>
        <w:tc>
          <w:tcPr>
            <w:tcW w:w="4760" w:type="dxa"/>
            <w:vAlign w:val="bottom"/>
            <w:tcBorders>
              <w:bottom w:val="single" w:sz="8" w:color="0000EE"/>
            </w:tcBorders>
            <w:gridSpan w:val="11"/>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Form of Convertible Promissory Note issued in April, August and</w:t>
              </w:r>
            </w:hyperlink>
          </w:p>
        </w:tc>
        <w:tc>
          <w:tcPr>
            <w:tcW w:w="620" w:type="dxa"/>
            <w:vAlign w:val="bottom"/>
            <w:gridSpan w:val="11"/>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October 2014 in connection with the 2014 convertible note financing.</w:t>
              </w:r>
            </w:hyperlink>
          </w:p>
        </w:tc>
        <w:tc>
          <w:tcPr>
            <w:tcW w:w="360" w:type="dxa"/>
            <w:vAlign w:val="bottom"/>
            <w:gridSpan w:val="7"/>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4.14</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60" w:type="dxa"/>
            <w:vAlign w:val="bottom"/>
          </w:tcPr>
          <w:p>
            <w:pPr>
              <w:spacing w:after="0"/>
              <w:rPr>
                <w:sz w:val="24"/>
                <w:szCs w:val="24"/>
                <w:color w:val="auto"/>
              </w:rPr>
            </w:pPr>
          </w:p>
        </w:tc>
        <w:tc>
          <w:tcPr>
            <w:tcW w:w="5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Form of Warrant to Purchase Shares issued in April, August and October</w:t>
              </w:r>
            </w:hyperlink>
          </w:p>
        </w:tc>
        <w:tc>
          <w:tcPr>
            <w:tcW w:w="120" w:type="dxa"/>
            <w:vAlign w:val="bottom"/>
            <w:gridSpan w:val="4"/>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2014 in connection with the 2014 convertible note financing.</w:t>
              </w:r>
            </w:hyperlink>
          </w:p>
        </w:tc>
        <w:tc>
          <w:tcPr>
            <w:tcW w:w="980" w:type="dxa"/>
            <w:vAlign w:val="bottom"/>
            <w:gridSpan w:val="15"/>
          </w:tcPr>
          <w:p>
            <w:pPr>
              <w:spacing w:after="0"/>
              <w:rPr>
                <w:sz w:val="17"/>
                <w:szCs w:val="17"/>
                <w:color w:val="auto"/>
              </w:rPr>
            </w:pPr>
          </w:p>
        </w:tc>
        <w:tc>
          <w:tcPr>
            <w:tcW w:w="1300" w:type="dxa"/>
            <w:vAlign w:val="bottom"/>
          </w:tcPr>
          <w:p>
            <w:pPr>
              <w:ind w:left="40"/>
              <w:spacing w:after="0" w:line="196" w:lineRule="exact"/>
              <w:rPr>
                <w:sz w:val="20"/>
                <w:szCs w:val="20"/>
                <w:color w:val="auto"/>
              </w:rPr>
            </w:pPr>
            <w:r>
              <w:rPr>
                <w:rFonts w:ascii="Arial" w:cs="Arial" w:eastAsia="Arial" w:hAnsi="Arial"/>
                <w:sz w:val="18"/>
                <w:szCs w:val="18"/>
                <w:color w:val="auto"/>
              </w:rPr>
              <w:t>S-1</w:t>
            </w:r>
          </w:p>
        </w:tc>
        <w:tc>
          <w:tcPr>
            <w:tcW w:w="2220" w:type="dxa"/>
            <w:vAlign w:val="bottom"/>
            <w:gridSpan w:val="3"/>
          </w:tcPr>
          <w:p>
            <w:pPr>
              <w:ind w:left="60"/>
              <w:spacing w:after="0" w:line="196" w:lineRule="exact"/>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1"/>
              </w:rPr>
              <w:t>4.15</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 w:type="dxa"/>
            <w:vAlign w:val="bottom"/>
          </w:tcPr>
          <w:p>
            <w:pPr>
              <w:spacing w:after="0"/>
              <w:rPr>
                <w:sz w:val="24"/>
                <w:szCs w:val="24"/>
                <w:color w:val="auto"/>
              </w:rPr>
            </w:pPr>
          </w:p>
        </w:tc>
        <w:tc>
          <w:tcPr>
            <w:tcW w:w="1720" w:type="dxa"/>
            <w:vAlign w:val="bottom"/>
            <w:tcBorders>
              <w:bottom w:val="single" w:sz="8" w:color="0000EE"/>
            </w:tcBorders>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Form of unit certificate.</w:t>
              </w:r>
            </w:hyperlink>
          </w:p>
        </w:tc>
        <w:tc>
          <w:tcPr>
            <w:tcW w:w="3660" w:type="dxa"/>
            <w:vAlign w:val="bottom"/>
            <w:gridSpan w:val="21"/>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S-1/A</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August 5,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Form of Series B Warrant Agreement.</w:t>
              </w:r>
            </w:hyperlink>
          </w:p>
        </w:tc>
        <w:tc>
          <w:tcPr>
            <w:tcW w:w="1300" w:type="dxa"/>
            <w:vAlign w:val="bottom"/>
          </w:tcPr>
          <w:p>
            <w:pPr>
              <w:ind w:left="40"/>
              <w:spacing w:after="0"/>
              <w:rPr>
                <w:sz w:val="20"/>
                <w:szCs w:val="20"/>
                <w:color w:val="auto"/>
              </w:rPr>
            </w:pPr>
            <w:r>
              <w:rPr>
                <w:rFonts w:ascii="Arial" w:cs="Arial" w:eastAsia="Arial" w:hAnsi="Arial"/>
                <w:sz w:val="18"/>
                <w:szCs w:val="18"/>
                <w:color w:val="auto"/>
              </w:rPr>
              <w:t>S-1/A</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6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the Series B Warrant certificate.</w:t>
              </w:r>
            </w:hyperlink>
          </w:p>
        </w:tc>
        <w:tc>
          <w:tcPr>
            <w:tcW w:w="1300" w:type="dxa"/>
            <w:vAlign w:val="bottom"/>
          </w:tcPr>
          <w:p>
            <w:pPr>
              <w:ind w:left="40"/>
              <w:spacing w:after="0"/>
              <w:rPr>
                <w:sz w:val="20"/>
                <w:szCs w:val="20"/>
                <w:color w:val="auto"/>
              </w:rPr>
            </w:pPr>
            <w:r>
              <w:rPr>
                <w:rFonts w:ascii="Arial" w:cs="Arial" w:eastAsia="Arial" w:hAnsi="Arial"/>
                <w:sz w:val="18"/>
                <w:szCs w:val="18"/>
                <w:color w:val="auto"/>
              </w:rPr>
              <w:t>S-1/A</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November 4,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6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Form of the Series C Warrant Agreement.</w:t>
              </w:r>
            </w:hyperlink>
          </w:p>
        </w:tc>
        <w:tc>
          <w:tcPr>
            <w:tcW w:w="1300" w:type="dxa"/>
            <w:vAlign w:val="bottom"/>
          </w:tcPr>
          <w:p>
            <w:pPr>
              <w:ind w:left="40"/>
              <w:spacing w:after="0"/>
              <w:rPr>
                <w:sz w:val="20"/>
                <w:szCs w:val="20"/>
                <w:color w:val="auto"/>
              </w:rPr>
            </w:pPr>
            <w:r>
              <w:rPr>
                <w:rFonts w:ascii="Arial" w:cs="Arial" w:eastAsia="Arial" w:hAnsi="Arial"/>
                <w:sz w:val="18"/>
                <w:szCs w:val="18"/>
                <w:color w:val="auto"/>
              </w:rPr>
              <w:t>S-4</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April 1,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60" w:type="dxa"/>
            <w:vAlign w:val="bottom"/>
          </w:tcPr>
          <w:p>
            <w:pPr>
              <w:spacing w:after="0"/>
              <w:rPr>
                <w:sz w:val="24"/>
                <w:szCs w:val="24"/>
                <w:color w:val="auto"/>
              </w:rPr>
            </w:pPr>
          </w:p>
        </w:tc>
        <w:tc>
          <w:tcPr>
            <w:tcW w:w="3000" w:type="dxa"/>
            <w:vAlign w:val="bottom"/>
            <w:tcBorders>
              <w:top w:val="single" w:sz="8" w:color="0000EE"/>
            </w:tcBorders>
            <w:gridSpan w:val="4"/>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Form of the Series C Warrant certificate.</w:t>
              </w:r>
            </w:hyperlink>
          </w:p>
        </w:tc>
        <w:tc>
          <w:tcPr>
            <w:tcW w:w="2380" w:type="dxa"/>
            <w:vAlign w:val="bottom"/>
            <w:gridSpan w:val="18"/>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S-4</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April 1, 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8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60" w:type="dxa"/>
            <w:vAlign w:val="bottom"/>
          </w:tcPr>
          <w:p>
            <w:pPr>
              <w:spacing w:after="0"/>
              <w:rPr>
                <w:sz w:val="24"/>
                <w:szCs w:val="24"/>
                <w:color w:val="auto"/>
              </w:rPr>
            </w:pPr>
          </w:p>
        </w:tc>
        <w:tc>
          <w:tcPr>
            <w:tcW w:w="3800" w:type="dxa"/>
            <w:vAlign w:val="bottom"/>
            <w:tcBorders>
              <w:bottom w:val="single" w:sz="8" w:color="0000EE"/>
            </w:tcBorders>
            <w:gridSpan w:val="5"/>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Form of Series D Common Stock Purchase Warrant.</w:t>
              </w:r>
            </w:hyperlink>
          </w:p>
        </w:tc>
        <w:tc>
          <w:tcPr>
            <w:tcW w:w="1580" w:type="dxa"/>
            <w:vAlign w:val="bottom"/>
            <w:gridSpan w:val="17"/>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8-K</w:t>
            </w:r>
          </w:p>
        </w:tc>
        <w:tc>
          <w:tcPr>
            <w:tcW w:w="2220" w:type="dxa"/>
            <w:vAlign w:val="bottom"/>
            <w:gridSpan w:val="3"/>
          </w:tcPr>
          <w:p>
            <w:pPr>
              <w:ind w:left="60"/>
              <w:spacing w:after="0"/>
              <w:rPr>
                <w:sz w:val="20"/>
                <w:szCs w:val="20"/>
                <w:color w:val="auto"/>
              </w:rPr>
            </w:pPr>
            <w:r>
              <w:rPr>
                <w:rFonts w:ascii="Arial" w:cs="Arial" w:eastAsia="Arial" w:hAnsi="Arial"/>
                <w:sz w:val="18"/>
                <w:szCs w:val="18"/>
                <w:color w:val="auto"/>
              </w:rPr>
              <w:t>October 15, 2015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14"/>
          </w:tcPr>
          <w:p>
            <w:pPr>
              <w:ind w:left="4720"/>
              <w:spacing w:after="0"/>
              <w:rPr>
                <w:sz w:val="20"/>
                <w:szCs w:val="20"/>
                <w:color w:val="auto"/>
              </w:rPr>
            </w:pPr>
            <w:r>
              <w:rPr>
                <w:rFonts w:ascii="Arial" w:cs="Arial" w:eastAsia="Arial" w:hAnsi="Arial"/>
                <w:sz w:val="18"/>
                <w:szCs w:val="18"/>
                <w:color w:val="auto"/>
                <w:w w:val="79"/>
              </w:rPr>
              <w:t>99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5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2"/>
            <w:vMerge w:val="continue"/>
          </w:tcPr>
          <w:p>
            <w:pPr>
              <w:spacing w:after="0"/>
              <w:rPr>
                <w:sz w:val="10"/>
                <w:szCs w:val="10"/>
                <w:color w:val="auto"/>
              </w:rPr>
            </w:pPr>
          </w:p>
        </w:tc>
        <w:tc>
          <w:tcPr>
            <w:tcW w:w="54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 of Document</w:t>
            </w:r>
          </w:p>
        </w:tc>
        <w:tc>
          <w:tcPr>
            <w:tcW w:w="60" w:type="dxa"/>
            <w:vAlign w:val="bottom"/>
            <w:vMerge w:val="restart"/>
          </w:tcPr>
          <w:p>
            <w:pPr>
              <w:spacing w:after="0"/>
              <w:rPr>
                <w:sz w:val="10"/>
                <w:szCs w:val="10"/>
                <w:color w:val="auto"/>
              </w:rPr>
            </w:pP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54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333" w:right="239" w:bottom="1440" w:gutter="0" w:footer="0" w:header="0"/>
        </w:sect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4.22</w:t>
      </w:r>
      <w:r>
        <w:rPr>
          <w:sz w:val="20"/>
          <w:szCs w:val="20"/>
          <w:color w:val="auto"/>
        </w:rPr>
        <w:tab/>
      </w:r>
      <w:hyperlink r:id="rId155">
        <w:r>
          <w:rPr>
            <w:rFonts w:ascii="Arial" w:cs="Arial" w:eastAsia="Arial" w:hAnsi="Arial"/>
            <w:sz w:val="16"/>
            <w:szCs w:val="16"/>
            <w:u w:val="single" w:color="auto"/>
            <w:color w:val="0000EE"/>
          </w:rPr>
          <w:t>Form of Placement Agent Warrant.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4.23</w:t>
      </w:r>
      <w:r>
        <w:rPr>
          <w:sz w:val="20"/>
          <w:szCs w:val="20"/>
          <w:color w:val="auto"/>
        </w:rPr>
        <w:tab/>
      </w:r>
      <w:hyperlink r:id="rId156">
        <w:r>
          <w:rPr>
            <w:rFonts w:ascii="Arial" w:cs="Arial" w:eastAsia="Arial" w:hAnsi="Arial"/>
            <w:sz w:val="16"/>
            <w:szCs w:val="16"/>
            <w:u w:val="single" w:color="auto"/>
            <w:color w:val="0000EE"/>
          </w:rPr>
          <w:t>Form of Series D common stock Warrant Certificate.</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4.24</w:t>
      </w:r>
      <w:r>
        <w:rPr>
          <w:sz w:val="20"/>
          <w:szCs w:val="20"/>
          <w:color w:val="auto"/>
        </w:rPr>
        <w:tab/>
      </w:r>
      <w:hyperlink r:id="rId157">
        <w:r>
          <w:rPr>
            <w:rFonts w:ascii="Arial" w:cs="Arial" w:eastAsia="Arial" w:hAnsi="Arial"/>
            <w:sz w:val="16"/>
            <w:szCs w:val="16"/>
            <w:u w:val="single" w:color="auto"/>
            <w:color w:val="0000EE"/>
          </w:rPr>
          <w:t>Form of Series A Convertible Preferred Stock Certificate.</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4.25</w:t>
      </w:r>
      <w:r>
        <w:rPr>
          <w:sz w:val="20"/>
          <w:szCs w:val="20"/>
          <w:color w:val="auto"/>
        </w:rPr>
        <w:tab/>
      </w:r>
      <w:hyperlink r:id="rId158">
        <w:r>
          <w:rPr>
            <w:rFonts w:ascii="Arial" w:cs="Arial" w:eastAsia="Arial" w:hAnsi="Arial"/>
            <w:sz w:val="16"/>
            <w:szCs w:val="16"/>
            <w:u w:val="single" w:color="auto"/>
            <w:color w:val="0000EE"/>
          </w:rPr>
          <w:t>Form of Placement Agent Warrant.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4.26</w:t>
      </w:r>
      <w:r>
        <w:rPr>
          <w:sz w:val="20"/>
          <w:szCs w:val="20"/>
          <w:color w:val="auto"/>
        </w:rPr>
        <w:tab/>
      </w:r>
      <w:hyperlink r:id="rId159">
        <w:r>
          <w:rPr>
            <w:rFonts w:ascii="Arial" w:cs="Arial" w:eastAsia="Arial" w:hAnsi="Arial"/>
            <w:sz w:val="16"/>
            <w:szCs w:val="16"/>
            <w:u w:val="single" w:color="auto"/>
            <w:color w:val="0000EE"/>
          </w:rPr>
          <w:t>Form of Series B Convertible Preferred Stock Certificate.</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4.27</w:t>
      </w:r>
      <w:r>
        <w:rPr>
          <w:sz w:val="20"/>
          <w:szCs w:val="20"/>
          <w:color w:val="auto"/>
        </w:rPr>
        <w:tab/>
      </w:r>
      <w:hyperlink r:id="rId160">
        <w:r>
          <w:rPr>
            <w:rFonts w:ascii="Arial" w:cs="Arial" w:eastAsia="Arial" w:hAnsi="Arial"/>
            <w:sz w:val="16"/>
            <w:szCs w:val="16"/>
            <w:u w:val="single" w:color="auto"/>
            <w:color w:val="0000EE"/>
          </w:rPr>
          <w:t>Form of Common Stock Purchase Warrant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4.28</w:t>
      </w:r>
      <w:r>
        <w:rPr>
          <w:sz w:val="20"/>
          <w:szCs w:val="20"/>
          <w:color w:val="auto"/>
        </w:rPr>
        <w:tab/>
      </w:r>
      <w:hyperlink r:id="rId160">
        <w:r>
          <w:rPr>
            <w:rFonts w:ascii="Arial" w:cs="Arial" w:eastAsia="Arial" w:hAnsi="Arial"/>
            <w:sz w:val="16"/>
            <w:szCs w:val="16"/>
            <w:u w:val="single" w:color="auto"/>
            <w:color w:val="0000EE"/>
          </w:rPr>
          <w:t>Form of Common Stock Purchase Warrant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4.29</w:t>
      </w:r>
      <w:r>
        <w:rPr>
          <w:sz w:val="20"/>
          <w:szCs w:val="20"/>
          <w:color w:val="auto"/>
        </w:rPr>
        <w:tab/>
      </w:r>
      <w:hyperlink w:anchor="page108">
        <w:r>
          <w:rPr>
            <w:rFonts w:ascii="Arial" w:cs="Arial" w:eastAsia="Arial" w:hAnsi="Arial"/>
            <w:sz w:val="16"/>
            <w:szCs w:val="16"/>
            <w:u w:val="single" w:color="auto"/>
            <w:color w:val="0000EE"/>
          </w:rPr>
          <w:t>Description of the Registrant’s Securities Registered Pursuant to Section</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12 of the Securities Exchange Act of 1934</w:t>
        </w:r>
      </w:hyperlink>
    </w:p>
    <w:p>
      <w:pPr>
        <w:spacing w:after="0" w:line="211"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9.10</w:t>
      </w:r>
      <w:r>
        <w:rPr>
          <w:sz w:val="20"/>
          <w:szCs w:val="20"/>
          <w:color w:val="auto"/>
        </w:rPr>
        <w:tab/>
      </w:r>
      <w:hyperlink r:id="rId161">
        <w:r>
          <w:rPr>
            <w:rFonts w:ascii="Arial" w:cs="Arial" w:eastAsia="Arial" w:hAnsi="Arial"/>
            <w:sz w:val="16"/>
            <w:szCs w:val="16"/>
            <w:u w:val="single" w:color="auto"/>
            <w:color w:val="0000EE"/>
          </w:rPr>
          <w:t>Form of Voting Agreement.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9.20</w:t>
      </w:r>
      <w:r>
        <w:rPr>
          <w:sz w:val="20"/>
          <w:szCs w:val="20"/>
          <w:color w:val="auto"/>
        </w:rPr>
        <w:tab/>
      </w:r>
      <w:hyperlink r:id="rId162">
        <w:r>
          <w:rPr>
            <w:rFonts w:ascii="Arial" w:cs="Arial" w:eastAsia="Arial" w:hAnsi="Arial"/>
            <w:sz w:val="16"/>
            <w:szCs w:val="16"/>
            <w:u w:val="single" w:color="auto"/>
            <w:color w:val="0000EE"/>
          </w:rPr>
          <w:t>Form of Voting Agreement.</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9.30</w:t>
      </w:r>
      <w:r>
        <w:rPr>
          <w:sz w:val="20"/>
          <w:szCs w:val="20"/>
          <w:color w:val="auto"/>
        </w:rPr>
        <w:tab/>
      </w:r>
      <w:hyperlink r:id="rId163">
        <w:r>
          <w:rPr>
            <w:rFonts w:ascii="Arial" w:cs="Arial" w:eastAsia="Arial" w:hAnsi="Arial"/>
            <w:sz w:val="16"/>
            <w:szCs w:val="16"/>
            <w:u w:val="single" w:color="auto"/>
            <w:color w:val="0000EE"/>
          </w:rPr>
          <w:t>Form of Voting Agreement.</w:t>
        </w:r>
      </w:hyperlink>
    </w:p>
    <w:p>
      <w:pPr>
        <w:spacing w:after="0" w:line="225" w:lineRule="exact"/>
        <w:rPr>
          <w:sz w:val="20"/>
          <w:szCs w:val="20"/>
          <w:color w:val="auto"/>
        </w:rPr>
      </w:pPr>
    </w:p>
    <w:p>
      <w:pPr>
        <w:ind w:left="920" w:hanging="636"/>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64">
        <w:r>
          <w:rPr>
            <w:rFonts w:ascii="Arial" w:cs="Arial" w:eastAsia="Arial" w:hAnsi="Arial"/>
            <w:sz w:val="18"/>
            <w:szCs w:val="18"/>
            <w:u w:val="single" w:color="auto"/>
            <w:color w:val="0000EE"/>
          </w:rPr>
          <w:t>Form of Indemnification Agreement between the Registrant and each of its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directors and executive officers.</w:t>
        </w:r>
      </w:hyperlink>
    </w:p>
    <w:p>
      <w:pPr>
        <w:spacing w:after="0" w:line="170"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65">
        <w:r>
          <w:rPr>
            <w:rFonts w:ascii="Arial" w:cs="Arial" w:eastAsia="Arial" w:hAnsi="Arial"/>
            <w:sz w:val="16"/>
            <w:szCs w:val="16"/>
            <w:u w:val="single" w:color="auto"/>
            <w:color w:val="0000EE"/>
          </w:rPr>
          <w:t>1999 Incentive Stock Plan and forms of agreements thereunder.</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66">
        <w:r>
          <w:rPr>
            <w:rFonts w:ascii="Arial" w:cs="Arial" w:eastAsia="Arial" w:hAnsi="Arial"/>
            <w:sz w:val="16"/>
            <w:szCs w:val="16"/>
            <w:u w:val="single" w:color="auto"/>
            <w:color w:val="0000EE"/>
          </w:rPr>
          <w:t>2010 Equity Incentive Plan and forms of agreements thereunder.</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67">
        <w:r>
          <w:rPr>
            <w:rFonts w:ascii="Arial" w:cs="Arial" w:eastAsia="Arial" w:hAnsi="Arial"/>
            <w:sz w:val="16"/>
            <w:szCs w:val="16"/>
            <w:u w:val="single" w:color="auto"/>
            <w:color w:val="0000EE"/>
          </w:rPr>
          <w:t>2014 Equity Incentive Plan and forms of agreements thereunder.</w:t>
        </w:r>
      </w:hyperlink>
    </w:p>
    <w:p>
      <w:pPr>
        <w:spacing w:after="0" w:line="225" w:lineRule="exact"/>
        <w:rPr>
          <w:sz w:val="20"/>
          <w:szCs w:val="20"/>
          <w:color w:val="auto"/>
        </w:rPr>
      </w:pPr>
    </w:p>
    <w:p>
      <w:pPr>
        <w:ind w:left="28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68">
        <w:r>
          <w:rPr>
            <w:rFonts w:ascii="Arial" w:cs="Arial" w:eastAsia="Arial" w:hAnsi="Arial"/>
            <w:sz w:val="15"/>
            <w:szCs w:val="15"/>
            <w:u w:val="single" w:color="auto"/>
            <w:color w:val="0000EE"/>
          </w:rPr>
          <w:t>2014 Employee Stock Purchase Plan and forms of agreements thereunder.</w:t>
        </w:r>
      </w:hyperlink>
    </w:p>
    <w:p>
      <w:pPr>
        <w:spacing w:after="0" w:line="225" w:lineRule="exact"/>
        <w:rPr>
          <w:sz w:val="20"/>
          <w:szCs w:val="20"/>
          <w:color w:val="auto"/>
        </w:rPr>
      </w:pPr>
    </w:p>
    <w:p>
      <w:pPr>
        <w:ind w:left="920" w:right="240" w:hanging="636"/>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69">
        <w:r>
          <w:rPr>
            <w:rFonts w:ascii="Arial" w:cs="Arial" w:eastAsia="Arial" w:hAnsi="Arial"/>
            <w:sz w:val="18"/>
            <w:szCs w:val="18"/>
            <w:u w:val="single" w:color="auto"/>
            <w:color w:val="0000EE"/>
          </w:rPr>
          <w:t>Offer Letter, dated June 22, 2007, by and between Soleno Therapeutics,</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Inc. and Ernest Mario, Ph.D.</w:t>
        </w:r>
      </w:hyperlink>
    </w:p>
    <w:p>
      <w:pPr>
        <w:spacing w:after="0" w:line="170" w:lineRule="exact"/>
        <w:rPr>
          <w:sz w:val="20"/>
          <w:szCs w:val="20"/>
          <w:color w:val="auto"/>
        </w:rPr>
      </w:pPr>
    </w:p>
    <w:p>
      <w:pPr>
        <w:ind w:left="920" w:right="380" w:hanging="636"/>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70">
        <w:r>
          <w:rPr>
            <w:rFonts w:ascii="Arial" w:cs="Arial" w:eastAsia="Arial" w:hAnsi="Arial"/>
            <w:sz w:val="18"/>
            <w:szCs w:val="18"/>
            <w:u w:val="single" w:color="auto"/>
            <w:color w:val="0000EE"/>
          </w:rPr>
          <w:t>Employment Agreement, dated April 6, 2010, by and between Soleno</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Therapeutics, Inc. and Anish Bhatnagar.</w:t>
        </w:r>
      </w:hyperlink>
    </w:p>
    <w:p>
      <w:pPr>
        <w:spacing w:after="0" w:line="170" w:lineRule="exact"/>
        <w:rPr>
          <w:sz w:val="20"/>
          <w:szCs w:val="20"/>
          <w:color w:val="auto"/>
        </w:rPr>
      </w:pPr>
    </w:p>
    <w:p>
      <w:pPr>
        <w:ind w:left="920" w:right="140" w:hanging="636"/>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71">
        <w:r>
          <w:rPr>
            <w:rFonts w:ascii="Arial" w:cs="Arial" w:eastAsia="Arial" w:hAnsi="Arial"/>
            <w:sz w:val="18"/>
            <w:szCs w:val="18"/>
            <w:u w:val="single" w:color="auto"/>
            <w:color w:val="0000EE"/>
          </w:rPr>
          <w:t>Offer Letter, dated May 29, 2013, between Soleno Therapeutics, Inc. and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Anthony Wondka.</w:t>
        </w:r>
      </w:hyperlink>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October 15, 2015</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October 15, 2015</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October 15, 2015</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July 6, 2016</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July 6, 2016</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December 13, 2017</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2360" w:type="dxa"/>
            <w:vAlign w:val="bottom"/>
          </w:tcPr>
          <w:p>
            <w:pPr>
              <w:ind w:left="440"/>
              <w:spacing w:after="0"/>
              <w:rPr>
                <w:sz w:val="20"/>
                <w:szCs w:val="20"/>
                <w:color w:val="auto"/>
              </w:rPr>
            </w:pPr>
            <w:r>
              <w:rPr>
                <w:rFonts w:ascii="Arial" w:cs="Arial" w:eastAsia="Arial" w:hAnsi="Arial"/>
                <w:sz w:val="18"/>
                <w:szCs w:val="18"/>
                <w:color w:val="auto"/>
              </w:rPr>
              <w:t>December 19, 2018</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18"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2280" w:type="dxa"/>
            <w:vAlign w:val="bottom"/>
          </w:tcPr>
          <w:p>
            <w:pPr>
              <w:ind w:left="380"/>
              <w:spacing w:after="0"/>
              <w:rPr>
                <w:sz w:val="20"/>
                <w:szCs w:val="20"/>
                <w:color w:val="auto"/>
              </w:rPr>
            </w:pPr>
            <w:r>
              <w:rPr>
                <w:rFonts w:ascii="Arial" w:cs="Arial" w:eastAsia="Arial" w:hAnsi="Arial"/>
                <w:sz w:val="18"/>
                <w:szCs w:val="18"/>
                <w:color w:val="auto"/>
              </w:rPr>
              <w:t>October 15, 2015</w:t>
            </w:r>
          </w:p>
        </w:tc>
        <w:tc>
          <w:tcPr>
            <w:tcW w:w="800" w:type="dxa"/>
            <w:vAlign w:val="bottom"/>
          </w:tcPr>
          <w:p>
            <w:pPr>
              <w:jc w:val="center"/>
              <w:ind w:left="410"/>
              <w:spacing w:after="0"/>
              <w:rPr>
                <w:sz w:val="20"/>
                <w:szCs w:val="20"/>
                <w:color w:val="auto"/>
              </w:rPr>
            </w:pPr>
            <w:r>
              <w:rPr>
                <w:rFonts w:ascii="Arial" w:cs="Arial" w:eastAsia="Arial" w:hAnsi="Arial"/>
                <w:sz w:val="18"/>
                <w:szCs w:val="18"/>
                <w:color w:val="auto"/>
                <w:w w:val="87"/>
              </w:rPr>
              <w:t>9.1</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2280" w:type="dxa"/>
            <w:vAlign w:val="bottom"/>
          </w:tcPr>
          <w:p>
            <w:pPr>
              <w:ind w:left="380"/>
              <w:spacing w:after="0"/>
              <w:rPr>
                <w:sz w:val="20"/>
                <w:szCs w:val="20"/>
                <w:color w:val="auto"/>
              </w:rPr>
            </w:pPr>
            <w:r>
              <w:rPr>
                <w:rFonts w:ascii="Arial" w:cs="Arial" w:eastAsia="Arial" w:hAnsi="Arial"/>
                <w:sz w:val="18"/>
                <w:szCs w:val="18"/>
                <w:color w:val="auto"/>
              </w:rPr>
              <w:t>July 6, 2016</w:t>
            </w:r>
          </w:p>
        </w:tc>
        <w:tc>
          <w:tcPr>
            <w:tcW w:w="800" w:type="dxa"/>
            <w:vAlign w:val="bottom"/>
          </w:tcPr>
          <w:p>
            <w:pPr>
              <w:jc w:val="center"/>
              <w:ind w:left="410"/>
              <w:spacing w:after="0"/>
              <w:rPr>
                <w:sz w:val="20"/>
                <w:szCs w:val="20"/>
                <w:color w:val="auto"/>
              </w:rPr>
            </w:pPr>
            <w:r>
              <w:rPr>
                <w:rFonts w:ascii="Arial" w:cs="Arial" w:eastAsia="Arial" w:hAnsi="Arial"/>
                <w:sz w:val="18"/>
                <w:szCs w:val="18"/>
                <w:color w:val="auto"/>
                <w:w w:val="87"/>
              </w:rPr>
              <w:t>9.1</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2280" w:type="dxa"/>
            <w:vAlign w:val="bottom"/>
          </w:tcPr>
          <w:p>
            <w:pPr>
              <w:ind w:left="380"/>
              <w:spacing w:after="0"/>
              <w:rPr>
                <w:sz w:val="20"/>
                <w:szCs w:val="20"/>
                <w:color w:val="auto"/>
              </w:rPr>
            </w:pPr>
            <w:r>
              <w:rPr>
                <w:rFonts w:ascii="Arial" w:cs="Arial" w:eastAsia="Arial" w:hAnsi="Arial"/>
                <w:sz w:val="18"/>
                <w:szCs w:val="18"/>
                <w:color w:val="auto"/>
              </w:rPr>
              <w:t>December 27, 2016</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10.1</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10.1</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10.3</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July 1,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10.4</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2280" w:type="dxa"/>
            <w:vAlign w:val="bottom"/>
          </w:tcPr>
          <w:p>
            <w:pPr>
              <w:ind w:left="380"/>
              <w:spacing w:after="0"/>
              <w:rPr>
                <w:sz w:val="20"/>
                <w:szCs w:val="20"/>
                <w:color w:val="auto"/>
              </w:rPr>
            </w:pPr>
            <w:r>
              <w:rPr>
                <w:rFonts w:ascii="Arial" w:cs="Arial" w:eastAsia="Arial" w:hAnsi="Arial"/>
                <w:sz w:val="18"/>
                <w:szCs w:val="18"/>
                <w:color w:val="auto"/>
              </w:rPr>
              <w:t>July 1,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10.5</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10.6</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10.7</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S-1</w:t>
            </w:r>
          </w:p>
        </w:tc>
        <w:tc>
          <w:tcPr>
            <w:tcW w:w="228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00" w:type="dxa"/>
            <w:vAlign w:val="bottom"/>
          </w:tcPr>
          <w:p>
            <w:pPr>
              <w:jc w:val="center"/>
              <w:ind w:left="390"/>
              <w:spacing w:after="0"/>
              <w:rPr>
                <w:sz w:val="20"/>
                <w:szCs w:val="20"/>
                <w:color w:val="auto"/>
              </w:rPr>
            </w:pPr>
            <w:r>
              <w:rPr>
                <w:rFonts w:ascii="Arial" w:cs="Arial" w:eastAsia="Arial" w:hAnsi="Arial"/>
                <w:sz w:val="18"/>
                <w:szCs w:val="18"/>
                <w:color w:val="auto"/>
                <w:w w:val="91"/>
              </w:rPr>
              <w:t>10.8</w:t>
            </w:r>
          </w:p>
        </w:tc>
      </w:tr>
    </w:tbl>
    <w:p>
      <w:pPr>
        <w:sectPr>
          <w:pgSz w:w="11900" w:h="16838" w:orient="portrait"/>
          <w:cols w:equalWidth="0" w:num="2">
            <w:col w:w="6320" w:space="120"/>
            <w:col w:w="4980"/>
          </w:cols>
          <w:pgMar w:left="240" w:top="333" w:right="239" w:bottom="1440" w:gutter="0" w:footer="0" w:header="0"/>
          <w:type w:val="continuous"/>
        </w:sectPr>
      </w:pPr>
    </w:p>
    <w:bookmarkStart w:id="102" w:name="page103"/>
    <w:bookmarkEnd w:id="102"/>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40" w:type="dxa"/>
            <w:vAlign w:val="bottom"/>
            <w:gridSpan w:val="21"/>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10.9</w:t>
            </w:r>
          </w:p>
        </w:tc>
        <w:tc>
          <w:tcPr>
            <w:tcW w:w="60" w:type="dxa"/>
            <w:vAlign w:val="bottom"/>
          </w:tcPr>
          <w:p>
            <w:pPr>
              <w:spacing w:after="0"/>
              <w:rPr>
                <w:sz w:val="14"/>
                <w:szCs w:val="14"/>
                <w:color w:val="auto"/>
              </w:rPr>
            </w:pPr>
          </w:p>
        </w:tc>
        <w:tc>
          <w:tcPr>
            <w:tcW w:w="5220" w:type="dxa"/>
            <w:vAlign w:val="bottom"/>
            <w:tcBorders>
              <w:top w:val="single" w:sz="8" w:color="auto"/>
              <w:bottom w:val="single" w:sz="8" w:color="0000EE"/>
            </w:tcBorders>
            <w:gridSpan w:val="21"/>
          </w:tcPr>
          <w:p>
            <w:pPr>
              <w:spacing w:after="0" w:line="170"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Offer Letter, dated April 17, 2014, by and between Soleno Therapeutics,</w:t>
              </w:r>
            </w:hyperlink>
          </w:p>
        </w:tc>
        <w:tc>
          <w:tcPr>
            <w:tcW w:w="4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Inc. and Antoun Nabhan.</w:t>
              </w:r>
            </w:hyperlink>
          </w:p>
        </w:tc>
        <w:tc>
          <w:tcPr>
            <w:tcW w:w="34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Asset Purchase Agreement dated May 11, 2010, by and between Soleno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Therapeutics, Inc. and BioMedical Drug Development Inc.</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6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Convertible Note and Warrant Purchase Agreement, dated February 10,</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2010, by and among Soleno Therapeutics, Inc. and the investors named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therein.</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60" w:type="dxa"/>
            <w:vAlign w:val="bottom"/>
          </w:tcPr>
          <w:p>
            <w:pPr>
              <w:spacing w:after="0"/>
              <w:rPr>
                <w:sz w:val="24"/>
                <w:szCs w:val="24"/>
                <w:color w:val="auto"/>
              </w:rPr>
            </w:pPr>
          </w:p>
        </w:tc>
        <w:tc>
          <w:tcPr>
            <w:tcW w:w="4480" w:type="dxa"/>
            <w:vAlign w:val="bottom"/>
            <w:tcBorders>
              <w:bottom w:val="single" w:sz="8" w:color="0000EE"/>
            </w:tcBorders>
            <w:gridSpan w:val="10"/>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Amendment No. 1 to Convertible Note and Warrant Purchase</w:t>
              </w:r>
            </w:hyperlink>
          </w:p>
        </w:tc>
        <w:tc>
          <w:tcPr>
            <w:tcW w:w="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Agreement, Convertible Promissory Notes and Warrants to Purchase</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Shares, dated November 10, 2010, by and among Soleno Therapeutics,</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Inc. and the investors named therein.</w:t>
              </w:r>
            </w:hyperlink>
          </w:p>
        </w:tc>
        <w:tc>
          <w:tcPr>
            <w:tcW w:w="2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60" w:type="dxa"/>
            <w:vAlign w:val="bottom"/>
          </w:tcPr>
          <w:p>
            <w:pPr>
              <w:spacing w:after="0"/>
              <w:rPr>
                <w:sz w:val="24"/>
                <w:szCs w:val="24"/>
                <w:color w:val="auto"/>
              </w:rPr>
            </w:pPr>
          </w:p>
        </w:tc>
        <w:tc>
          <w:tcPr>
            <w:tcW w:w="4480" w:type="dxa"/>
            <w:vAlign w:val="bottom"/>
            <w:tcBorders>
              <w:bottom w:val="single" w:sz="8" w:color="0000EE"/>
            </w:tcBorders>
            <w:gridSpan w:val="10"/>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Amendment No. 2 to Convertible Note and Warrant Purchase</w:t>
              </w:r>
            </w:hyperlink>
          </w:p>
        </w:tc>
        <w:tc>
          <w:tcPr>
            <w:tcW w:w="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w w:val="95"/>
              </w:rPr>
            </w:pPr>
            <w:hyperlink r:id="rId177">
              <w:r>
                <w:rPr>
                  <w:rFonts w:ascii="Arial" w:cs="Arial" w:eastAsia="Arial" w:hAnsi="Arial"/>
                  <w:sz w:val="18"/>
                  <w:szCs w:val="18"/>
                  <w:color w:val="0000EE"/>
                  <w:w w:val="95"/>
                </w:rPr>
                <w:t>Agreement, Convertible Promissory Notes and Warrants to Purchase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Shares, dated January 17, 2012, by and among Soleno Therapeutics,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and the investors named therein.</w:t>
              </w:r>
            </w:hyperlink>
          </w:p>
        </w:tc>
        <w:tc>
          <w:tcPr>
            <w:tcW w:w="2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2"/>
              </w:rPr>
            </w:pPr>
            <w:hyperlink r:id="rId178">
              <w:r>
                <w:rPr>
                  <w:rFonts w:ascii="Arial" w:cs="Arial" w:eastAsia="Arial" w:hAnsi="Arial"/>
                  <w:sz w:val="18"/>
                  <w:szCs w:val="18"/>
                  <w:color w:val="0000EE"/>
                  <w:w w:val="92"/>
                </w:rPr>
                <w:t>Convertible Note and Warrant Purchase Agreement, dated January 16,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2012, by and among Soleno Therapeutics, Inc. and the investors named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therein.</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rPr>
            </w:pPr>
            <w:hyperlink r:id="rId179">
              <w:r>
                <w:rPr>
                  <w:rFonts w:ascii="Arial" w:cs="Arial" w:eastAsia="Arial" w:hAnsi="Arial"/>
                  <w:sz w:val="18"/>
                  <w:szCs w:val="18"/>
                  <w:color w:val="0000EE"/>
                </w:rPr>
                <w:t>Omnibus Amendment to Convertible Note and Warrant Purchase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Agreement, Convertible Promissory Notes and Warrants to Purchase</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Shares, dated July 31, 2012, by and among Soleno Therapeutics, Inc.</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and the investors named therein.</w:t>
              </w:r>
            </w:hyperlink>
          </w:p>
        </w:tc>
        <w:tc>
          <w:tcPr>
            <w:tcW w:w="2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Omnibus Amendment to Convertible Promissory Notes and Warrants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Purchase Shares, dated April 28, 2014, by and among Soleno</w:t>
              </w:r>
            </w:hyperlink>
          </w:p>
        </w:tc>
        <w:tc>
          <w:tcPr>
            <w:tcW w:w="720" w:type="dxa"/>
            <w:vAlign w:val="bottom"/>
            <w:tcBorders>
              <w:top w:val="single" w:sz="8" w:color="0000EE"/>
            </w:tcBorders>
            <w:gridSpan w:val="10"/>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Therapeutics, Inc. and the investors named therein.</w:t>
              </w:r>
            </w:hyperlink>
          </w:p>
        </w:tc>
        <w:tc>
          <w:tcPr>
            <w:tcW w:w="1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7"/>
              </w:rPr>
            </w:pPr>
            <w:hyperlink r:id="rId181">
              <w:r>
                <w:rPr>
                  <w:rFonts w:ascii="Arial" w:cs="Arial" w:eastAsia="Arial" w:hAnsi="Arial"/>
                  <w:sz w:val="18"/>
                  <w:szCs w:val="18"/>
                  <w:color w:val="0000EE"/>
                  <w:w w:val="97"/>
                </w:rPr>
                <w:t>Convertible Note and Warrant Purchase Agreement, dated April 28,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2014, by and among Soleno Therapeutics, Inc. and the investors named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therein.</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8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rPr>
            </w:pPr>
            <w:hyperlink r:id="rId182">
              <w:r>
                <w:rPr>
                  <w:rFonts w:ascii="Arial" w:cs="Arial" w:eastAsia="Arial" w:hAnsi="Arial"/>
                  <w:sz w:val="18"/>
                  <w:szCs w:val="18"/>
                  <w:color w:val="0000EE"/>
                </w:rPr>
                <w:t>Omnibus Amendment to Convertible Note and Warrant Purchase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w w:val="95"/>
              </w:rPr>
            </w:pPr>
            <w:hyperlink r:id="rId182">
              <w:r>
                <w:rPr>
                  <w:rFonts w:ascii="Arial" w:cs="Arial" w:eastAsia="Arial" w:hAnsi="Arial"/>
                  <w:sz w:val="18"/>
                  <w:szCs w:val="18"/>
                  <w:color w:val="0000EE"/>
                  <w:w w:val="95"/>
                </w:rPr>
                <w:t>Agreement, Convertible Promissory Notes and Warrants to Purchase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Shares, dated May 5, 2014, by and among Soleno Therapeutics, Inc. and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60" w:type="dxa"/>
            <w:vAlign w:val="bottom"/>
            <w:gridSpan w:val="23"/>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the investors named therein.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Sublease, dated May 20, 2014, by and among Soleno Therapeutics,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and Silicon Valley Finance Group.</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6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Offer Letter, dated June 24, 2014, by and between Soleno Therapeutics,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Inc. and David D. O’Toole.</w:t>
              </w:r>
            </w:hyperlink>
          </w:p>
        </w:tc>
        <w:tc>
          <w:tcPr>
            <w:tcW w:w="3140" w:type="dxa"/>
            <w:vAlign w:val="bottom"/>
            <w:tcBorders>
              <w:top w:val="single" w:sz="8" w:color="0000EE"/>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80" w:type="dxa"/>
            <w:vAlign w:val="bottom"/>
            <w:gridSpan w:val="14"/>
          </w:tcPr>
          <w:p>
            <w:pPr>
              <w:ind w:left="4680"/>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440" w:type="dxa"/>
            <w:vAlign w:val="bottom"/>
            <w:tcBorders>
              <w:top w:val="single" w:sz="8" w:color="auto"/>
            </w:tcBorders>
            <w:gridSpan w:val="2"/>
          </w:tcPr>
          <w:p>
            <w:pPr>
              <w:ind w:left="340"/>
              <w:spacing w:after="0" w:line="119" w:lineRule="exact"/>
              <w:rPr>
                <w:sz w:val="20"/>
                <w:szCs w:val="20"/>
                <w:color w:val="auto"/>
              </w:rPr>
            </w:pPr>
            <w:r>
              <w:rPr>
                <w:rFonts w:ascii="Arial" w:cs="Arial" w:eastAsia="Arial" w:hAnsi="Arial"/>
                <w:sz w:val="13"/>
                <w:szCs w:val="13"/>
                <w:b w:val="1"/>
                <w:bCs w:val="1"/>
                <w:color w:val="auto"/>
              </w:rPr>
              <w:t>Registrant’s</w:t>
            </w:r>
          </w:p>
        </w:tc>
        <w:tc>
          <w:tcPr>
            <w:tcW w:w="2140" w:type="dxa"/>
            <w:vAlign w:val="bottom"/>
            <w:tcBorders>
              <w:top w:val="single" w:sz="8" w:color="auto"/>
            </w:tcBorders>
            <w:gridSpan w:val="2"/>
          </w:tcPr>
          <w:p>
            <w:pPr>
              <w:ind w:left="72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4"/>
                <w:szCs w:val="14"/>
                <w:color w:val="auto"/>
              </w:rPr>
            </w:pPr>
          </w:p>
        </w:tc>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426"/>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4"/>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80"/>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80"/>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4"/>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80"/>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4"/>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64"/>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080"/>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w:t>
            </w:r>
          </w:p>
        </w:tc>
        <w:tc>
          <w:tcPr>
            <w:tcW w:w="21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48"/>
        </w:trPr>
        <w:tc>
          <w:tcPr>
            <w:tcW w:w="1440" w:type="dxa"/>
            <w:vAlign w:val="bottom"/>
            <w:gridSpan w:val="2"/>
          </w:tcPr>
          <w:p>
            <w:pPr>
              <w:ind w:left="60"/>
              <w:spacing w:after="0"/>
              <w:rPr>
                <w:sz w:val="20"/>
                <w:szCs w:val="20"/>
                <w:color w:val="auto"/>
              </w:rPr>
            </w:pPr>
            <w:r>
              <w:rPr>
                <w:rFonts w:ascii="Arial" w:cs="Arial" w:eastAsia="Arial" w:hAnsi="Arial"/>
                <w:sz w:val="18"/>
                <w:szCs w:val="18"/>
                <w:color w:val="auto"/>
              </w:rPr>
              <w:t>S-1/A</w:t>
            </w:r>
          </w:p>
        </w:tc>
        <w:tc>
          <w:tcPr>
            <w:tcW w:w="2140" w:type="dxa"/>
            <w:vAlign w:val="bottom"/>
            <w:gridSpan w:val="2"/>
          </w:tcPr>
          <w:p>
            <w:pPr>
              <w:spacing w:after="0"/>
              <w:rPr>
                <w:sz w:val="20"/>
                <w:szCs w:val="20"/>
                <w:color w:val="auto"/>
              </w:rPr>
            </w:pPr>
            <w:r>
              <w:rPr>
                <w:rFonts w:ascii="Arial" w:cs="Arial" w:eastAsia="Arial" w:hAnsi="Arial"/>
                <w:sz w:val="18"/>
                <w:szCs w:val="18"/>
                <w:color w:val="auto"/>
              </w:rPr>
              <w:t>July 22, 2014</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6160" w:space="60"/>
            <w:col w:w="5200"/>
          </w:cols>
          <w:pgMar w:left="240" w:top="333"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Exhibit</w:t>
            </w:r>
          </w:p>
        </w:tc>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gridSpan w:val="2"/>
            <w:vMerge w:val="continue"/>
          </w:tcPr>
          <w:p>
            <w:pPr>
              <w:spacing w:after="0"/>
              <w:rPr>
                <w:sz w:val="10"/>
                <w:szCs w:val="10"/>
                <w:color w:val="auto"/>
              </w:rPr>
            </w:pPr>
          </w:p>
        </w:tc>
        <w:tc>
          <w:tcPr>
            <w:tcW w:w="532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 of Document</w:t>
            </w:r>
          </w:p>
        </w:tc>
        <w:tc>
          <w:tcPr>
            <w:tcW w:w="60" w:type="dxa"/>
            <w:vAlign w:val="bottom"/>
            <w:vMerge w:val="restart"/>
          </w:tcPr>
          <w:p>
            <w:pPr>
              <w:spacing w:after="0"/>
              <w:rPr>
                <w:sz w:val="10"/>
                <w:szCs w:val="10"/>
                <w:color w:val="auto"/>
              </w:rPr>
            </w:pPr>
          </w:p>
        </w:tc>
        <w:tc>
          <w:tcPr>
            <w:tcW w:w="13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53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333" w:right="239" w:bottom="1440" w:gutter="0" w:footer="0" w:header="0"/>
        </w:sectPr>
      </w:pPr>
    </w:p>
    <w:tbl>
      <w:tblPr>
        <w:tblLayout w:type="fixed"/>
        <w:tblInd w:w="220" w:type="dxa"/>
        <w:tblCellMar>
          <w:top w:w="0" w:type="dxa"/>
          <w:left w:w="0" w:type="dxa"/>
          <w:bottom w:w="0" w:type="dxa"/>
          <w:right w:w="0" w:type="dxa"/>
        </w:tblCellMar>
      </w:tblPr>
      <w:tr>
        <w:trPr>
          <w:trHeight w:val="207"/>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10.21</w:t>
            </w:r>
          </w:p>
        </w:tc>
        <w:tc>
          <w:tcPr>
            <w:tcW w:w="4860" w:type="dxa"/>
            <w:vAlign w:val="bottom"/>
            <w:tcBorders>
              <w:bottom w:val="single" w:sz="8" w:color="0000EE"/>
            </w:tcBorders>
            <w:gridSpan w:val="17"/>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Loan Agreement by and between Soleno Therapeutics, Inc. and the</w:t>
              </w:r>
            </w:hyperlink>
          </w:p>
        </w:tc>
        <w:tc>
          <w:tcPr>
            <w:tcW w:w="5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investors named therein, dated September 29, 2014.</w:t>
              </w:r>
            </w:hyperlink>
          </w:p>
        </w:tc>
        <w:tc>
          <w:tcPr>
            <w:tcW w:w="1640" w:type="dxa"/>
            <w:vAlign w:val="bottom"/>
            <w:gridSpan w:val="15"/>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w w:val="93"/>
              </w:rPr>
              <w:t>S-1/A</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10.22</w:t>
            </w:r>
          </w:p>
        </w:tc>
        <w:tc>
          <w:tcPr>
            <w:tcW w:w="5380" w:type="dxa"/>
            <w:vAlign w:val="bottom"/>
            <w:gridSpan w:val="26"/>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Revised Second Tranche Closing Notice and Letter Amendment dated</w:t>
              </w:r>
            </w:hyperlink>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August 18, 2014 relating to the August 2014 Notes.</w:t>
              </w:r>
            </w:hyperlink>
          </w:p>
        </w:tc>
        <w:tc>
          <w:tcPr>
            <w:tcW w:w="1340" w:type="dxa"/>
            <w:vAlign w:val="bottom"/>
            <w:tcBorders>
              <w:top w:val="single" w:sz="8" w:color="0000EE"/>
            </w:tcBorders>
            <w:gridSpan w:val="10"/>
          </w:tcPr>
          <w:p>
            <w:pPr>
              <w:spacing w:after="0"/>
              <w:rPr>
                <w:sz w:val="17"/>
                <w:szCs w:val="17"/>
                <w:color w:val="auto"/>
              </w:rPr>
            </w:pPr>
          </w:p>
        </w:tc>
        <w:tc>
          <w:tcPr>
            <w:tcW w:w="320" w:type="dxa"/>
            <w:vAlign w:val="bottom"/>
            <w:gridSpan w:val="6"/>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w w:val="93"/>
              </w:rPr>
              <w:t>S-1/A</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10.23</w:t>
            </w:r>
          </w:p>
        </w:tc>
        <w:tc>
          <w:tcPr>
            <w:tcW w:w="5320" w:type="dxa"/>
            <w:vAlign w:val="bottom"/>
            <w:tcBorders>
              <w:bottom w:val="single" w:sz="8" w:color="0000EE"/>
            </w:tcBorders>
            <w:gridSpan w:val="25"/>
          </w:tcPr>
          <w:p>
            <w:pPr>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Second Tranche Subsequent Closing Notice and Letter Amendment dated</w:t>
              </w:r>
            </w:hyperlink>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October 22, 2014 relating to the October 2014 Notes.</w:t>
              </w:r>
            </w:hyperlink>
          </w:p>
        </w:tc>
        <w:tc>
          <w:tcPr>
            <w:tcW w:w="1540" w:type="dxa"/>
            <w:vAlign w:val="bottom"/>
            <w:gridSpan w:val="14"/>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w w:val="93"/>
              </w:rPr>
              <w:t>S-1/A</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10.24</w:t>
            </w:r>
          </w:p>
        </w:tc>
        <w:tc>
          <w:tcPr>
            <w:tcW w:w="2760" w:type="dxa"/>
            <w:vAlign w:val="bottom"/>
            <w:tcBorders>
              <w:bottom w:val="single" w:sz="8" w:color="0000EE"/>
            </w:tcBorders>
            <w:gridSpan w:val="4"/>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Form of Warrant Exercise Agreement.</w:t>
              </w:r>
            </w:hyperlink>
          </w:p>
        </w:tc>
        <w:tc>
          <w:tcPr>
            <w:tcW w:w="2620" w:type="dxa"/>
            <w:vAlign w:val="bottom"/>
            <w:gridSpan w:val="22"/>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10.25</w:t>
            </w:r>
          </w:p>
        </w:tc>
        <w:tc>
          <w:tcPr>
            <w:tcW w:w="4880" w:type="dxa"/>
            <w:vAlign w:val="bottom"/>
            <w:tcBorders>
              <w:bottom w:val="single" w:sz="8" w:color="0000EE"/>
            </w:tcBorders>
            <w:gridSpan w:val="18"/>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Advisory Agreement by and between Soleno Therapeutics, Inc. and</w:t>
              </w:r>
            </w:hyperlink>
          </w:p>
        </w:tc>
        <w:tc>
          <w:tcPr>
            <w:tcW w:w="5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Maxim Group LLC, dated March 4, 2015.</w:t>
              </w:r>
            </w:hyperlink>
          </w:p>
        </w:tc>
        <w:tc>
          <w:tcPr>
            <w:tcW w:w="2340" w:type="dxa"/>
            <w:vAlign w:val="bottom"/>
            <w:gridSpan w:val="18"/>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S-4</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10.26</w:t>
            </w:r>
          </w:p>
        </w:tc>
        <w:tc>
          <w:tcPr>
            <w:tcW w:w="5380" w:type="dxa"/>
            <w:vAlign w:val="bottom"/>
            <w:gridSpan w:val="26"/>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Agreement and First Amendment to Asset Purchase Agreement between</w:t>
              </w:r>
            </w:hyperlink>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2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the Company, BDDI and affiliate of BDDI, dated June 30, 2015.</w:t>
              </w:r>
            </w:hyperlink>
          </w:p>
        </w:tc>
        <w:tc>
          <w:tcPr>
            <w:tcW w:w="160" w:type="dxa"/>
            <w:vAlign w:val="bottom"/>
            <w:gridSpan w:val="3"/>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10.27</w:t>
            </w:r>
          </w:p>
        </w:tc>
        <w:tc>
          <w:tcPr>
            <w:tcW w:w="4840" w:type="dxa"/>
            <w:vAlign w:val="bottom"/>
            <w:tcBorders>
              <w:bottom w:val="single" w:sz="8" w:color="0000EE"/>
            </w:tcBorders>
            <w:gridSpan w:val="16"/>
          </w:tcPr>
          <w:p>
            <w:pPr>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Common Stock Purchase Agreement between the Company and an</w:t>
              </w:r>
            </w:hyperlink>
          </w:p>
        </w:tc>
        <w:tc>
          <w:tcPr>
            <w:tcW w:w="54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8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affiliate of BDDI, dated June 30, 2015.</w:t>
              </w:r>
            </w:hyperlink>
          </w:p>
        </w:tc>
        <w:tc>
          <w:tcPr>
            <w:tcW w:w="2560" w:type="dxa"/>
            <w:vAlign w:val="bottom"/>
            <w:gridSpan w:val="21"/>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10.28</w:t>
            </w:r>
          </w:p>
        </w:tc>
        <w:tc>
          <w:tcPr>
            <w:tcW w:w="5380" w:type="dxa"/>
            <w:vAlign w:val="bottom"/>
            <w:gridSpan w:val="26"/>
          </w:tcPr>
          <w:p>
            <w:pPr>
              <w:spacing w:after="0"/>
              <w:rPr>
                <w:rFonts w:ascii="Arial" w:cs="Arial" w:eastAsia="Arial" w:hAnsi="Arial"/>
                <w:sz w:val="18"/>
                <w:szCs w:val="18"/>
                <w:color w:val="0000EE"/>
                <w:w w:val="92"/>
              </w:rPr>
            </w:pPr>
            <w:hyperlink r:id="rId193">
              <w:r>
                <w:rPr>
                  <w:rFonts w:ascii="Arial" w:cs="Arial" w:eastAsia="Arial" w:hAnsi="Arial"/>
                  <w:sz w:val="18"/>
                  <w:szCs w:val="18"/>
                  <w:color w:val="0000EE"/>
                  <w:w w:val="92"/>
                </w:rPr>
                <w:t>Registration Rights Agreement between the Company and Aspire Capital</w:t>
              </w:r>
            </w:hyperlink>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Fund, LLC, dated July 24, 2015.</w:t>
              </w:r>
            </w:hyperlink>
          </w:p>
        </w:tc>
        <w:tc>
          <w:tcPr>
            <w:tcW w:w="100" w:type="dxa"/>
            <w:vAlign w:val="bottom"/>
            <w:gridSpan w:val="2"/>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10.29</w:t>
            </w:r>
          </w:p>
        </w:tc>
        <w:tc>
          <w:tcPr>
            <w:tcW w:w="5380" w:type="dxa"/>
            <w:vAlign w:val="bottom"/>
            <w:gridSpan w:val="26"/>
          </w:tcPr>
          <w:p>
            <w:pP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Common Stock Purchase Agreement between the Company and Aspire</w:t>
              </w:r>
            </w:hyperlink>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Capital Fund, LLC, dated July 24, 2015.</w:t>
              </w:r>
            </w:hyperlink>
          </w:p>
        </w:tc>
        <w:tc>
          <w:tcPr>
            <w:tcW w:w="240" w:type="dxa"/>
            <w:vAlign w:val="bottom"/>
            <w:gridSpan w:val="4"/>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10.30</w:t>
            </w:r>
          </w:p>
        </w:tc>
        <w:tc>
          <w:tcPr>
            <w:tcW w:w="4540" w:type="dxa"/>
            <w:vAlign w:val="bottom"/>
            <w:tcBorders>
              <w:bottom w:val="single" w:sz="8" w:color="0000EE"/>
            </w:tcBorders>
            <w:gridSpan w:val="14"/>
          </w:tcPr>
          <w:p>
            <w:pPr>
              <w:spacing w:after="0"/>
              <w:rPr>
                <w:rFonts w:ascii="Arial" w:cs="Arial" w:eastAsia="Arial" w:hAnsi="Arial"/>
                <w:sz w:val="18"/>
                <w:szCs w:val="18"/>
                <w:color w:val="0000EE"/>
                <w:w w:val="88"/>
              </w:rPr>
            </w:pPr>
            <w:hyperlink r:id="rId195">
              <w:r>
                <w:rPr>
                  <w:rFonts w:ascii="Arial" w:cs="Arial" w:eastAsia="Arial" w:hAnsi="Arial"/>
                  <w:sz w:val="18"/>
                  <w:szCs w:val="18"/>
                  <w:color w:val="0000EE"/>
                  <w:w w:val="88"/>
                </w:rPr>
                <w:t>Engagement Letter dated September 17, 2015, between Soleno</w:t>
              </w:r>
            </w:hyperlink>
          </w:p>
        </w:tc>
        <w:tc>
          <w:tcPr>
            <w:tcW w:w="8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80" w:type="dxa"/>
            <w:vAlign w:val="bottom"/>
            <w:gridSpan w:val="26"/>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Therapeutics, Inc. and Maxim Group, LLC.</w:t>
              </w:r>
            </w:hyperlink>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10.31</w:t>
            </w:r>
          </w:p>
        </w:tc>
        <w:tc>
          <w:tcPr>
            <w:tcW w:w="5380" w:type="dxa"/>
            <w:vAlign w:val="bottom"/>
            <w:gridSpan w:val="26"/>
          </w:tcPr>
          <w:p>
            <w:pPr>
              <w:spacing w:after="0"/>
              <w:rPr>
                <w:rFonts w:ascii="Arial" w:cs="Arial" w:eastAsia="Arial" w:hAnsi="Arial"/>
                <w:sz w:val="18"/>
                <w:szCs w:val="18"/>
                <w:color w:val="0000EE"/>
              </w:rPr>
            </w:pPr>
            <w:hyperlink r:id="rId196">
              <w:r>
                <w:rPr>
                  <w:rFonts w:ascii="Arial" w:cs="Arial" w:eastAsia="Arial" w:hAnsi="Arial"/>
                  <w:sz w:val="18"/>
                  <w:szCs w:val="18"/>
                  <w:color w:val="0000EE"/>
                </w:rPr>
                <w:t>Securities Purchase Agreement dated October 12, 2015.</w:t>
              </w:r>
            </w:hyperlink>
          </w:p>
        </w:tc>
        <w:tc>
          <w:tcPr>
            <w:tcW w:w="480" w:type="dxa"/>
            <w:vAlign w:val="bottom"/>
          </w:tcPr>
          <w:p>
            <w:pPr>
              <w:ind w:left="4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10.32</w:t>
            </w:r>
          </w:p>
        </w:tc>
        <w:tc>
          <w:tcPr>
            <w:tcW w:w="2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Form of Registration Rights Agreement.</w:t>
              </w:r>
            </w:hyperlink>
          </w:p>
        </w:tc>
        <w:tc>
          <w:tcPr>
            <w:tcW w:w="1100" w:type="dxa"/>
            <w:vAlign w:val="bottom"/>
            <w:tcBorders>
              <w:top w:val="single" w:sz="8" w:color="0000EE"/>
            </w:tcBorders>
            <w:gridSpan w:val="6"/>
          </w:tcPr>
          <w:p>
            <w:pPr>
              <w:spacing w:after="0"/>
              <w:rPr>
                <w:sz w:val="24"/>
                <w:szCs w:val="24"/>
                <w:color w:val="auto"/>
              </w:rPr>
            </w:pPr>
          </w:p>
        </w:tc>
        <w:tc>
          <w:tcPr>
            <w:tcW w:w="1360" w:type="dxa"/>
            <w:vAlign w:val="bottom"/>
            <w:gridSpan w:val="13"/>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10.33</w:t>
            </w:r>
          </w:p>
        </w:tc>
        <w:tc>
          <w:tcPr>
            <w:tcW w:w="5380" w:type="dxa"/>
            <w:vAlign w:val="bottom"/>
            <w:gridSpan w:val="26"/>
          </w:tcPr>
          <w:p>
            <w:pPr>
              <w:spacing w:after="0"/>
              <w:rPr>
                <w:rFonts w:ascii="Arial" w:cs="Arial" w:eastAsia="Arial" w:hAnsi="Arial"/>
                <w:sz w:val="18"/>
                <w:szCs w:val="18"/>
                <w:color w:val="0000EE"/>
              </w:rPr>
            </w:pPr>
            <w:hyperlink r:id="rId198">
              <w:r>
                <w:rPr>
                  <w:rFonts w:ascii="Arial" w:cs="Arial" w:eastAsia="Arial" w:hAnsi="Arial"/>
                  <w:sz w:val="18"/>
                  <w:szCs w:val="18"/>
                  <w:color w:val="0000EE"/>
                </w:rPr>
                <w:t>Form of Lock-Up Agreement.</w:t>
              </w:r>
            </w:hyperlink>
          </w:p>
        </w:tc>
        <w:tc>
          <w:tcPr>
            <w:tcW w:w="480" w:type="dxa"/>
            <w:vAlign w:val="bottom"/>
          </w:tcPr>
          <w:p>
            <w:pPr>
              <w:ind w:left="40"/>
              <w:spacing w:after="0"/>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72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10.34</w:t>
            </w:r>
          </w:p>
        </w:tc>
        <w:tc>
          <w:tcPr>
            <w:tcW w:w="5380" w:type="dxa"/>
            <w:vAlign w:val="bottom"/>
            <w:gridSpan w:val="26"/>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Amendment No. 1 to Securities Purchase Agreement dated October 29,</w:t>
              </w:r>
            </w:hyperlink>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99">
              <w:r>
                <w:rPr>
                  <w:rFonts w:ascii="Arial" w:cs="Arial" w:eastAsia="Arial" w:hAnsi="Arial"/>
                  <w:sz w:val="18"/>
                  <w:szCs w:val="18"/>
                  <w:color w:val="0000EE"/>
                  <w:w w:val="84"/>
                </w:rPr>
                <w:t>2015.</w:t>
              </w:r>
            </w:hyperlink>
          </w:p>
        </w:tc>
        <w:tc>
          <w:tcPr>
            <w:tcW w:w="1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w w:val="93"/>
              </w:rPr>
              <w:t>S-1/A</w:t>
            </w: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10.35</w:t>
            </w:r>
          </w:p>
        </w:tc>
        <w:tc>
          <w:tcPr>
            <w:tcW w:w="4960" w:type="dxa"/>
            <w:vAlign w:val="bottom"/>
            <w:tcBorders>
              <w:bottom w:val="single" w:sz="8" w:color="0000EE"/>
            </w:tcBorders>
            <w:gridSpan w:val="19"/>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Transfer and Distribution Agreement: United States: by and between</w:t>
              </w:r>
            </w:hyperlink>
          </w:p>
        </w:tc>
        <w:tc>
          <w:tcPr>
            <w:tcW w:w="42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80" w:type="dxa"/>
            <w:vAlign w:val="bottom"/>
            <w:gridSpan w:val="26"/>
          </w:tcPr>
          <w:p>
            <w:pPr>
              <w:spacing w:after="0" w:line="196" w:lineRule="exact"/>
              <w:rPr>
                <w:rFonts w:ascii="Arial" w:cs="Arial" w:eastAsia="Arial" w:hAnsi="Arial"/>
                <w:sz w:val="18"/>
                <w:szCs w:val="18"/>
                <w:color w:val="0000EE"/>
                <w:w w:val="98"/>
              </w:rPr>
            </w:pPr>
            <w:hyperlink r:id="rId200">
              <w:r>
                <w:rPr>
                  <w:rFonts w:ascii="Arial" w:cs="Arial" w:eastAsia="Arial" w:hAnsi="Arial"/>
                  <w:sz w:val="18"/>
                  <w:szCs w:val="18"/>
                  <w:color w:val="0000EE"/>
                  <w:w w:val="98"/>
                </w:rPr>
                <w:t>Soleno Therapeutics, Inc. and Bemes, Inc. signed January 26, 2016.</w:t>
              </w:r>
            </w:hyperlink>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216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1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80" w:type="dxa"/>
            <w:vAlign w:val="bottom"/>
          </w:tcPr>
          <w:p>
            <w:pPr>
              <w:jc w:val="right"/>
              <w:ind w:right="190"/>
              <w:spacing w:after="0"/>
              <w:rPr>
                <w:sz w:val="20"/>
                <w:szCs w:val="20"/>
                <w:color w:val="auto"/>
              </w:rPr>
            </w:pPr>
            <w:r>
              <w:rPr>
                <w:rFonts w:ascii="Arial" w:cs="Arial" w:eastAsia="Arial" w:hAnsi="Arial"/>
                <w:sz w:val="18"/>
                <w:szCs w:val="18"/>
                <w:color w:val="auto"/>
                <w:w w:val="84"/>
              </w:rPr>
              <w:t>10.36</w:t>
            </w:r>
          </w:p>
        </w:tc>
        <w:tc>
          <w:tcPr>
            <w:tcW w:w="5120" w:type="dxa"/>
            <w:vAlign w:val="bottom"/>
            <w:tcBorders>
              <w:bottom w:val="single" w:sz="8" w:color="0000EE"/>
            </w:tcBorders>
            <w:gridSpan w:val="21"/>
          </w:tcPr>
          <w:p>
            <w:pPr>
              <w:spacing w:after="0"/>
              <w:rPr>
                <w:rFonts w:ascii="Arial" w:cs="Arial" w:eastAsia="Arial" w:hAnsi="Arial"/>
                <w:sz w:val="18"/>
                <w:szCs w:val="18"/>
                <w:color w:val="0000EE"/>
                <w:w w:val="88"/>
              </w:rPr>
            </w:pPr>
            <w:hyperlink r:id="rId201">
              <w:r>
                <w:rPr>
                  <w:rFonts w:ascii="Arial" w:cs="Arial" w:eastAsia="Arial" w:hAnsi="Arial"/>
                  <w:sz w:val="18"/>
                  <w:szCs w:val="18"/>
                  <w:color w:val="0000EE"/>
                  <w:w w:val="88"/>
                </w:rPr>
                <w:t>Engagement Letter dated June 26, 2016, between Soleno Therapeutics,</w:t>
              </w:r>
            </w:hyperlink>
          </w:p>
        </w:tc>
        <w:tc>
          <w:tcPr>
            <w:tcW w:w="26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380" w:type="dxa"/>
            <w:vAlign w:val="bottom"/>
            <w:gridSpan w:val="26"/>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Inc. and Maxim Group, LLC.</w:t>
              </w:r>
            </w:hyperlink>
          </w:p>
        </w:tc>
        <w:tc>
          <w:tcPr>
            <w:tcW w:w="480" w:type="dxa"/>
            <w:vAlign w:val="bottom"/>
          </w:tcPr>
          <w:p>
            <w:pPr>
              <w:ind w:left="40"/>
              <w:spacing w:after="0" w:line="196" w:lineRule="exact"/>
              <w:rPr>
                <w:sz w:val="20"/>
                <w:szCs w:val="20"/>
                <w:color w:val="auto"/>
              </w:rPr>
            </w:pPr>
            <w:r>
              <w:rPr>
                <w:rFonts w:ascii="Arial" w:cs="Arial" w:eastAsia="Arial" w:hAnsi="Arial"/>
                <w:sz w:val="18"/>
                <w:szCs w:val="18"/>
                <w:color w:val="auto"/>
              </w:rPr>
              <w:t>8-K</w:t>
            </w:r>
          </w:p>
        </w:tc>
      </w:tr>
      <w:tr>
        <w:trPr>
          <w:trHeight w:val="453"/>
        </w:trPr>
        <w:tc>
          <w:tcPr>
            <w:tcW w:w="680" w:type="dxa"/>
            <w:vAlign w:val="bottom"/>
          </w:tcPr>
          <w:p>
            <w:pPr>
              <w:spacing w:after="0"/>
              <w:rPr>
                <w:sz w:val="24"/>
                <w:szCs w:val="24"/>
                <w:color w:val="auto"/>
              </w:rPr>
            </w:pPr>
          </w:p>
        </w:tc>
        <w:tc>
          <w:tcPr>
            <w:tcW w:w="2160" w:type="dxa"/>
            <w:vAlign w:val="bottom"/>
            <w:tcBorders>
              <w:top w:val="single" w:sz="8" w:color="0000EE"/>
            </w:tcBorders>
            <w:gridSpan w:val="2"/>
          </w:tcPr>
          <w:p>
            <w:pPr>
              <w:spacing w:after="0"/>
              <w:rPr>
                <w:sz w:val="24"/>
                <w:szCs w:val="24"/>
                <w:color w:val="auto"/>
              </w:rPr>
            </w:pPr>
          </w:p>
        </w:tc>
        <w:tc>
          <w:tcPr>
            <w:tcW w:w="2800" w:type="dxa"/>
            <w:vAlign w:val="bottom"/>
            <w:gridSpan w:val="17"/>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September 29, 2014</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8"/>
              </w:rPr>
              <w:t>10.21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November 4, 2014</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8"/>
              </w:rPr>
              <w:t>10.22</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November 4, 2014</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8"/>
              </w:rPr>
              <w:t>10.23</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March 5,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April 1,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8"/>
              </w:rPr>
              <w:t>10.25</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July 7,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July 7,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10.2</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July 27, 2015</w:t>
            </w:r>
          </w:p>
        </w:tc>
        <w:tc>
          <w:tcPr>
            <w:tcW w:w="840" w:type="dxa"/>
            <w:vAlign w:val="bottom"/>
          </w:tcPr>
          <w:p>
            <w:pPr>
              <w:jc w:val="center"/>
              <w:ind w:left="370"/>
              <w:spacing w:after="0"/>
              <w:rPr>
                <w:sz w:val="20"/>
                <w:szCs w:val="20"/>
                <w:color w:val="auto"/>
              </w:rPr>
            </w:pPr>
            <w:r>
              <w:rPr>
                <w:rFonts w:ascii="Arial" w:cs="Arial" w:eastAsia="Arial" w:hAnsi="Arial"/>
                <w:sz w:val="18"/>
                <w:szCs w:val="18"/>
                <w:color w:val="auto"/>
                <w:w w:val="87"/>
              </w:rPr>
              <w:t>4.1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July 27,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October 15, 2015</w:t>
            </w:r>
          </w:p>
        </w:tc>
        <w:tc>
          <w:tcPr>
            <w:tcW w:w="840" w:type="dxa"/>
            <w:vAlign w:val="bottom"/>
          </w:tcPr>
          <w:p>
            <w:pPr>
              <w:jc w:val="center"/>
              <w:ind w:left="370"/>
              <w:spacing w:after="0"/>
              <w:rPr>
                <w:sz w:val="20"/>
                <w:szCs w:val="20"/>
                <w:color w:val="auto"/>
              </w:rPr>
            </w:pPr>
            <w:r>
              <w:rPr>
                <w:rFonts w:ascii="Arial" w:cs="Arial" w:eastAsia="Arial" w:hAnsi="Arial"/>
                <w:sz w:val="18"/>
                <w:szCs w:val="18"/>
                <w:color w:val="auto"/>
                <w:w w:val="87"/>
              </w:rPr>
              <w:t>1.1</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October 15,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October 15,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10.2</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October 15,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10.3</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December 22, 2015</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88"/>
              </w:rPr>
              <w:t>10.33</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January 28, 2016</w:t>
            </w:r>
          </w:p>
        </w:tc>
        <w:tc>
          <w:tcPr>
            <w:tcW w:w="84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July 6, 2016</w:t>
            </w:r>
          </w:p>
        </w:tc>
        <w:tc>
          <w:tcPr>
            <w:tcW w:w="840" w:type="dxa"/>
            <w:vAlign w:val="bottom"/>
          </w:tcPr>
          <w:p>
            <w:pPr>
              <w:jc w:val="center"/>
              <w:ind w:left="370"/>
              <w:spacing w:after="0"/>
              <w:rPr>
                <w:sz w:val="20"/>
                <w:szCs w:val="20"/>
                <w:color w:val="auto"/>
              </w:rPr>
            </w:pPr>
            <w:r>
              <w:rPr>
                <w:rFonts w:ascii="Arial" w:cs="Arial" w:eastAsia="Arial" w:hAnsi="Arial"/>
                <w:sz w:val="18"/>
                <w:szCs w:val="18"/>
                <w:color w:val="auto"/>
                <w:w w:val="87"/>
              </w:rPr>
              <w:t>1.1</w:t>
            </w:r>
          </w:p>
        </w:tc>
      </w:tr>
    </w:tbl>
    <w:p>
      <w:pPr>
        <w:sectPr>
          <w:pgSz w:w="11900" w:h="16838" w:orient="portrait"/>
          <w:cols w:equalWidth="0" w:num="2">
            <w:col w:w="6920" w:space="720"/>
            <w:col w:w="3780"/>
          </w:cols>
          <w:pgMar w:left="240" w:top="333" w:right="239" w:bottom="1440" w:gutter="0" w:footer="0" w:header="0"/>
          <w:type w:val="continuous"/>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5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Incorporated by Reference from</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gridSpan w:val="2"/>
            <w:vMerge w:val="continue"/>
          </w:tcPr>
          <w:p>
            <w:pPr>
              <w:spacing w:after="0"/>
              <w:rPr>
                <w:sz w:val="10"/>
                <w:szCs w:val="10"/>
                <w:color w:val="auto"/>
              </w:rPr>
            </w:pPr>
          </w:p>
        </w:tc>
        <w:tc>
          <w:tcPr>
            <w:tcW w:w="54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vMerge w:val="restart"/>
          </w:tcPr>
          <w:p>
            <w:pPr>
              <w:spacing w:after="0"/>
              <w:rPr>
                <w:sz w:val="10"/>
                <w:szCs w:val="10"/>
                <w:color w:val="auto"/>
              </w:rPr>
            </w:pPr>
          </w:p>
        </w:tc>
        <w:tc>
          <w:tcPr>
            <w:tcW w:w="1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54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333" w:right="239" w:bottom="1440" w:gutter="0" w:footer="0" w:header="0"/>
        </w:sectPr>
      </w:pPr>
    </w:p>
    <w:tbl>
      <w:tblPr>
        <w:tblLayout w:type="fixed"/>
        <w:tblInd w:w="240" w:type="dxa"/>
        <w:tblCellMar>
          <w:top w:w="0" w:type="dxa"/>
          <w:left w:w="0" w:type="dxa"/>
          <w:bottom w:w="0" w:type="dxa"/>
          <w:right w:w="0" w:type="dxa"/>
        </w:tblCellMar>
      </w:tblPr>
      <w:tr>
        <w:trPr>
          <w:trHeight w:val="207"/>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10.37</w:t>
            </w:r>
          </w:p>
        </w:tc>
        <w:tc>
          <w:tcPr>
            <w:tcW w:w="3780" w:type="dxa"/>
            <w:vAlign w:val="bottom"/>
            <w:tcBorders>
              <w:bottom w:val="single" w:sz="8" w:color="0000EE"/>
            </w:tcBorders>
            <w:gridSpan w:val="8"/>
          </w:tcPr>
          <w:p>
            <w:pPr>
              <w:spacing w:after="0"/>
              <w:rPr>
                <w:rFonts w:ascii="Arial" w:cs="Arial" w:eastAsia="Arial" w:hAnsi="Arial"/>
                <w:sz w:val="18"/>
                <w:szCs w:val="18"/>
                <w:color w:val="0000EE"/>
                <w:w w:val="87"/>
              </w:rPr>
            </w:pPr>
            <w:hyperlink r:id="rId203">
              <w:r>
                <w:rPr>
                  <w:rFonts w:ascii="Arial" w:cs="Arial" w:eastAsia="Arial" w:hAnsi="Arial"/>
                  <w:sz w:val="18"/>
                  <w:szCs w:val="18"/>
                  <w:color w:val="0000EE"/>
                  <w:w w:val="87"/>
                </w:rPr>
                <w:t>Securities Purchase Agreement dated June 29, 2016.</w:t>
              </w:r>
            </w:hyperlink>
          </w:p>
        </w:tc>
        <w:tc>
          <w:tcPr>
            <w:tcW w:w="1660" w:type="dxa"/>
            <w:vAlign w:val="bottom"/>
            <w:gridSpan w:val="17"/>
          </w:tcPr>
          <w:p>
            <w:pPr>
              <w:spacing w:after="0"/>
              <w:rPr>
                <w:sz w:val="17"/>
                <w:szCs w:val="17"/>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10.38</w:t>
            </w:r>
          </w:p>
        </w:tc>
        <w:tc>
          <w:tcPr>
            <w:tcW w:w="4400" w:type="dxa"/>
            <w:vAlign w:val="bottom"/>
            <w:tcBorders>
              <w:bottom w:val="single" w:sz="8" w:color="0000EE"/>
            </w:tcBorders>
            <w:gridSpan w:val="9"/>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Form of Registration Rights Agreement dated June 29, 2016.</w:t>
              </w:r>
            </w:hyperlink>
          </w:p>
        </w:tc>
        <w:tc>
          <w:tcPr>
            <w:tcW w:w="1040" w:type="dxa"/>
            <w:vAlign w:val="bottom"/>
            <w:gridSpan w:val="16"/>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10.39</w:t>
            </w:r>
          </w:p>
        </w:tc>
        <w:tc>
          <w:tcPr>
            <w:tcW w:w="5440" w:type="dxa"/>
            <w:vAlign w:val="bottom"/>
            <w:gridSpan w:val="25"/>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Amendment No. 1 to Securities Purchase Agreement dated September 20,</w:t>
              </w:r>
            </w:hyperlink>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05">
              <w:r>
                <w:rPr>
                  <w:rFonts w:ascii="Arial" w:cs="Arial" w:eastAsia="Arial" w:hAnsi="Arial"/>
                  <w:sz w:val="18"/>
                  <w:szCs w:val="18"/>
                  <w:color w:val="0000EE"/>
                  <w:w w:val="84"/>
                </w:rPr>
                <w:t>2016.</w:t>
              </w:r>
            </w:hyperlink>
          </w:p>
        </w:tc>
        <w:tc>
          <w:tcPr>
            <w:tcW w:w="4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w w:val="93"/>
              </w:rPr>
              <w:t>S-1/A</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10.40</w:t>
            </w:r>
          </w:p>
        </w:tc>
        <w:tc>
          <w:tcPr>
            <w:tcW w:w="5380" w:type="dxa"/>
            <w:vAlign w:val="bottom"/>
            <w:tcBorders>
              <w:bottom w:val="single" w:sz="8" w:color="0000EE"/>
            </w:tcBorders>
            <w:gridSpan w:val="24"/>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Agreement and Plan of Merger and Reorganization, dated as of December</w:t>
              </w:r>
            </w:hyperlink>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22, 2016, by and among Soleno Therapeutics, Inc., a Delaware</w:t>
              </w:r>
            </w:hyperlink>
          </w:p>
        </w:tc>
        <w:tc>
          <w:tcPr>
            <w:tcW w:w="5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corporation, Essentialis, Inc., a Delaware corporation, Company E Merger</w:t>
              </w:r>
            </w:hyperlink>
          </w:p>
        </w:tc>
        <w:tc>
          <w:tcPr>
            <w:tcW w:w="5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Sub, Inc., a Delaware corporation and a wholly-owned subsidiary of</w:t>
              </w:r>
            </w:hyperlink>
          </w:p>
        </w:tc>
        <w:tc>
          <w:tcPr>
            <w:tcW w:w="46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Soleno Therapeutics, and Neil Cowen as the stockholders’ representative.</w:t>
              </w:r>
            </w:hyperlink>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10.41</w:t>
            </w:r>
          </w:p>
        </w:tc>
        <w:tc>
          <w:tcPr>
            <w:tcW w:w="5300" w:type="dxa"/>
            <w:vAlign w:val="bottom"/>
            <w:tcBorders>
              <w:top w:val="single" w:sz="8" w:color="0000EE"/>
            </w:tcBorders>
            <w:gridSpan w:val="22"/>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Registration Rights Agreement between the Company and Aspire Capital</w:t>
              </w:r>
            </w:hyperlink>
          </w:p>
        </w:tc>
        <w:tc>
          <w:tcPr>
            <w:tcW w:w="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Fund, LLC, dated January 27, 2017.</w:t>
              </w:r>
            </w:hyperlink>
          </w:p>
        </w:tc>
        <w:tc>
          <w:tcPr>
            <w:tcW w:w="2680" w:type="dxa"/>
            <w:vAlign w:val="bottom"/>
            <w:tcBorders>
              <w:top w:val="single" w:sz="8" w:color="0000EE"/>
            </w:tcBorders>
            <w:gridSpan w:val="17"/>
          </w:tcPr>
          <w:p>
            <w:pPr>
              <w:spacing w:after="0"/>
              <w:rPr>
                <w:sz w:val="17"/>
                <w:szCs w:val="17"/>
                <w:color w:val="auto"/>
              </w:rPr>
            </w:pPr>
          </w:p>
        </w:tc>
        <w:tc>
          <w:tcPr>
            <w:tcW w:w="160" w:type="dxa"/>
            <w:vAlign w:val="bottom"/>
            <w:gridSpan w:val="4"/>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S-1</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10.42</w:t>
            </w:r>
          </w:p>
        </w:tc>
        <w:tc>
          <w:tcPr>
            <w:tcW w:w="5440" w:type="dxa"/>
            <w:vAlign w:val="bottom"/>
            <w:gridSpan w:val="25"/>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Common Stock Purchase Agreement between the Company and Aspire</w:t>
              </w:r>
            </w:hyperlink>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Capital Fund, LLC, dated January 27, 2017.</w:t>
              </w:r>
            </w:hyperlink>
          </w:p>
        </w:tc>
        <w:tc>
          <w:tcPr>
            <w:tcW w:w="300" w:type="dxa"/>
            <w:vAlign w:val="bottom"/>
            <w:gridSpan w:val="6"/>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S-1</w:t>
            </w:r>
          </w:p>
        </w:tc>
      </w:tr>
      <w:tr>
        <w:trPr>
          <w:trHeight w:val="20"/>
        </w:trPr>
        <w:tc>
          <w:tcPr>
            <w:tcW w:w="6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10.43</w:t>
            </w:r>
          </w:p>
        </w:tc>
        <w:tc>
          <w:tcPr>
            <w:tcW w:w="5440" w:type="dxa"/>
            <w:vAlign w:val="bottom"/>
            <w:gridSpan w:val="25"/>
          </w:tcPr>
          <w:p>
            <w:pPr>
              <w:spacing w:after="0"/>
              <w:rPr>
                <w:rFonts w:ascii="Arial" w:cs="Arial" w:eastAsia="Arial" w:hAnsi="Arial"/>
                <w:sz w:val="18"/>
                <w:szCs w:val="18"/>
                <w:color w:val="0000EE"/>
                <w:w w:val="98"/>
              </w:rPr>
            </w:pPr>
            <w:hyperlink r:id="rId120">
              <w:r>
                <w:rPr>
                  <w:rFonts w:ascii="Arial" w:cs="Arial" w:eastAsia="Arial" w:hAnsi="Arial"/>
                  <w:sz w:val="18"/>
                  <w:szCs w:val="18"/>
                  <w:color w:val="0000EE"/>
                  <w:w w:val="98"/>
                </w:rPr>
                <w:t>Stock Purchase Agreement made by and between the Company and</w:t>
              </w:r>
            </w:hyperlink>
          </w:p>
        </w:tc>
        <w:tc>
          <w:tcPr>
            <w:tcW w:w="5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NeoForce Holdings, Inc. a Delaware corporation dated July 18, 2017</w:t>
              </w:r>
            </w:hyperlink>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10.44</w:t>
            </w:r>
          </w:p>
        </w:tc>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Joint Venture Agreement dated as of December 4, 2017 by and among</w:t>
              </w:r>
            </w:hyperlink>
          </w:p>
        </w:tc>
        <w:tc>
          <w:tcPr>
            <w:tcW w:w="34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Soleno Therapeutics, Inc., Capnia, Inc., and OptAsia Healthcare Limited</w:t>
              </w:r>
            </w:hyperlink>
          </w:p>
        </w:tc>
        <w:tc>
          <w:tcPr>
            <w:tcW w:w="200" w:type="dxa"/>
            <w:vAlign w:val="bottom"/>
            <w:gridSpan w:val="5"/>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10.45</w:t>
            </w:r>
          </w:p>
        </w:tc>
        <w:tc>
          <w:tcPr>
            <w:tcW w:w="5440" w:type="dxa"/>
            <w:vAlign w:val="bottom"/>
            <w:gridSpan w:val="25"/>
          </w:tcPr>
          <w:p>
            <w:pPr>
              <w:spacing w:after="0"/>
              <w:rPr>
                <w:rFonts w:ascii="Arial" w:cs="Arial" w:eastAsia="Arial" w:hAnsi="Arial"/>
                <w:sz w:val="18"/>
                <w:szCs w:val="18"/>
                <w:color w:val="0000EE"/>
              </w:rPr>
            </w:pPr>
            <w:hyperlink r:id="rId209">
              <w:r>
                <w:rPr>
                  <w:rFonts w:ascii="Arial" w:cs="Arial" w:eastAsia="Arial" w:hAnsi="Arial"/>
                  <w:sz w:val="18"/>
                  <w:szCs w:val="18"/>
                  <w:color w:val="0000EE"/>
                </w:rPr>
                <w:t>Securities Purchase Agreement, dated as of December 11, 2017</w:t>
              </w:r>
            </w:hyperlink>
          </w:p>
        </w:tc>
        <w:tc>
          <w:tcPr>
            <w:tcW w:w="500" w:type="dxa"/>
            <w:vAlign w:val="bottom"/>
          </w:tcPr>
          <w:p>
            <w:pPr>
              <w:ind w:left="60"/>
              <w:spacing w:after="0"/>
              <w:rPr>
                <w:sz w:val="20"/>
                <w:szCs w:val="20"/>
                <w:color w:val="auto"/>
              </w:rPr>
            </w:pPr>
            <w:r>
              <w:rPr>
                <w:rFonts w:ascii="Arial" w:cs="Arial" w:eastAsia="Arial" w:hAnsi="Arial"/>
                <w:sz w:val="18"/>
                <w:szCs w:val="18"/>
                <w:color w:val="auto"/>
              </w:rPr>
              <w:t>8-K</w:t>
            </w:r>
          </w:p>
        </w:tc>
      </w:tr>
      <w:tr>
        <w:trPr>
          <w:trHeight w:val="20"/>
        </w:trPr>
        <w:tc>
          <w:tcPr>
            <w:tcW w:w="6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10.46</w:t>
            </w:r>
          </w:p>
        </w:tc>
        <w:tc>
          <w:tcPr>
            <w:tcW w:w="5440" w:type="dxa"/>
            <w:vAlign w:val="bottom"/>
            <w:gridSpan w:val="25"/>
          </w:tcPr>
          <w:p>
            <w:pPr>
              <w:spacing w:after="0"/>
              <w:rPr>
                <w:rFonts w:ascii="Arial" w:cs="Arial" w:eastAsia="Arial" w:hAnsi="Arial"/>
                <w:sz w:val="18"/>
                <w:szCs w:val="18"/>
                <w:color w:val="0000EE"/>
                <w:w w:val="98"/>
              </w:rPr>
            </w:pPr>
            <w:hyperlink r:id="rId210">
              <w:r>
                <w:rPr>
                  <w:rFonts w:ascii="Arial" w:cs="Arial" w:eastAsia="Arial" w:hAnsi="Arial"/>
                  <w:sz w:val="18"/>
                  <w:szCs w:val="18"/>
                  <w:color w:val="0000EE"/>
                  <w:w w:val="98"/>
                </w:rPr>
                <w:t>Confidential Consulting Agreement, dated September 5, 2017 by and</w:t>
              </w:r>
            </w:hyperlink>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between FLG Partners, LLC and the Company</w:t>
              </w:r>
            </w:hyperlink>
          </w:p>
        </w:tc>
        <w:tc>
          <w:tcPr>
            <w:tcW w:w="1620" w:type="dxa"/>
            <w:vAlign w:val="bottom"/>
            <w:tcBorders>
              <w:top w:val="single" w:sz="8" w:color="0000EE"/>
            </w:tcBorders>
            <w:gridSpan w:val="9"/>
          </w:tcPr>
          <w:p>
            <w:pPr>
              <w:spacing w:after="0"/>
              <w:rPr>
                <w:sz w:val="17"/>
                <w:szCs w:val="17"/>
                <w:color w:val="auto"/>
              </w:rPr>
            </w:pPr>
          </w:p>
        </w:tc>
        <w:tc>
          <w:tcPr>
            <w:tcW w:w="460" w:type="dxa"/>
            <w:vAlign w:val="bottom"/>
            <w:gridSpan w:val="9"/>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10.47</w:t>
            </w:r>
          </w:p>
        </w:tc>
        <w:tc>
          <w:tcPr>
            <w:tcW w:w="4580" w:type="dxa"/>
            <w:vAlign w:val="bottom"/>
            <w:tcBorders>
              <w:bottom w:val="single" w:sz="8" w:color="0000EE"/>
            </w:tcBorders>
            <w:gridSpan w:val="12"/>
          </w:tcPr>
          <w:p>
            <w:pPr>
              <w:spacing w:after="0"/>
              <w:rPr>
                <w:rFonts w:ascii="Arial" w:cs="Arial" w:eastAsia="Arial" w:hAnsi="Arial"/>
                <w:sz w:val="18"/>
                <w:szCs w:val="18"/>
                <w:color w:val="0000EE"/>
                <w:w w:val="88"/>
              </w:rPr>
            </w:pPr>
            <w:hyperlink r:id="rId211">
              <w:r>
                <w:rPr>
                  <w:rFonts w:ascii="Arial" w:cs="Arial" w:eastAsia="Arial" w:hAnsi="Arial"/>
                  <w:sz w:val="18"/>
                  <w:szCs w:val="18"/>
                  <w:color w:val="0000EE"/>
                  <w:w w:val="88"/>
                </w:rPr>
                <w:t>Securities Purchase Agreement, dated as of December 19, 2018</w:t>
              </w:r>
            </w:hyperlink>
          </w:p>
        </w:tc>
        <w:tc>
          <w:tcPr>
            <w:tcW w:w="860" w:type="dxa"/>
            <w:vAlign w:val="bottom"/>
            <w:gridSpan w:val="13"/>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8-K</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88"/>
              </w:rPr>
              <w:t>10.48</w:t>
            </w:r>
          </w:p>
        </w:tc>
        <w:tc>
          <w:tcPr>
            <w:tcW w:w="3040" w:type="dxa"/>
            <w:vAlign w:val="bottom"/>
            <w:tcBorders>
              <w:bottom w:val="single" w:sz="8" w:color="0000EE"/>
            </w:tcBorders>
            <w:gridSpan w:val="5"/>
          </w:tcPr>
          <w:p>
            <w:pPr>
              <w:spacing w:after="0"/>
              <w:rPr>
                <w:rFonts w:ascii="Arial" w:cs="Arial" w:eastAsia="Arial" w:hAnsi="Arial"/>
                <w:sz w:val="18"/>
                <w:szCs w:val="18"/>
                <w:color w:val="0000EE"/>
                <w:w w:val="92"/>
              </w:rPr>
            </w:pPr>
            <w:hyperlink r:id="rId212">
              <w:r>
                <w:rPr>
                  <w:rFonts w:ascii="Arial" w:cs="Arial" w:eastAsia="Arial" w:hAnsi="Arial"/>
                  <w:sz w:val="18"/>
                  <w:szCs w:val="18"/>
                  <w:color w:val="0000EE"/>
                  <w:w w:val="92"/>
                </w:rPr>
                <w:t>Employment Agreement with Kristen Yen</w:t>
              </w:r>
            </w:hyperlink>
          </w:p>
        </w:tc>
        <w:tc>
          <w:tcPr>
            <w:tcW w:w="2400" w:type="dxa"/>
            <w:vAlign w:val="bottom"/>
            <w:gridSpan w:val="20"/>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S-1</w:t>
            </w: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1"/>
              </w:rPr>
              <w:t>21.1</w:t>
            </w:r>
          </w:p>
        </w:tc>
        <w:tc>
          <w:tcPr>
            <w:tcW w:w="8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12">
              <w:r>
                <w:rPr>
                  <w:rFonts w:ascii="Arial" w:cs="Arial" w:eastAsia="Arial" w:hAnsi="Arial"/>
                  <w:sz w:val="18"/>
                  <w:szCs w:val="18"/>
                  <w:color w:val="0000EE"/>
                  <w:w w:val="87"/>
                </w:rPr>
                <w:t>Subsidiaries</w:t>
              </w:r>
            </w:hyperlink>
          </w:p>
        </w:tc>
        <w:tc>
          <w:tcPr>
            <w:tcW w:w="4560" w:type="dxa"/>
            <w:vAlign w:val="bottom"/>
            <w:gridSpan w:val="23"/>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1"/>
              </w:rPr>
              <w:t>23.1</w:t>
            </w:r>
          </w:p>
        </w:tc>
        <w:tc>
          <w:tcPr>
            <w:tcW w:w="1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Consent of Marcum LLP</w:t>
              </w:r>
            </w:hyperlink>
          </w:p>
        </w:tc>
        <w:tc>
          <w:tcPr>
            <w:tcW w:w="3640" w:type="dxa"/>
            <w:vAlign w:val="bottom"/>
            <w:gridSpan w:val="22"/>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1"/>
              </w:rPr>
              <w:t>31.1</w:t>
            </w:r>
          </w:p>
        </w:tc>
        <w:tc>
          <w:tcPr>
            <w:tcW w:w="51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of Principal Executive Officer Required Under Rule 13a-</w:t>
              </w:r>
            </w:hyperlink>
          </w:p>
        </w:tc>
        <w:tc>
          <w:tcPr>
            <w:tcW w:w="32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5440" w:type="dxa"/>
            <w:vAlign w:val="bottom"/>
            <w:gridSpan w:val="25"/>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14(a) and 15d-14(a) of the Securities Exchange Act of 1934, as amended</w:t>
              </w:r>
            </w:hyperlink>
          </w:p>
        </w:tc>
        <w:tc>
          <w:tcPr>
            <w:tcW w:w="500" w:type="dxa"/>
            <w:vAlign w:val="bottom"/>
          </w:tcPr>
          <w:p>
            <w:pPr>
              <w:spacing w:after="0"/>
              <w:rPr>
                <w:sz w:val="17"/>
                <w:szCs w:val="17"/>
                <w:color w:val="auto"/>
              </w:rPr>
            </w:pPr>
          </w:p>
        </w:tc>
      </w:tr>
      <w:tr>
        <w:trPr>
          <w:trHeight w:val="453"/>
        </w:trPr>
        <w:tc>
          <w:tcPr>
            <w:tcW w:w="680" w:type="dxa"/>
            <w:vAlign w:val="bottom"/>
          </w:tcPr>
          <w:p>
            <w:pPr>
              <w:spacing w:after="0"/>
              <w:rPr>
                <w:sz w:val="24"/>
                <w:szCs w:val="24"/>
                <w:color w:val="auto"/>
              </w:rPr>
            </w:pPr>
          </w:p>
        </w:tc>
        <w:tc>
          <w:tcPr>
            <w:tcW w:w="4960" w:type="dxa"/>
            <w:vAlign w:val="bottom"/>
            <w:tcBorders>
              <w:top w:val="single" w:sz="8" w:color="0000EE"/>
            </w:tcBorders>
            <w:gridSpan w:val="15"/>
          </w:tcPr>
          <w:p>
            <w:pPr>
              <w:ind w:left="4660"/>
              <w:spacing w:after="0"/>
              <w:rPr>
                <w:sz w:val="20"/>
                <w:szCs w:val="20"/>
                <w:color w:val="auto"/>
              </w:rPr>
            </w:pPr>
            <w:r>
              <w:rPr>
                <w:rFonts w:ascii="Arial" w:cs="Arial" w:eastAsia="Arial" w:hAnsi="Arial"/>
                <w:sz w:val="18"/>
                <w:szCs w:val="18"/>
                <w:color w:val="auto"/>
                <w:w w:val="93"/>
              </w:rPr>
              <w:t>103</w:t>
            </w: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July 6, 2016</w:t>
            </w:r>
          </w:p>
        </w:tc>
        <w:tc>
          <w:tcPr>
            <w:tcW w:w="860" w:type="dxa"/>
            <w:vAlign w:val="bottom"/>
          </w:tcPr>
          <w:p>
            <w:pPr>
              <w:jc w:val="center"/>
              <w:ind w:left="370"/>
              <w:spacing w:after="0"/>
              <w:rPr>
                <w:sz w:val="20"/>
                <w:szCs w:val="20"/>
                <w:color w:val="auto"/>
              </w:rPr>
            </w:pPr>
            <w:r>
              <w:rPr>
                <w:rFonts w:ascii="Arial" w:cs="Arial" w:eastAsia="Arial" w:hAnsi="Arial"/>
                <w:sz w:val="18"/>
                <w:szCs w:val="18"/>
                <w:color w:val="auto"/>
                <w:w w:val="91"/>
              </w:rPr>
              <w:t>10.1</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July 6, 2016</w:t>
            </w:r>
          </w:p>
        </w:tc>
        <w:tc>
          <w:tcPr>
            <w:tcW w:w="860" w:type="dxa"/>
            <w:vAlign w:val="bottom"/>
          </w:tcPr>
          <w:p>
            <w:pPr>
              <w:jc w:val="center"/>
              <w:ind w:left="370"/>
              <w:spacing w:after="0"/>
              <w:rPr>
                <w:sz w:val="20"/>
                <w:szCs w:val="20"/>
                <w:color w:val="auto"/>
              </w:rPr>
            </w:pPr>
            <w:r>
              <w:rPr>
                <w:rFonts w:ascii="Arial" w:cs="Arial" w:eastAsia="Arial" w:hAnsi="Arial"/>
                <w:sz w:val="18"/>
                <w:szCs w:val="18"/>
                <w:color w:val="auto"/>
                <w:w w:val="91"/>
              </w:rPr>
              <w:t>10.2</w:t>
            </w:r>
          </w:p>
        </w:tc>
      </w:tr>
      <w:tr>
        <w:trPr>
          <w:trHeight w:val="648"/>
        </w:trPr>
        <w:tc>
          <w:tcPr>
            <w:tcW w:w="1880" w:type="dxa"/>
            <w:vAlign w:val="bottom"/>
          </w:tcPr>
          <w:p>
            <w:pPr>
              <w:spacing w:after="0"/>
              <w:rPr>
                <w:sz w:val="20"/>
                <w:szCs w:val="20"/>
                <w:color w:val="auto"/>
              </w:rPr>
            </w:pPr>
            <w:r>
              <w:rPr>
                <w:rFonts w:ascii="Arial" w:cs="Arial" w:eastAsia="Arial" w:hAnsi="Arial"/>
                <w:sz w:val="18"/>
                <w:szCs w:val="18"/>
                <w:color w:val="auto"/>
              </w:rPr>
              <w:t>September 20, 2016</w:t>
            </w:r>
          </w:p>
        </w:tc>
        <w:tc>
          <w:tcPr>
            <w:tcW w:w="860" w:type="dxa"/>
            <w:vAlign w:val="bottom"/>
          </w:tcPr>
          <w:p>
            <w:pPr>
              <w:jc w:val="center"/>
              <w:ind w:left="370"/>
              <w:spacing w:after="0"/>
              <w:rPr>
                <w:sz w:val="20"/>
                <w:szCs w:val="20"/>
                <w:color w:val="auto"/>
              </w:rPr>
            </w:pPr>
            <w:r>
              <w:rPr>
                <w:rFonts w:ascii="Arial" w:cs="Arial" w:eastAsia="Arial" w:hAnsi="Arial"/>
                <w:sz w:val="18"/>
                <w:szCs w:val="18"/>
                <w:color w:val="auto"/>
                <w:w w:val="88"/>
              </w:rPr>
              <w:t>10.39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December 27, 2016</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648"/>
        </w:trPr>
        <w:tc>
          <w:tcPr>
            <w:tcW w:w="1940" w:type="dxa"/>
            <w:vAlign w:val="bottom"/>
          </w:tcPr>
          <w:p>
            <w:pPr>
              <w:spacing w:after="0"/>
              <w:rPr>
                <w:sz w:val="20"/>
                <w:szCs w:val="20"/>
                <w:color w:val="auto"/>
              </w:rPr>
            </w:pPr>
            <w:r>
              <w:rPr>
                <w:rFonts w:ascii="Arial" w:cs="Arial" w:eastAsia="Arial" w:hAnsi="Arial"/>
                <w:sz w:val="18"/>
                <w:szCs w:val="18"/>
                <w:color w:val="auto"/>
              </w:rPr>
              <w:t>February 1,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10.51</w:t>
            </w:r>
          </w:p>
        </w:tc>
      </w:tr>
      <w:tr>
        <w:trPr>
          <w:trHeight w:val="648"/>
        </w:trPr>
        <w:tc>
          <w:tcPr>
            <w:tcW w:w="1940" w:type="dxa"/>
            <w:vAlign w:val="bottom"/>
          </w:tcPr>
          <w:p>
            <w:pPr>
              <w:spacing w:after="0"/>
              <w:rPr>
                <w:sz w:val="20"/>
                <w:szCs w:val="20"/>
                <w:color w:val="auto"/>
              </w:rPr>
            </w:pPr>
            <w:r>
              <w:rPr>
                <w:rFonts w:ascii="Arial" w:cs="Arial" w:eastAsia="Arial" w:hAnsi="Arial"/>
                <w:sz w:val="18"/>
                <w:szCs w:val="18"/>
                <w:color w:val="auto"/>
              </w:rPr>
              <w:t>February 1,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10.52</w:t>
            </w:r>
          </w:p>
        </w:tc>
      </w:tr>
      <w:tr>
        <w:trPr>
          <w:trHeight w:val="648"/>
        </w:trPr>
        <w:tc>
          <w:tcPr>
            <w:tcW w:w="1940" w:type="dxa"/>
            <w:vAlign w:val="bottom"/>
          </w:tcPr>
          <w:p>
            <w:pPr>
              <w:spacing w:after="0"/>
              <w:rPr>
                <w:sz w:val="20"/>
                <w:szCs w:val="20"/>
                <w:color w:val="auto"/>
              </w:rPr>
            </w:pPr>
            <w:r>
              <w:rPr>
                <w:rFonts w:ascii="Arial" w:cs="Arial" w:eastAsia="Arial" w:hAnsi="Arial"/>
                <w:sz w:val="18"/>
                <w:szCs w:val="18"/>
                <w:color w:val="auto"/>
              </w:rPr>
              <w:t>July 24, 2017</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648"/>
        </w:trPr>
        <w:tc>
          <w:tcPr>
            <w:tcW w:w="1940" w:type="dxa"/>
            <w:vAlign w:val="bottom"/>
          </w:tcPr>
          <w:p>
            <w:pPr>
              <w:spacing w:after="0"/>
              <w:rPr>
                <w:sz w:val="20"/>
                <w:szCs w:val="20"/>
                <w:color w:val="auto"/>
              </w:rPr>
            </w:pPr>
            <w:r>
              <w:rPr>
                <w:rFonts w:ascii="Arial" w:cs="Arial" w:eastAsia="Arial" w:hAnsi="Arial"/>
                <w:sz w:val="18"/>
                <w:szCs w:val="18"/>
                <w:color w:val="auto"/>
              </w:rPr>
              <w:t>December 8, 2017</w:t>
            </w: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2.1</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December 13, 2017</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648"/>
        </w:trPr>
        <w:tc>
          <w:tcPr>
            <w:tcW w:w="1940" w:type="dxa"/>
            <w:vAlign w:val="bottom"/>
          </w:tcPr>
          <w:p>
            <w:pPr>
              <w:ind w:left="120"/>
              <w:spacing w:after="0"/>
              <w:rPr>
                <w:sz w:val="20"/>
                <w:szCs w:val="20"/>
                <w:color w:val="auto"/>
              </w:rPr>
            </w:pPr>
            <w:r>
              <w:rPr>
                <w:rFonts w:ascii="Arial" w:cs="Arial" w:eastAsia="Arial" w:hAnsi="Arial"/>
                <w:sz w:val="18"/>
                <w:szCs w:val="18"/>
                <w:color w:val="auto"/>
              </w:rPr>
              <w:t>June 4, 2018</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432"/>
        </w:trPr>
        <w:tc>
          <w:tcPr>
            <w:tcW w:w="1940" w:type="dxa"/>
            <w:vAlign w:val="bottom"/>
          </w:tcPr>
          <w:p>
            <w:pPr>
              <w:ind w:left="120"/>
              <w:spacing w:after="0"/>
              <w:rPr>
                <w:sz w:val="20"/>
                <w:szCs w:val="20"/>
                <w:color w:val="auto"/>
              </w:rPr>
            </w:pPr>
            <w:r>
              <w:rPr>
                <w:rFonts w:ascii="Arial" w:cs="Arial" w:eastAsia="Arial" w:hAnsi="Arial"/>
                <w:sz w:val="18"/>
                <w:szCs w:val="18"/>
                <w:color w:val="auto"/>
              </w:rPr>
              <w:t>December 19, 2018</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432"/>
        </w:trPr>
        <w:tc>
          <w:tcPr>
            <w:tcW w:w="1940" w:type="dxa"/>
            <w:vAlign w:val="bottom"/>
          </w:tcPr>
          <w:p>
            <w:pPr>
              <w:ind w:left="120"/>
              <w:spacing w:after="0"/>
              <w:rPr>
                <w:sz w:val="20"/>
                <w:szCs w:val="20"/>
                <w:color w:val="auto"/>
              </w:rPr>
            </w:pPr>
            <w:r>
              <w:rPr>
                <w:rFonts w:ascii="Arial" w:cs="Arial" w:eastAsia="Arial" w:hAnsi="Arial"/>
                <w:sz w:val="18"/>
                <w:szCs w:val="18"/>
                <w:color w:val="auto"/>
              </w:rPr>
              <w:t>March 29, 2019</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10.48</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900" w:space="720"/>
            <w:col w:w="3800"/>
          </w:cols>
          <w:pgMar w:left="240" w:top="333" w:right="239" w:bottom="1440" w:gutter="0" w:footer="0" w:header="0"/>
          <w:type w:val="continuous"/>
        </w:sectPr>
      </w:pPr>
    </w:p>
    <w:bookmarkStart w:id="105" w:name="page106"/>
    <w:bookmarkEnd w:id="105"/>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20" w:type="dxa"/>
            <w:vAlign w:val="bottom"/>
            <w:gridSpan w:val="7"/>
            <w:vMerge w:val="restart"/>
          </w:tcPr>
          <w:p>
            <w:pPr>
              <w:ind w:left="7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24"/>
                <w:szCs w:val="24"/>
                <w:color w:val="auto"/>
              </w:rPr>
            </w:pPr>
          </w:p>
        </w:tc>
        <w:tc>
          <w:tcPr>
            <w:tcW w:w="5400" w:type="dxa"/>
            <w:vAlign w:val="bottom"/>
            <w:gridSpan w:val="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Certification of Principal Financial and Accounting Officer Required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0" w:type="dxa"/>
            <w:vAlign w:val="bottom"/>
            <w:gridSpan w:val="9"/>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Under Rule 13a-14(a) and 15d-14(a) of the Securities Exchange Act of</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1934, as amended</w:t>
              </w:r>
            </w:hyperlink>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24"/>
                <w:szCs w:val="24"/>
                <w:color w:val="auto"/>
              </w:rPr>
            </w:pPr>
          </w:p>
        </w:tc>
        <w:tc>
          <w:tcPr>
            <w:tcW w:w="51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Certification of Principal Executive Officer Required Under Rule 13a-</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14(b) of the Securities Exchange Act of 1934, as amended, and 18 U.S.C.</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00" w:type="dxa"/>
            <w:vAlign w:val="bottom"/>
            <w:gridSpan w:val="2"/>
          </w:tcPr>
          <w:p>
            <w:pPr>
              <w:ind w:left="60"/>
              <w:spacing w:after="0" w:line="196" w:lineRule="exact"/>
              <w:rPr>
                <w:rFonts w:ascii="Arial" w:cs="Arial" w:eastAsia="Arial" w:hAnsi="Arial"/>
                <w:sz w:val="18"/>
                <w:szCs w:val="18"/>
                <w:color w:val="0000EE"/>
                <w:w w:val="83"/>
              </w:rPr>
            </w:pPr>
            <w:hyperlink w:anchor="page116">
              <w:r>
                <w:rPr>
                  <w:rFonts w:ascii="Arial" w:cs="Arial" w:eastAsia="Arial" w:hAnsi="Arial"/>
                  <w:sz w:val="18"/>
                  <w:szCs w:val="18"/>
                  <w:color w:val="0000EE"/>
                  <w:w w:val="83"/>
                </w:rPr>
                <w:t>§1350</w:t>
              </w:r>
            </w:hyperlink>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60" w:type="dxa"/>
            <w:vAlign w:val="bottom"/>
          </w:tcPr>
          <w:p>
            <w:pPr>
              <w:spacing w:after="0"/>
              <w:rPr>
                <w:sz w:val="24"/>
                <w:szCs w:val="24"/>
                <w:color w:val="auto"/>
              </w:rPr>
            </w:pPr>
          </w:p>
        </w:tc>
        <w:tc>
          <w:tcPr>
            <w:tcW w:w="5400" w:type="dxa"/>
            <w:vAlign w:val="bottom"/>
            <w:gridSpan w:val="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Certification of Principal Financial and Accounting Officer Required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Under Rule 13a-14(b) of the Securities Exchange Act of 1934, as</w:t>
              </w:r>
            </w:hyperlink>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amended, and 18 U.S.C. §1350</w:t>
              </w:r>
            </w:hyperlink>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0" w:type="dxa"/>
            <w:vAlign w:val="bottom"/>
          </w:tcPr>
          <w:p>
            <w:pPr>
              <w:spacing w:after="0"/>
              <w:rPr>
                <w:sz w:val="24"/>
                <w:szCs w:val="24"/>
                <w:color w:val="auto"/>
              </w:rPr>
            </w:pPr>
          </w:p>
        </w:tc>
        <w:tc>
          <w:tcPr>
            <w:tcW w:w="22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60" w:type="dxa"/>
            <w:vAlign w:val="bottom"/>
          </w:tcPr>
          <w:p>
            <w:pPr>
              <w:spacing w:after="0"/>
              <w:rPr>
                <w:sz w:val="24"/>
                <w:szCs w:val="24"/>
                <w:color w:val="auto"/>
              </w:rPr>
            </w:pPr>
          </w:p>
        </w:tc>
        <w:tc>
          <w:tcPr>
            <w:tcW w:w="54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0" w:type="dxa"/>
            <w:vAlign w:val="bottom"/>
          </w:tcPr>
          <w:p>
            <w:pPr>
              <w:spacing w:after="0"/>
              <w:rPr>
                <w:sz w:val="24"/>
                <w:szCs w:val="24"/>
                <w:color w:val="auto"/>
              </w:rPr>
            </w:pPr>
          </w:p>
        </w:tc>
        <w:tc>
          <w:tcPr>
            <w:tcW w:w="54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60" w:type="dxa"/>
            <w:vAlign w:val="bottom"/>
          </w:tcPr>
          <w:p>
            <w:pPr>
              <w:spacing w:after="0"/>
              <w:rPr>
                <w:sz w:val="24"/>
                <w:szCs w:val="24"/>
                <w:color w:val="auto"/>
              </w:rPr>
            </w:pPr>
          </w:p>
        </w:tc>
        <w:tc>
          <w:tcPr>
            <w:tcW w:w="54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0" w:type="dxa"/>
            <w:vAlign w:val="bottom"/>
          </w:tcPr>
          <w:p>
            <w:pPr>
              <w:spacing w:after="0"/>
              <w:rPr>
                <w:sz w:val="24"/>
                <w:szCs w:val="24"/>
                <w:color w:val="auto"/>
              </w:rPr>
            </w:pPr>
          </w:p>
        </w:tc>
        <w:tc>
          <w:tcPr>
            <w:tcW w:w="54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0" w:type="dxa"/>
            <w:vAlign w:val="bottom"/>
          </w:tcPr>
          <w:p>
            <w:pPr>
              <w:spacing w:after="0"/>
              <w:rPr>
                <w:sz w:val="24"/>
                <w:szCs w:val="24"/>
                <w:color w:val="auto"/>
              </w:rPr>
            </w:pPr>
          </w:p>
        </w:tc>
        <w:tc>
          <w:tcPr>
            <w:tcW w:w="54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54"/>
        </w:trPr>
        <w:tc>
          <w:tcPr>
            <w:tcW w:w="860" w:type="dxa"/>
            <w:vAlign w:val="bottom"/>
          </w:tcPr>
          <w:p>
            <w:pPr>
              <w:spacing w:after="0"/>
              <w:rPr>
                <w:sz w:val="24"/>
                <w:szCs w:val="24"/>
                <w:color w:val="auto"/>
              </w:rPr>
            </w:pPr>
          </w:p>
        </w:tc>
        <w:tc>
          <w:tcPr>
            <w:tcW w:w="5020" w:type="dxa"/>
            <w:vAlign w:val="bottom"/>
            <w:gridSpan w:val="6"/>
          </w:tcPr>
          <w:p>
            <w:pPr>
              <w:jc w:val="right"/>
              <w:ind w:righ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Incorporated by Reference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Registrant’s</w:t>
            </w:r>
          </w:p>
        </w:tc>
        <w:tc>
          <w:tcPr>
            <w:tcW w:w="218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Date Filed</w:t>
            </w:r>
          </w:p>
        </w:tc>
        <w:tc>
          <w:tcPr>
            <w:tcW w:w="78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Exhibit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w:t>
            </w:r>
          </w:p>
        </w:tc>
      </w:t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20" w:space="60"/>
            <w:col w:w="5040"/>
          </w:cols>
          <w:pgMar w:left="240" w:top="33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280" w:type="dxa"/>
            <w:vAlign w:val="bottom"/>
            <w:gridSpan w:val="2"/>
          </w:tcPr>
          <w:p>
            <w:pPr>
              <w:ind w:left="1660"/>
              <w:spacing w:after="0"/>
              <w:rPr>
                <w:sz w:val="20"/>
                <w:szCs w:val="20"/>
                <w:color w:val="auto"/>
              </w:rPr>
            </w:pPr>
            <w:r>
              <w:rPr>
                <w:rFonts w:ascii="Arial" w:cs="Arial" w:eastAsia="Arial" w:hAnsi="Arial"/>
                <w:sz w:val="18"/>
                <w:szCs w:val="18"/>
                <w:color w:val="auto"/>
              </w:rPr>
              <w:t>Soleno Therapeutics, Inc.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March 4, 2020</w:t>
            </w:r>
          </w:p>
        </w:tc>
        <w:tc>
          <w:tcPr>
            <w:tcW w:w="8280" w:type="dxa"/>
            <w:vAlign w:val="bottom"/>
            <w:gridSpan w:val="2"/>
          </w:tcPr>
          <w:p>
            <w:pPr>
              <w:ind w:left="2580"/>
              <w:spacing w:after="0"/>
              <w:rPr>
                <w:sz w:val="20"/>
                <w:szCs w:val="20"/>
                <w:color w:val="auto"/>
              </w:rPr>
            </w:pPr>
            <w:r>
              <w:rPr>
                <w:rFonts w:ascii="Arial" w:cs="Arial" w:eastAsia="Arial" w:hAnsi="Arial"/>
                <w:sz w:val="18"/>
                <w:szCs w:val="18"/>
                <w:color w:val="auto"/>
              </w:rPr>
              <w:t>By: /S/ ANISH BHATNAGAR</w:t>
            </w:r>
          </w:p>
        </w:tc>
      </w:tr>
      <w:tr>
        <w:trPr>
          <w:trHeight w:val="224"/>
        </w:trPr>
        <w:tc>
          <w:tcPr>
            <w:tcW w:w="3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6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ind w:left="1020"/>
              <w:spacing w:after="0"/>
              <w:rPr>
                <w:sz w:val="20"/>
                <w:szCs w:val="20"/>
                <w:color w:val="auto"/>
              </w:rPr>
            </w:pPr>
            <w:r>
              <w:rPr>
                <w:rFonts w:ascii="Arial" w:cs="Arial" w:eastAsia="Arial" w:hAnsi="Arial"/>
                <w:sz w:val="14"/>
                <w:szCs w:val="14"/>
                <w:b w:val="1"/>
                <w:bCs w:val="1"/>
                <w:color w:val="auto"/>
              </w:rPr>
              <w:t>Date</w:t>
            </w:r>
          </w:p>
        </w:tc>
      </w:tr>
      <w:tr>
        <w:trPr>
          <w:trHeight w:val="417"/>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ANISH BHATNAGAR</w:t>
            </w:r>
          </w:p>
        </w:tc>
        <w:tc>
          <w:tcPr>
            <w:tcW w:w="416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0"/>
              </w:rPr>
              <w:t>Anish Bhatnagar</w:t>
            </w:r>
          </w:p>
        </w:tc>
        <w:tc>
          <w:tcPr>
            <w:tcW w:w="41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MACKANESS</w:t>
            </w:r>
          </w:p>
        </w:tc>
        <w:tc>
          <w:tcPr>
            <w:tcW w:w="416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 and</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85"/>
              </w:rPr>
              <w:t>James Mackaness</w:t>
            </w:r>
          </w:p>
        </w:tc>
        <w:tc>
          <w:tcPr>
            <w:tcW w:w="4160" w:type="dxa"/>
            <w:vAlign w:val="bottom"/>
          </w:tcPr>
          <w:p>
            <w:pPr>
              <w:ind w:left="160"/>
              <w:spacing w:after="0"/>
              <w:rPr>
                <w:sz w:val="20"/>
                <w:szCs w:val="20"/>
                <w:color w:val="auto"/>
              </w:rPr>
            </w:pPr>
            <w:r>
              <w:rPr>
                <w:rFonts w:ascii="Arial" w:cs="Arial" w:eastAsia="Arial" w:hAnsi="Arial"/>
                <w:sz w:val="18"/>
                <w:szCs w:val="18"/>
                <w:color w:val="auto"/>
              </w:rPr>
              <w:t>Accounting Officer)</w:t>
            </w: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ERNEST MARIO</w:t>
            </w:r>
          </w:p>
        </w:tc>
        <w:tc>
          <w:tcPr>
            <w:tcW w:w="4160" w:type="dxa"/>
            <w:vAlign w:val="bottom"/>
          </w:tcPr>
          <w:p>
            <w:pPr>
              <w:ind w:left="160"/>
              <w:spacing w:after="0"/>
              <w:rPr>
                <w:sz w:val="20"/>
                <w:szCs w:val="20"/>
                <w:color w:val="auto"/>
              </w:rPr>
            </w:pPr>
            <w:r>
              <w:rPr>
                <w:rFonts w:ascii="Arial" w:cs="Arial" w:eastAsia="Arial" w:hAnsi="Arial"/>
                <w:sz w:val="18"/>
                <w:szCs w:val="18"/>
                <w:color w:val="auto"/>
              </w:rPr>
              <w:t>Chairman</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4"/>
              </w:rPr>
              <w:t>Ernest Mario</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ANDREW SINCLAIR</w:t>
            </w:r>
          </w:p>
        </w:tc>
        <w:tc>
          <w:tcPr>
            <w:tcW w:w="41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5"/>
              </w:rPr>
              <w:t>Andrew Sinclair</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G. HARRIS</w:t>
            </w:r>
          </w:p>
        </w:tc>
        <w:tc>
          <w:tcPr>
            <w:tcW w:w="41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4"/>
              </w:rPr>
              <w:t>William G. Harris</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STUART COLLINSON</w:t>
            </w:r>
          </w:p>
        </w:tc>
        <w:tc>
          <w:tcPr>
            <w:tcW w:w="41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1"/>
              </w:rPr>
              <w:t>Stuart Collinson</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51"/>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GWEN MELINCOFF</w:t>
            </w:r>
          </w:p>
        </w:tc>
        <w:tc>
          <w:tcPr>
            <w:tcW w:w="41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6"/>
              </w:rPr>
              <w:t>Gwen Melincoff</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6"/>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BIRGITTE VOLCK</w:t>
            </w:r>
          </w:p>
        </w:tc>
        <w:tc>
          <w:tcPr>
            <w:tcW w:w="41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580"/>
              <w:spacing w:after="0"/>
              <w:rPr>
                <w:sz w:val="20"/>
                <w:szCs w:val="20"/>
                <w:color w:val="auto"/>
              </w:rPr>
            </w:pPr>
            <w:r>
              <w:rPr>
                <w:rFonts w:ascii="Arial" w:cs="Arial" w:eastAsia="Arial" w:hAnsi="Arial"/>
                <w:sz w:val="18"/>
                <w:szCs w:val="18"/>
                <w:color w:val="auto"/>
                <w:w w:val="88"/>
              </w:rPr>
              <w:t>March 4, 2020</w:t>
            </w: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5"/>
              </w:rPr>
              <w:t>Birgitte Volck</w:t>
            </w:r>
          </w:p>
        </w:tc>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878"/>
        </w:trPr>
        <w:tc>
          <w:tcPr>
            <w:tcW w:w="5120" w:type="dxa"/>
            <w:vAlign w:val="bottom"/>
          </w:tcPr>
          <w:p>
            <w:pPr>
              <w:spacing w:after="0"/>
              <w:rPr>
                <w:sz w:val="24"/>
                <w:szCs w:val="24"/>
                <w:color w:val="auto"/>
              </w:rPr>
            </w:pPr>
          </w:p>
        </w:tc>
        <w:tc>
          <w:tcPr>
            <w:tcW w:w="4160" w:type="dxa"/>
            <w:vAlign w:val="bottom"/>
          </w:tcPr>
          <w:p>
            <w:pPr>
              <w:ind w:left="460"/>
              <w:spacing w:after="0"/>
              <w:rPr>
                <w:sz w:val="20"/>
                <w:szCs w:val="20"/>
                <w:color w:val="auto"/>
              </w:rPr>
            </w:pPr>
            <w:r>
              <w:rPr>
                <w:rFonts w:ascii="Arial" w:cs="Arial" w:eastAsia="Arial" w:hAnsi="Arial"/>
                <w:sz w:val="18"/>
                <w:szCs w:val="18"/>
                <w:color w:val="auto"/>
              </w:rPr>
              <w:t>105</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Soleno Therapeutics, Inc. (the “Company”) has one class of securities registered under Section 12 of the Securities Exchange Act of 1934,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amended: our common stock, par value $0.001 per share.</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used in this summary, the terms “Soleno,” “the Company,” “we,” “our” and “us” refer to Soleno Therapeutics, Inc.</w:t>
      </w:r>
    </w:p>
    <w:p>
      <w:pPr>
        <w:spacing w:after="0" w:line="225" w:lineRule="exact"/>
        <w:rPr>
          <w:sz w:val="20"/>
          <w:szCs w:val="20"/>
          <w:color w:val="auto"/>
        </w:rPr>
      </w:pPr>
    </w:p>
    <w:p>
      <w:pPr>
        <w:jc w:val="both"/>
        <w:ind w:firstLine="846"/>
        <w:spacing w:after="0" w:line="257" w:lineRule="auto"/>
        <w:rPr>
          <w:sz w:val="20"/>
          <w:szCs w:val="20"/>
          <w:color w:val="auto"/>
        </w:rPr>
      </w:pPr>
      <w:r>
        <w:rPr>
          <w:rFonts w:ascii="Arial" w:cs="Arial" w:eastAsia="Arial" w:hAnsi="Arial"/>
          <w:sz w:val="18"/>
          <w:szCs w:val="18"/>
          <w:color w:val="auto"/>
        </w:rPr>
        <w:t>The following is a description of the material terms and provisions relating to our common stock. The following description is a summary that is not complete and is subject to and qualified in its entirety by reference to our amended and restated certificate of incorporation and our amended and restated bylaws, and to provisions of the Delaware General Corporation Law. Copies of our amended and restated certificate of incorporation and our amended and restated bylaws, each of which may be amended from time to time, are included as exhibits to the Annual Report on Form 10-K to which this description is an Exhibit.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40" w:firstLine="846"/>
        <w:spacing w:after="0" w:line="277" w:lineRule="auto"/>
        <w:rPr>
          <w:sz w:val="20"/>
          <w:szCs w:val="20"/>
          <w:color w:val="auto"/>
        </w:rPr>
      </w:pPr>
      <w:r>
        <w:rPr>
          <w:rFonts w:ascii="Arial" w:cs="Arial" w:eastAsia="Arial" w:hAnsi="Arial"/>
          <w:sz w:val="18"/>
          <w:szCs w:val="18"/>
          <w:color w:val="auto"/>
        </w:rPr>
        <w:t>Our authorized capital stock consists of 110,000,000 shares, all with a par value of $0.001 per share, 100,000,000 of which are designated as Common Stock and 10,000,000 of which are designated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117" w:lineRule="exact"/>
        <w:rPr>
          <w:sz w:val="20"/>
          <w:szCs w:val="20"/>
          <w:color w:val="auto"/>
        </w:rPr>
      </w:pPr>
    </w:p>
    <w:p>
      <w:pPr>
        <w:ind w:right="40" w:firstLine="575"/>
        <w:spacing w:after="0" w:line="288" w:lineRule="auto"/>
        <w:rPr>
          <w:sz w:val="20"/>
          <w:szCs w:val="20"/>
          <w:color w:val="auto"/>
        </w:rPr>
      </w:pPr>
      <w:r>
        <w:rPr>
          <w:rFonts w:ascii="Arial" w:cs="Arial" w:eastAsia="Arial" w:hAnsi="Arial"/>
          <w:sz w:val="16"/>
          <w:szCs w:val="16"/>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8" w:name="page109"/>
    <w:bookmarkEnd w:id="108"/>
    <w:p>
      <w:pPr>
        <w:ind w:right="100"/>
        <w:spacing w:after="0" w:line="277" w:lineRule="auto"/>
        <w:rPr>
          <w:sz w:val="20"/>
          <w:szCs w:val="20"/>
          <w:color w:val="auto"/>
        </w:rPr>
      </w:pPr>
      <w:r>
        <w:rPr>
          <w:rFonts w:ascii="Arial" w:cs="Arial" w:eastAsia="Arial" w:hAnsi="Arial"/>
          <w:sz w:val="18"/>
          <w:szCs w:val="18"/>
          <w:color w:val="auto"/>
        </w:rPr>
        <w:t>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70" w:lineRule="exact"/>
        <w:rPr>
          <w:sz w:val="20"/>
          <w:szCs w:val="20"/>
          <w:color w:val="auto"/>
        </w:rPr>
      </w:pPr>
    </w:p>
    <w:p>
      <w:pPr>
        <w:ind w:right="60" w:firstLine="575"/>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78" w:lineRule="exact"/>
        <w:rPr>
          <w:sz w:val="20"/>
          <w:szCs w:val="20"/>
          <w:color w:val="auto"/>
        </w:rPr>
      </w:pPr>
    </w:p>
    <w:p>
      <w:pPr>
        <w:ind w:right="80" w:firstLine="575"/>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8" w:lineRule="exact"/>
        <w:rPr>
          <w:sz w:val="20"/>
          <w:szCs w:val="20"/>
          <w:color w:val="auto"/>
        </w:rPr>
      </w:pPr>
    </w:p>
    <w:p>
      <w:pPr>
        <w:ind w:right="20" w:firstLine="575"/>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right="240" w:firstLine="575"/>
        <w:spacing w:after="0" w:line="264"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7" w:lineRule="exact"/>
        <w:rPr>
          <w:sz w:val="20"/>
          <w:szCs w:val="20"/>
          <w:color w:val="auto"/>
        </w:rPr>
      </w:pPr>
    </w:p>
    <w:p>
      <w:pPr>
        <w:ind w:left="1020" w:hanging="445"/>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20" w:hanging="445"/>
        <w:spacing w:after="0" w:line="25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20" w:right="320" w:hanging="445"/>
        <w:spacing w:after="0" w:line="264"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1020" w:hanging="445"/>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9" w:name="page110"/>
    <w:bookmarkEnd w:id="109"/>
    <w:p>
      <w:pPr>
        <w:ind w:left="1020" w:hanging="445"/>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sale, transfer, pledge or other disposition of ten percent (10%) or more of the assets of the corporation involving the interested stockholder;</w:t>
      </w:r>
    </w:p>
    <w:p>
      <w:pPr>
        <w:spacing w:after="0" w:line="369" w:lineRule="exact"/>
        <w:rPr>
          <w:rFonts w:ascii="Arial" w:cs="Arial" w:eastAsia="Arial" w:hAnsi="Arial"/>
          <w:sz w:val="16"/>
          <w:szCs w:val="16"/>
          <w:color w:val="auto"/>
        </w:rPr>
      </w:pPr>
    </w:p>
    <w:p>
      <w:pPr>
        <w:ind w:left="1020" w:right="380" w:hanging="445"/>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20" w:right="540" w:hanging="445"/>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20" w:right="260" w:hanging="445"/>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20" w:firstLine="575"/>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right="40" w:firstLine="575"/>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87" w:lineRule="exact"/>
        <w:rPr>
          <w:sz w:val="20"/>
          <w:szCs w:val="20"/>
          <w:color w:val="auto"/>
        </w:rPr>
      </w:pPr>
    </w:p>
    <w:p>
      <w:pPr>
        <w:ind w:left="1020" w:hanging="445"/>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00" w:firstLine="575"/>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3" w:lineRule="exact"/>
        <w:rPr>
          <w:sz w:val="20"/>
          <w:szCs w:val="20"/>
          <w:color w:val="auto"/>
        </w:rPr>
      </w:pPr>
    </w:p>
    <w:p>
      <w:pPr>
        <w:ind w:firstLine="575"/>
        <w:spacing w:after="0" w:line="289"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67" w:lineRule="exact"/>
        <w:rPr>
          <w:sz w:val="20"/>
          <w:szCs w:val="20"/>
          <w:color w:val="auto"/>
        </w:rPr>
      </w:pPr>
    </w:p>
    <w:p>
      <w:pPr>
        <w:ind w:right="160" w:firstLine="575"/>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spacing w:after="0" w:line="255" w:lineRule="auto"/>
        <w:rPr>
          <w:sz w:val="20"/>
          <w:szCs w:val="20"/>
          <w:color w:val="auto"/>
        </w:rPr>
      </w:pPr>
      <w:r>
        <w:rPr>
          <w:rFonts w:ascii="Arial" w:cs="Arial" w:eastAsia="Arial" w:hAnsi="Arial"/>
          <w:sz w:val="18"/>
          <w:szCs w:val="18"/>
          <w:color w:val="auto"/>
        </w:rPr>
        <w:t>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80"/>
          </w:cols>
          <w:pgMar w:left="240" w:top="557" w:right="3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Soleno Therapeutics,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Soleno Therapeutics UK Ltd.</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Soleno Therapeutics Europe Ltd.</w:t>
            </w:r>
          </w:p>
        </w:tc>
        <w:tc>
          <w:tcPr>
            <w:tcW w:w="560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Essentialis, Inc.</w:t>
            </w: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of Soleno Therapeutics, Inc. on Form S-8 (File Numbers 333-235999, 333-230402, 333-224070, 333-220056, 333-210563 and 333-200175) and Form S-3 (File Number 333-232068) of our report which includes an explanatory paragraph as to the Company’s ability to continue as a going concern</w:t>
      </w:r>
      <w:r>
        <w:rPr>
          <w:rFonts w:ascii="Arial" w:cs="Arial" w:eastAsia="Arial" w:hAnsi="Arial"/>
          <w:sz w:val="17"/>
          <w:szCs w:val="17"/>
          <w:b w:val="1"/>
          <w:bCs w:val="1"/>
          <w:color w:val="auto"/>
        </w:rPr>
        <w:t>,</w:t>
      </w:r>
      <w:r>
        <w:rPr>
          <w:rFonts w:ascii="Arial" w:cs="Arial" w:eastAsia="Arial" w:hAnsi="Arial"/>
          <w:sz w:val="17"/>
          <w:szCs w:val="17"/>
          <w:color w:val="auto"/>
        </w:rPr>
        <w:t xml:space="preserve"> dated March 4, 2020, with respect to our audits of the consolidated financial statements of Soleno Therapeutics, Inc. as of December 31, 2019 and 2018 and for each of the two years in the period ended December 31, 2019, which report is included in this Annual Report on Form 10-K of Soleno Therapeutics, Inc. for the year ended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Anish Bhatnagar, M.D., certify that:</w:t>
      </w:r>
    </w:p>
    <w:p>
      <w:pPr>
        <w:spacing w:after="0" w:line="117" w:lineRule="exact"/>
        <w:rPr>
          <w:sz w:val="20"/>
          <w:szCs w:val="20"/>
          <w:color w:val="auto"/>
        </w:rPr>
      </w:pPr>
    </w:p>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Soleno Therapeutics, Inc.;</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4"/>
        <w:spacing w:after="0" w:line="264"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400" w:hanging="604"/>
        <w:spacing w:after="0" w:line="277" w:lineRule="auto"/>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James Mackaness, certify that:</w:t>
      </w:r>
    </w:p>
    <w:p>
      <w:pPr>
        <w:spacing w:after="0" w:line="117" w:lineRule="exact"/>
        <w:rPr>
          <w:sz w:val="20"/>
          <w:szCs w:val="20"/>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Soleno Therapeutics, Inc.;</w:t>
      </w:r>
    </w:p>
    <w:p>
      <w:pPr>
        <w:spacing w:after="0" w:line="117"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4"/>
        <w:spacing w:after="0" w:line="264"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400" w:hanging="604"/>
        <w:spacing w:after="0" w:line="277" w:lineRule="auto"/>
        <w:tabs>
          <w:tab w:leader="none" w:pos="12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64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Annual Report of Soleno Therapeutics, Inc. (the “Company”) on Form 10-K for the fiscal year ended December 31, 2019,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73" w:lineRule="exact"/>
        <w:rPr>
          <w:sz w:val="20"/>
          <w:szCs w:val="20"/>
          <w:color w:val="auto"/>
        </w:rPr>
      </w:pPr>
    </w:p>
    <w:p>
      <w:pPr>
        <w:ind w:left="1240" w:hanging="462"/>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40" w:hanging="462"/>
        <w:spacing w:after="0"/>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Annual Report of Soleno Therapeutics, Inc. (the “Company”) on Form 10-K for the fiscal year ended December 31, 2019, as filed with the Securities and Exchange Commission (the “Report”), James Mackaness, Chief Financial Officer of the Company, do hereby certify, pursuant to 18 U.S.C. Section 1350, as adopted pursuant to Section 906 of the Sarbanes-Oxley Act of 2002, that:</w:t>
      </w:r>
    </w:p>
    <w:p>
      <w:pPr>
        <w:spacing w:after="0" w:line="73" w:lineRule="exact"/>
        <w:rPr>
          <w:sz w:val="20"/>
          <w:szCs w:val="20"/>
          <w:color w:val="auto"/>
        </w:rPr>
      </w:pPr>
    </w:p>
    <w:p>
      <w:pPr>
        <w:ind w:left="1240" w:hanging="462"/>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40" w:hanging="462"/>
        <w:spacing w:after="0"/>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upperLetter"/>
      <w:start w:val="6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650"/>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Letter"/>
      <w:start w:val="1"/>
    </w:lvl>
    <w:lvl w:ilvl="1">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lowerRoman"/>
      <w:start w:val="5"/>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72" Type="http://schemas.openxmlformats.org/officeDocument/2006/relationships/image" Target="media/image117.png"/><Relationship Id="rId185" Type="http://schemas.openxmlformats.org/officeDocument/2006/relationships/image" Target="media/image118.png"/><Relationship Id="rId202" Type="http://schemas.openxmlformats.org/officeDocument/2006/relationships/image" Target="media/image119.png"/><Relationship Id="rId213" Type="http://schemas.openxmlformats.org/officeDocument/2006/relationships/image" Target="media/image120.png"/><Relationship Id="rId214" Type="http://schemas.openxmlformats.org/officeDocument/2006/relationships/image" Target="media/image121.png"/><Relationship Id="rId215" Type="http://schemas.openxmlformats.org/officeDocument/2006/relationships/image" Target="media/image122.png"/><Relationship Id="rId216" Type="http://schemas.openxmlformats.org/officeDocument/2006/relationships/image" Target="media/image123.png"/><Relationship Id="rId217" Type="http://schemas.openxmlformats.org/officeDocument/2006/relationships/image" Target="media/image124.png"/><Relationship Id="rId218" Type="http://schemas.openxmlformats.org/officeDocument/2006/relationships/image" Target="media/image125.png"/><Relationship Id="rId219" Type="http://schemas.openxmlformats.org/officeDocument/2006/relationships/image" Target="media/image126.png"/><Relationship Id="rId220" Type="http://schemas.openxmlformats.org/officeDocument/2006/relationships/image" Target="media/image127.png"/><Relationship Id="rId221" Type="http://schemas.openxmlformats.org/officeDocument/2006/relationships/image" Target="media/image128.png"/><Relationship Id="rId222" Type="http://schemas.openxmlformats.org/officeDocument/2006/relationships/image" Target="media/image129.png"/><Relationship Id="rId120" Type="http://schemas.openxmlformats.org/officeDocument/2006/relationships/hyperlink" Target="http://www.sec.gov/Archives/edgar/data/1484565/000162828017007221/ehx21.htm" TargetMode="External"/><Relationship Id="rId121" Type="http://schemas.openxmlformats.org/officeDocument/2006/relationships/hyperlink" Target="http://www.sec.gov/Archives/edgar/data/1484565/000162828017012274/ex21soleno-captainjvagreem.htm" TargetMode="External"/><Relationship Id="rId122" Type="http://schemas.openxmlformats.org/officeDocument/2006/relationships/hyperlink" Target="http://www.sec.gov/Archives/edgar/data/1484565/000162828017012274/ex22ippurchaseagreement.htm" TargetMode="External"/><Relationship Id="rId123" Type="http://schemas.openxmlformats.org/officeDocument/2006/relationships/hyperlink" Target="http://www.sec.gov/Archives/edgar/data/1484565/000162828017012274/ex23soleno-transitionservi.htm" TargetMode="External"/><Relationship Id="rId124" Type="http://schemas.openxmlformats.org/officeDocument/2006/relationships/hyperlink" Target="http://www.sec.gov/Archives/edgar/data/1484565/000119312514300848/d711637dex32.htm" TargetMode="External"/><Relationship Id="rId125" Type="http://schemas.openxmlformats.org/officeDocument/2006/relationships/hyperlink" Target="http://www.sec.gov/Archives/edgar/data/1484565/000119312514256995/d711637dex34.htm" TargetMode="External"/><Relationship Id="rId126" Type="http://schemas.openxmlformats.org/officeDocument/2006/relationships/hyperlink" Target="http://www.sec.gov/Archives/edgar/data/1484565/000119312515344002/d67111dex31.htm" TargetMode="External"/><Relationship Id="rId127" Type="http://schemas.openxmlformats.org/officeDocument/2006/relationships/hyperlink" Target="http://www.sec.gov/Archives/edgar/data/1484565/000119312516642505/d221558dex31.htm" TargetMode="External"/><Relationship Id="rId128" Type="http://schemas.openxmlformats.org/officeDocument/2006/relationships/hyperlink" Target="http://www.sec.gov/Archives/edgar/data/1484565/000162828017005427/exhibit31.htm" TargetMode="External"/><Relationship Id="rId129" Type="http://schemas.openxmlformats.org/officeDocument/2006/relationships/hyperlink" Target="http://www.sec.gov/Archives/edgar/data/1484565/000162828017009761/soleno-certificateofamendm.htm" TargetMode="External"/><Relationship Id="rId130" Type="http://schemas.openxmlformats.org/officeDocument/2006/relationships/hyperlink" Target="http://www.sec.gov/Archives/edgar/data/1484565/000119312514293949/d711637dex41.htm" TargetMode="External"/><Relationship Id="rId131" Type="http://schemas.openxmlformats.org/officeDocument/2006/relationships/hyperlink" Target="http://www.sec.gov/Archives/edgar/data/1484565/000119312514256995/d711637dex42.htm" TargetMode="External"/><Relationship Id="rId132" Type="http://schemas.openxmlformats.org/officeDocument/2006/relationships/hyperlink" Target="http://www.sec.gov/Archives/edgar/data/1484565/000119312514293949/d711637dex43.htm" TargetMode="External"/><Relationship Id="rId133" Type="http://schemas.openxmlformats.org/officeDocument/2006/relationships/hyperlink" Target="http://www.sec.gov/Archives/edgar/data/1484565/000119312514293949/d711637dex44.htm" TargetMode="External"/><Relationship Id="rId134" Type="http://schemas.openxmlformats.org/officeDocument/2006/relationships/hyperlink" Target="http://www.sec.gov/Archives/edgar/data/1484565/000119312514293949/d711637dex45.htm" TargetMode="External"/><Relationship Id="rId137" Type="http://schemas.openxmlformats.org/officeDocument/2006/relationships/hyperlink" Target="http://www.sec.gov/Archives/edgar/data/1484565/000119312514231812/d711637dex46.htm" TargetMode="External"/><Relationship Id="rId138" Type="http://schemas.openxmlformats.org/officeDocument/2006/relationships/hyperlink" Target="http://www.sec.gov/Archives/edgar/data/1484565/000119312514231812/d711637dex47.htm" TargetMode="External"/><Relationship Id="rId139" Type="http://schemas.openxmlformats.org/officeDocument/2006/relationships/hyperlink" Target="http://www.sec.gov/Archives/edgar/data/1484565/000119312514231812/d711637dex48.htm" TargetMode="External"/><Relationship Id="rId140" Type="http://schemas.openxmlformats.org/officeDocument/2006/relationships/hyperlink" Target="http://www.sec.gov/Archives/edgar/data/1484565/000119312514231812/d711637dex49.htm" TargetMode="External"/><Relationship Id="rId141" Type="http://schemas.openxmlformats.org/officeDocument/2006/relationships/hyperlink" Target="http://www.sec.gov/Archives/edgar/data/1484565/000119312514231812/d711637dex410.htm" TargetMode="External"/><Relationship Id="rId142" Type="http://schemas.openxmlformats.org/officeDocument/2006/relationships/hyperlink" Target="http://www.sec.gov/Archives/edgar/data/1484565/000119312514231812/d711637dex411.htm" TargetMode="External"/><Relationship Id="rId143" Type="http://schemas.openxmlformats.org/officeDocument/2006/relationships/hyperlink" Target="http://www.sec.gov/Archives/edgar/data/1484565/000119312514231812/d711637dex412.htm" TargetMode="External"/><Relationship Id="rId144" Type="http://schemas.openxmlformats.org/officeDocument/2006/relationships/hyperlink" Target="http://www.sec.gov/Archives/edgar/data/1484565/000119312514231812/d711637dex413.htm" TargetMode="External"/><Relationship Id="rId145" Type="http://schemas.openxmlformats.org/officeDocument/2006/relationships/hyperlink" Target="http://www.sec.gov/Archives/edgar/data/1484565/000119312514231812/d711637dex414.htm" TargetMode="External"/><Relationship Id="rId146" Type="http://schemas.openxmlformats.org/officeDocument/2006/relationships/hyperlink" Target="http://www.sec.gov/Archives/edgar/data/1484565/000119312514231812/d711637dex415.htm" TargetMode="External"/><Relationship Id="rId147" Type="http://schemas.openxmlformats.org/officeDocument/2006/relationships/hyperlink" Target="http://www.sec.gov/Archives/edgar/data/1484565/000119312514293949/d711637dex416.htm" TargetMode="External"/><Relationship Id="rId148" Type="http://schemas.openxmlformats.org/officeDocument/2006/relationships/hyperlink" Target="http://www.sec.gov/Archives/edgar/data/1484565/000119312514396517/d711637dex417.htm" TargetMode="External"/><Relationship Id="rId149" Type="http://schemas.openxmlformats.org/officeDocument/2006/relationships/hyperlink" Target="http://www.sec.gov/Archives/edgar/data/1484565/000119312514396517/d711637dex418.htm" TargetMode="External"/><Relationship Id="rId150" Type="http://schemas.openxmlformats.org/officeDocument/2006/relationships/hyperlink" Target="http://www.sec.gov/Archives/edgar/data/1484565/000119312515114723/d893037dex419.htm" TargetMode="External"/><Relationship Id="rId151" Type="http://schemas.openxmlformats.org/officeDocument/2006/relationships/hyperlink" Target="http://www.sec.gov/Archives/edgar/data/1484565/000119312515114723/d893037dex420.htm" TargetMode="External"/><Relationship Id="rId152" Type="http://schemas.openxmlformats.org/officeDocument/2006/relationships/hyperlink" Target="http://www.sec.gov/Archives/edgar/data/1484565/000119312515344002/d67111dex41.htm" TargetMode="External"/><Relationship Id="rId155" Type="http://schemas.openxmlformats.org/officeDocument/2006/relationships/hyperlink" Target="http://www.sec.gov/Archives/edgar/data/1484565/000119312515344002/d67111dex42.htm" TargetMode="External"/><Relationship Id="rId156" Type="http://schemas.openxmlformats.org/officeDocument/2006/relationships/hyperlink" Target="http://www.sec.gov/Archives/edgar/data/1484565/000119312515344002/d67111dex43.htm" TargetMode="External"/><Relationship Id="rId157" Type="http://schemas.openxmlformats.org/officeDocument/2006/relationships/hyperlink" Target="http://www.sec.gov/Archives/edgar/data/1484565/000119312515344002/d67111dex44.htm" TargetMode="External"/><Relationship Id="rId158" Type="http://schemas.openxmlformats.org/officeDocument/2006/relationships/hyperlink" Target="http://www.sec.gov/Archives/edgar/data/1484565/000119312516642505/d221558dex41.htm" TargetMode="External"/><Relationship Id="rId159" Type="http://schemas.openxmlformats.org/officeDocument/2006/relationships/hyperlink" Target="http://www.sec.gov/Archives/edgar/data/1484565/000119312516642505/d221558dex42.htm" TargetMode="External"/><Relationship Id="rId160" Type="http://schemas.openxmlformats.org/officeDocument/2006/relationships/hyperlink" Target="http://www.sec.gov/Archives/edgar/data/1484565/000148456517000004/ex41commonstockwarrant.htm" TargetMode="External"/><Relationship Id="rId161" Type="http://schemas.openxmlformats.org/officeDocument/2006/relationships/hyperlink" Target="http://www.sec.gov/Archives/edgar/data/1484565/000119312515344002/d67111dex91.htm" TargetMode="External"/><Relationship Id="rId162" Type="http://schemas.openxmlformats.org/officeDocument/2006/relationships/hyperlink" Target="http://www.sec.gov/Archives/edgar/data/1484565/000119312516642505/d221558dex91.htm" TargetMode="External"/><Relationship Id="rId163" Type="http://schemas.openxmlformats.org/officeDocument/2006/relationships/hyperlink" Target="http://www.sec.gov/Archives/edgar/data/1484565/000119312516803934/d282262dex101.htm" TargetMode="External"/><Relationship Id="rId164" Type="http://schemas.openxmlformats.org/officeDocument/2006/relationships/hyperlink" Target="http://www.sec.gov/Archives/edgar/data/1484565/000119312514231812/d711637dex101.htm" TargetMode="External"/><Relationship Id="rId165" Type="http://schemas.openxmlformats.org/officeDocument/2006/relationships/hyperlink" Target="http://www.sec.gov/Archives/edgar/data/1484565/000119312514231812/d711637dex102.htm" TargetMode="External"/><Relationship Id="rId166" Type="http://schemas.openxmlformats.org/officeDocument/2006/relationships/hyperlink" Target="http://www.sec.gov/Archives/edgar/data/1484565/000119312514231812/d711637dex103.htm" TargetMode="External"/><Relationship Id="rId167" Type="http://schemas.openxmlformats.org/officeDocument/2006/relationships/hyperlink" Target="http://www.sec.gov/Archives/edgar/data/1484565/000119312514256995/d711637dex104.htm" TargetMode="External"/><Relationship Id="rId168" Type="http://schemas.openxmlformats.org/officeDocument/2006/relationships/hyperlink" Target="http://www.sec.gov/Archives/edgar/data/1484565/000119312514256995/d711637dex105.htm" TargetMode="External"/><Relationship Id="rId169" Type="http://schemas.openxmlformats.org/officeDocument/2006/relationships/hyperlink" Target="http://www.sec.gov/Archives/edgar/data/1484565/000119312514231812/d711637dex106.htm" TargetMode="External"/><Relationship Id="rId170" Type="http://schemas.openxmlformats.org/officeDocument/2006/relationships/hyperlink" Target="http://www.sec.gov/Archives/edgar/data/1484565/000119312514231812/d711637dex107.htm" TargetMode="External"/><Relationship Id="rId171" Type="http://schemas.openxmlformats.org/officeDocument/2006/relationships/hyperlink" Target="http://www.sec.gov/Archives/edgar/data/1484565/000119312514231812/d711637dex108.htm" TargetMode="External"/><Relationship Id="rId173" Type="http://schemas.openxmlformats.org/officeDocument/2006/relationships/hyperlink" Target="http://www.sec.gov/Archives/edgar/data/1484565/000119312514231812/d711637dex109.htm" TargetMode="External"/><Relationship Id="rId174" Type="http://schemas.openxmlformats.org/officeDocument/2006/relationships/hyperlink" Target="http://www.sec.gov/Archives/edgar/data/1484565/000119312514231812/d711637dex1010.htm" TargetMode="External"/><Relationship Id="rId175" Type="http://schemas.openxmlformats.org/officeDocument/2006/relationships/hyperlink" Target="http://www.sec.gov/Archives/edgar/data/1484565/000119312514231812/d711637dex1011.htm" TargetMode="External"/><Relationship Id="rId176" Type="http://schemas.openxmlformats.org/officeDocument/2006/relationships/hyperlink" Target="http://www.sec.gov/Archives/edgar/data/1484565/000119312514231812/d711637dex1012.htm" TargetMode="External"/><Relationship Id="rId177" Type="http://schemas.openxmlformats.org/officeDocument/2006/relationships/hyperlink" Target="http://www.sec.gov/Archives/edgar/data/1484565/000119312514231812/d711637dex1013.htm" TargetMode="External"/><Relationship Id="rId178" Type="http://schemas.openxmlformats.org/officeDocument/2006/relationships/hyperlink" Target="http://www.sec.gov/Archives/edgar/data/1484565/000119312514231812/d711637dex1014.htm" TargetMode="External"/><Relationship Id="rId179" Type="http://schemas.openxmlformats.org/officeDocument/2006/relationships/hyperlink" Target="http://www.sec.gov/Archives/edgar/data/1484565/000119312514231812/d711637dex1015.htm" TargetMode="External"/><Relationship Id="rId180" Type="http://schemas.openxmlformats.org/officeDocument/2006/relationships/hyperlink" Target="http://www.sec.gov/Archives/edgar/data/1484565/000119312514231812/d711637dex1016.htm" TargetMode="External"/><Relationship Id="rId181" Type="http://schemas.openxmlformats.org/officeDocument/2006/relationships/hyperlink" Target="http://www.sec.gov/Archives/edgar/data/1484565/000119312514231812/d711637dex1017.htm" TargetMode="External"/><Relationship Id="rId182" Type="http://schemas.openxmlformats.org/officeDocument/2006/relationships/hyperlink" Target="http://www.sec.gov/Archives/edgar/data/1484565/000119312514231812/d711637dex1018.htm" TargetMode="External"/><Relationship Id="rId183" Type="http://schemas.openxmlformats.org/officeDocument/2006/relationships/hyperlink" Target="http://www.sec.gov/Archives/edgar/data/1484565/000119312514256995/d711637dex1019.htm" TargetMode="External"/><Relationship Id="rId184" Type="http://schemas.openxmlformats.org/officeDocument/2006/relationships/hyperlink" Target="http://www.sec.gov/Archives/edgar/data/1484565/000119312514274666/d711637dex1020.htm" TargetMode="External"/><Relationship Id="rId186" Type="http://schemas.openxmlformats.org/officeDocument/2006/relationships/hyperlink" Target="http://www.sec.gov/Archives/edgar/data/1484565/000119312514357384/d711637dex1021.htm" TargetMode="External"/><Relationship Id="rId187" Type="http://schemas.openxmlformats.org/officeDocument/2006/relationships/hyperlink" Target="http://www.sec.gov/Archives/edgar/data/1484565/000119312514396517/d711637dex1022.htm" TargetMode="External"/><Relationship Id="rId188" Type="http://schemas.openxmlformats.org/officeDocument/2006/relationships/hyperlink" Target="http://www.sec.gov/Archives/edgar/data/1484565/000119312514396517/d711637dex1023.htm" TargetMode="External"/><Relationship Id="rId189" Type="http://schemas.openxmlformats.org/officeDocument/2006/relationships/hyperlink" Target="http://www.sec.gov/Archives/edgar/data/1484565/000119312515078868/d886135dex101.htm" TargetMode="External"/><Relationship Id="rId190" Type="http://schemas.openxmlformats.org/officeDocument/2006/relationships/hyperlink" Target="http://www.sec.gov/Archives/edgar/data/1484565/000119312515114723/d893037dex1025.htm" TargetMode="External"/><Relationship Id="rId191" Type="http://schemas.openxmlformats.org/officeDocument/2006/relationships/hyperlink" Target="http://www.sec.gov/Archives/edgar/data/1484565/000119312515246752/d72536dex101.htm" TargetMode="External"/><Relationship Id="rId192" Type="http://schemas.openxmlformats.org/officeDocument/2006/relationships/hyperlink" Target="http://www.sec.gov/Archives/edgar/data/1484565/000119312515246752/d72536dex102.htm" TargetMode="External"/><Relationship Id="rId193" Type="http://schemas.openxmlformats.org/officeDocument/2006/relationships/hyperlink" Target="http://www.sec.gov/Archives/edgar/data/1484565/000119312515264172/d151899dex41.htm" TargetMode="External"/><Relationship Id="rId194" Type="http://schemas.openxmlformats.org/officeDocument/2006/relationships/hyperlink" Target="http://www.sec.gov/Archives/edgar/data/1484565/000119312515264172/d151899dex101.htm" TargetMode="External"/><Relationship Id="rId195" Type="http://schemas.openxmlformats.org/officeDocument/2006/relationships/hyperlink" Target="http://www.sec.gov/Archives/edgar/data/1484565/000119312515344002/d67111dex11.htm" TargetMode="External"/><Relationship Id="rId196" Type="http://schemas.openxmlformats.org/officeDocument/2006/relationships/hyperlink" Target="http://www.sec.gov/Archives/edgar/data/1484565/000119312515344002/d67111dex101.htm" TargetMode="External"/><Relationship Id="rId197" Type="http://schemas.openxmlformats.org/officeDocument/2006/relationships/hyperlink" Target="http://www.sec.gov/Archives/edgar/data/1484565/000119312515344002/d67111dex102.htm" TargetMode="External"/><Relationship Id="rId198" Type="http://schemas.openxmlformats.org/officeDocument/2006/relationships/hyperlink" Target="http://www.sec.gov/Archives/edgar/data/1484565/000119312515344002/d67111dex103.htm" TargetMode="External"/><Relationship Id="rId199" Type="http://schemas.openxmlformats.org/officeDocument/2006/relationships/hyperlink" Target="http://www.sec.gov/Archives/edgar/data/1484565/000119312515410913/d83264dex1033.htm" TargetMode="External"/><Relationship Id="rId200" Type="http://schemas.openxmlformats.org/officeDocument/2006/relationships/hyperlink" Target="http://www.sec.gov/Archives/edgar/data/1484565/000119312516441799/d77178dex101.htm" TargetMode="External"/><Relationship Id="rId201" Type="http://schemas.openxmlformats.org/officeDocument/2006/relationships/hyperlink" Target="http://www.sec.gov/Archives/edgar/data/1484565/000119312516642505/d221558dex11.htm" TargetMode="External"/><Relationship Id="rId203" Type="http://schemas.openxmlformats.org/officeDocument/2006/relationships/hyperlink" Target="http://www.sec.gov/Archives/edgar/data/1484565/000119312516642505/d221558dex101.htm" TargetMode="External"/><Relationship Id="rId204" Type="http://schemas.openxmlformats.org/officeDocument/2006/relationships/hyperlink" Target="http://www.sec.gov/Archives/edgar/data/1484565/000119312516642505/d221558dex102.htm" TargetMode="External"/><Relationship Id="rId205" Type="http://schemas.openxmlformats.org/officeDocument/2006/relationships/hyperlink" Target="http://www.sec.gov/Archives/edgar/data/1484565/000119312516714955/d217110dex1039.htm" TargetMode="External"/><Relationship Id="rId206" Type="http://schemas.openxmlformats.org/officeDocument/2006/relationships/hyperlink" Target="http://www.sec.gov/Archives/edgar/data/1484565/000119312516803934/d282262dex21.htm" TargetMode="External"/><Relationship Id="rId207" Type="http://schemas.openxmlformats.org/officeDocument/2006/relationships/hyperlink" Target="http://www.sec.gov/Archives/edgar/data/1484565/000119312517027623/d336318dex1051.htm" TargetMode="External"/><Relationship Id="rId208" Type="http://schemas.openxmlformats.org/officeDocument/2006/relationships/hyperlink" Target="http://www.sec.gov/Archives/edgar/data/1484565/000119312517027623/d336318dex1052.htm" TargetMode="External"/><Relationship Id="rId209" Type="http://schemas.openxmlformats.org/officeDocument/2006/relationships/hyperlink" Target="http://www.sec.gov/Archives/edgar/data/1484565/000148456517000004/ex101securitiespurchaseagr.htm" TargetMode="External"/><Relationship Id="rId210" Type="http://schemas.openxmlformats.org/officeDocument/2006/relationships/hyperlink" Target="http://www.sec.gov/Archives/edgar/data/1484565/000119312518182178/d781173dex101.htm" TargetMode="External"/><Relationship Id="rId211" Type="http://schemas.openxmlformats.org/officeDocument/2006/relationships/hyperlink" Target="http://www.sec.gov/Archives/edgar/data/0001484565/000119312518353226/d653435dex101.htm" TargetMode="External"/><Relationship Id="rId212" Type="http://schemas.openxmlformats.org/officeDocument/2006/relationships/hyperlink" Target="http://www.sec.gov/Archives/edgar/data/0001484565/000156459019010146/slno-ex1048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2020-03-04T15:51:23Z</dcterms:created>
  <dcterms:modified xsi:type="dcterms:W3CDTF">2020-03-04T15:51:23Z</dcterms:modified>
</cp:coreProperties>
</file>